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әртүрлі ұстамамен түсірілген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осы геометрияның метрикасы ретінде ұсынылды, бірақ тексеруден өтпеді (2.3-бөлім). Өлшенгені: полигонда (13 499 шот, 248 445 оқиға) ROC-AUC 0.940 және 0.991, ережелерде — 0.757 және 0.761; Elliptic жинағында пішін белгілері 0.687, бақылауда 0.454. Recall 0.96 және Precision 0.92 мақсат болып қалады (3.3-бөлім).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явление, снятое с разной выдержкой, и находятся одной моделью; задача поставлена на уровне дела, а не счета; измерены цена порога при реальной редкости и граница устойчивости к уклонению. Параметр W предлагался как метрика этой геометрии, но проверки не выдержал (раздел 2.3). Измерено: на полигоне из 13 499 счетов и 248 445 событий ROC-AUC 0.940 по счетам и 0.991 по группам против 0.757 и 0.761 у правил; на Elliptic (203 769 транзакций) признаки формы дают 0.687 против 0.454 у контроля. Recall 0.96 и Precision 0.92 остаются целью (раздел 3.3).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at different exposures and found by a single model; the task is posed at the level of a case; the cost of the threshold at realistic rarity and the boundary of evasion resistance are measured. The W parameter was proposed as the metric of that geometry but did not survive measurement (section 2.3). Measured: on a testbed of 13 499 accounts and 248 445 events, ROC-AUC 0.940 on accounts and 0.991 on groups against 0.757 and 0.761 for a rule engine; on Elliptic (203,769 transactions) shape-only features reach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ДНЕВНИК НАУЧНО-ИССЛЕДОВАТЕЛЬСКОГО ПРОЕКТА</w:t>
      </w:r>
      <w:r>
        <w:rPr/>
        <w:tab/>
        <w:t>21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ДНЕВНИК НАУЧНО-ИССЛЕДОВАТЕЛЬСКОГО ПРОЕКТА</w:t>
      </w:r>
    </w:p>
    <w:p>
      <w:r>
        <w:t>Дневник велся автором самостоятельно в течение всего периода выполнения научно-исследовательской работы, фиксируя ключевые вехи, аналитические изыскания и результаты моделирования.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2. Дневник выполнения научно-исследовательской работы по этапам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2950"/>
        <w:gridCol w:w="3950"/>
        <w:gridCol w:w="1288"/>
      </w:tblGrid>
      <w:tr>
        <w:tc>
          <w:tcPr>
            <w:tcW w:type="dxa" w:w="15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Этап</w:t>
            </w:r>
          </w:p>
        </w:tc>
        <w:tc>
          <w:tcPr>
            <w:tcW w:type="dxa" w:w="295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Содержание выполненной работы</w:t>
            </w:r>
          </w:p>
        </w:tc>
        <w:tc>
          <w:tcPr>
            <w:tcW w:type="dxa" w:w="395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Что получилось и что не получилось</w:t>
            </w:r>
          </w:p>
        </w:tc>
        <w:tc>
          <w:tcPr>
            <w:tcW w:type="dxa" w:w="1288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Подпись рук.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1</w:t>
              <w:br/>
              <w:t>Границы систем</w:t>
              <w:br/>
              <w:t>на правилах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Разбор нормативных актов РК, регламентов Антифрод-центра и законов о дропперстве. Разбор Quantexa и Feedzai.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Ограничение названо верно: правила читают признаки одного счёта и не видят структуру группы. Позже это подтвердилось замером: ROC-AUC 0.761, и от перехода на групповой уровень правила не выигрывают вовсе.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2</w:t>
              <w:br/>
              <w:t>Параметр W</w:t>
              <w:br/>
              <w:t>и топология схем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Теория графов, обзор Акоглу и соавторов (2015). Математическая модель параметра W: масштаб транзита без удержания средств.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Гипотеза о единой форме подтвердилась, сам W измерения не выдержал: прирост к качеству −0.0022, важность 0.0021 при уровне шума 0.0003. Причина найдена: W собирается из двух признаков, которые в наборе уже есть.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3</w:t>
              <w:br/>
              <w:t>Архитектура</w:t>
              <w:br/>
              <w:t>и связывание</w:t>
              <w:br/>
              <w:t>сущностей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Проектирование чистой архитектуры. Модуль разрешения сущностей (Entity Resolution) на базе Elasticsearch.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Прототип ER-ядра написан и работает. Заявленные 50 мс на связывание остаются проектной целью из документации к модулю: замера времени в проекте нет, и как результат это число не приводится.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4</w:t>
              <w:br/>
              <w:t>Ансамбль</w:t>
              <w:br/>
              <w:t>из трёх ветвей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Разработка трёхветвевой архитектуры LightGBM (табличная, последовательностная, графовая ветви). One-Side Edge Sampling.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Код ансамбля написан и обслуживает запросы. Позже обучены две ветви из трёх, графовая и последовательностная, с результатом 0.985 и 0.986 между мирами; табличная ветвь и слияние оценок не обучены, и на их месте работают эвристические заменители. Все измеренные числа получены случайным лесом.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5</w:t>
              <w:br/>
              <w:t>Стенд</w:t>
              <w:br/>
              <w:t>и генератор миров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Подготовка ИТ-стенда и синтетического генератора транзакций. Участие в хакатоне по финансовой безопасности ДЭР РК.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Топ-5 из более чем 60 команд. Для работы важнее другое: генератор позволил строить миры нарастающей сложности, и на них стало видно, что часть ранних результатов держалась на слишком простом мире.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Этап 6</w:t>
              <w:br/>
              <w:t>Перепроверка</w:t>
              <w:br/>
              <w:t>собственных</w:t>
              <w:br/>
              <w:t>результатов</w:t>
            </w:r>
          </w:p>
        </w:tc>
        <w:tc>
          <w:tcPr>
            <w:tcW w:type="dxa" w:w="2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Прогоны лестницы миров, кривой уклонения и развёртки по редкости. Проверка purged walk-forward с временным зазором.</w:t>
            </w:r>
          </w:p>
        </w:tc>
        <w:tc>
          <w:tcPr>
            <w:tcW w:type="dxa" w:w="39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9"/>
              </w:rPr>
              <w:t>Внешняя валидация на массиве Elliptic выполнена: признаки формы дают ROC-AUC 0.687 против 0.454 у контроля с перемешанными метками, запас 0.233. Числа Recall 0.96, Precision 0.92, ROC-AUC 0.99 из ранней версии измерением не подтверждены и переведены в цель. Все результаты пересобраны на собственных прогонах.</w:t>
            </w:r>
          </w:p>
        </w:tc>
        <w:tc>
          <w:tcPr>
            <w:tcW w:type="dxa" w:w="12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133" w:right="850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