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20d4e5af</w:t>
      </w:r>
    </w:p>
    <w:p>
      <w:r>
        <w:t>Chief complaint: consult reason not clearly stated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Heading1"/>
      </w:pPr>
      <w:r>
        <w:t>4. Diagnosis Support (Possible)</w:t>
      </w:r>
    </w:p>
    <w:p>
      <w:r>
        <w:t>Differential diagnoses not captured.</w:t>
      </w:r>
    </w:p>
    <w:p>
      <w:r>
        <w:t>Evidence: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