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Intelligence Report</w:t>
      </w:r>
    </w:p>
    <w:p>
      <w:r>
        <w:t>Decision support only; clinician verification required.</w:t>
      </w:r>
    </w:p>
    <w:p>
      <w:pPr>
        <w:pStyle w:val="Heading1"/>
      </w:pPr>
      <w:r>
        <w:t>1. Executive Summary</w:t>
      </w:r>
    </w:p>
    <w:p>
      <w:r>
        <w:t>Session ID: 30aeebef</w:t>
      </w:r>
    </w:p>
    <w:p>
      <w:r>
        <w:t>Chief complaint: consult reason not clearly stated</w:t>
      </w:r>
    </w:p>
    <w:p>
      <w:r>
        <w:t>Patient: gender=unknown, age=None</w:t>
      </w:r>
    </w:p>
    <w:p>
      <w:r>
        <w:t>Risk tier: medium</w:t>
      </w:r>
    </w:p>
    <w:p>
      <w:r>
        <w:t>Red flags: 0</w:t>
      </w:r>
    </w:p>
    <w:p>
      <w:r>
        <w:t>Documentation gaps: 6</w:t>
      </w:r>
    </w:p>
    <w:p>
      <w:r>
        <w:t>Confidence: 35%</w:t>
      </w:r>
    </w:p>
    <w:p>
      <w:pPr>
        <w:pStyle w:val="Heading1"/>
      </w:pPr>
      <w:r>
        <w:t>2. Vitals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Vital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Normal Range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Systolic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90 - 120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Diastolic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60 - 80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Heart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bpm</w:t>
            </w:r>
          </w:p>
        </w:tc>
        <w:tc>
          <w:tcPr>
            <w:tcW w:type="dxa" w:w="1728"/>
          </w:tcPr>
          <w:p>
            <w:r>
              <w:t>60 - 100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36.1 - 37.2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Respiratory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breaths/min</w:t>
            </w:r>
          </w:p>
        </w:tc>
        <w:tc>
          <w:tcPr>
            <w:tcW w:type="dxa" w:w="1728"/>
          </w:tcPr>
          <w:p>
            <w:r>
              <w:t>12 - 20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Oxygen Saturation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</w:tbl>
    <w:p>
      <w:pPr>
        <w:pStyle w:val="Heading1"/>
      </w:pPr>
      <w:r>
        <w:t>3. Risk Scores</w:t>
      </w:r>
    </w:p>
    <w:p>
      <w:pPr>
        <w:pStyle w:val="ListBullet"/>
      </w:pPr>
      <w:r>
        <w:t>physiologic_instability: 15% (low) - Based on captured vitals and red-flag review.</w:t>
      </w:r>
    </w:p>
    <w:p>
      <w:pPr>
        <w:pStyle w:val="ListBullet"/>
      </w:pPr>
      <w:r>
        <w:t>cardiorespiratory_concern: 10% (low) - Based on captured symptom profile.</w:t>
      </w:r>
    </w:p>
    <w:p>
      <w:pPr>
        <w:pStyle w:val="ListBullet"/>
      </w:pPr>
      <w:r>
        <w:t>documentation_completeness_risk: 60% (medium) - Based on 6 documented gap(s).</w:t>
      </w:r>
    </w:p>
    <w:p>
      <w:pPr>
        <w:pStyle w:val="Heading1"/>
      </w:pPr>
      <w:r>
        <w:t>4. Diagnosis Support (Possible)</w:t>
      </w:r>
    </w:p>
    <w:p>
      <w:r>
        <w:t>Differential diagnoses not captured.</w:t>
      </w:r>
    </w:p>
    <w:p>
      <w:r>
        <w:t>Evidence:</w:t>
      </w:r>
    </w:p>
    <w:p>
      <w:pPr>
        <w:pStyle w:val="ListBullet"/>
      </w:pPr>
      <w:r>
        <w:t>consult reason not clearly stated (chief_complaint.complaint)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pStyle w:val="Heading1"/>
      </w:pPr>
      <w:r>
        <w:t>5. Actionable Insights</w:t>
      </w:r>
    </w:p>
    <w:p>
      <w:r>
        <w:t>Immediate:</w:t>
      </w:r>
    </w:p>
    <w:p>
      <w:pPr>
        <w:pStyle w:val="ListBullet"/>
      </w:pPr>
      <w:r>
        <w:t>Reassess current symptoms and vital sign trends promptly.</w:t>
      </w:r>
    </w:p>
    <w:p>
      <w:r>
        <w:t>Today: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t>Follow-up: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