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4B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cf1d65f5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BEAFE"/>
          </w:tcPr>
          <w:p>
            <w:r>
              <w:rPr>
                <w:b/>
                <w:color w:val="1E3A8A"/>
                <w:sz w:val="20"/>
              </w:rPr>
              <w:t>Risk Tier</w:t>
            </w:r>
          </w:p>
        </w:tc>
        <w:tc>
          <w:tcPr>
            <w:tcW w:type="dxa" w:w="2556"/>
            <w:shd w:fill="DBEAFE"/>
          </w:tcPr>
          <w:p>
            <w:r>
              <w:rPr>
                <w:b/>
                <w:color w:val="1E3A8A"/>
                <w:sz w:val="20"/>
              </w:rPr>
              <w:t>Red Flags</w:t>
            </w:r>
          </w:p>
        </w:tc>
        <w:tc>
          <w:tcPr>
            <w:tcW w:type="dxa" w:w="2556"/>
            <w:shd w:fill="DBEAFE"/>
          </w:tcPr>
          <w:p>
            <w:r>
              <w:rPr>
                <w:b/>
                <w:color w:val="1E3A8A"/>
                <w:sz w:val="20"/>
              </w:rPr>
              <w:t>Documentation Gaps</w:t>
            </w:r>
          </w:p>
        </w:tc>
        <w:tc>
          <w:tcPr>
            <w:tcW w:type="dxa" w:w="2556"/>
            <w:shd w:fill="DBEAFE"/>
          </w:tcPr>
          <w:p>
            <w:r>
              <w:rPr>
                <w:b/>
                <w:color w:val="1E3A8A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4"/>
              </w:rPr>
              <w:t>Medium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4"/>
              </w:rPr>
              <w:t>0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4"/>
              </w:rPr>
              <w:t>6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E3A8A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E3A8A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2E8F0"/>
          </w:tcPr>
          <w:p>
            <w:r>
              <w:rPr>
                <w:b/>
                <w:color w:val="1E293B"/>
                <w:sz w:val="20"/>
              </w:rPr>
              <w:t>Vital</w:t>
            </w:r>
          </w:p>
        </w:tc>
        <w:tc>
          <w:tcPr>
            <w:tcW w:type="dxa" w:w="2045"/>
            <w:shd w:fill="E2E8F0"/>
          </w:tcPr>
          <w:p>
            <w:r>
              <w:rPr>
                <w:b/>
                <w:color w:val="1E293B"/>
                <w:sz w:val="20"/>
              </w:rPr>
              <w:t>Value</w:t>
            </w:r>
          </w:p>
        </w:tc>
        <w:tc>
          <w:tcPr>
            <w:tcW w:type="dxa" w:w="2045"/>
            <w:shd w:fill="E2E8F0"/>
          </w:tcPr>
          <w:p>
            <w:r>
              <w:rPr>
                <w:b/>
                <w:color w:val="1E293B"/>
                <w:sz w:val="20"/>
              </w:rPr>
              <w:t>Unit</w:t>
            </w:r>
          </w:p>
        </w:tc>
        <w:tc>
          <w:tcPr>
            <w:tcW w:type="dxa" w:w="2045"/>
            <w:shd w:fill="E2E8F0"/>
          </w:tcPr>
          <w:p>
            <w:r>
              <w:rPr>
                <w:b/>
                <w:color w:val="1E293B"/>
                <w:sz w:val="20"/>
              </w:rPr>
              <w:t>Normal Range</w:t>
            </w:r>
          </w:p>
        </w:tc>
        <w:tc>
          <w:tcPr>
            <w:tcW w:type="dxa" w:w="2045"/>
            <w:shd w:fill="E2E8F0"/>
          </w:tcPr>
          <w:p>
            <w:r>
              <w:rPr>
                <w:b/>
                <w:color w:val="1E293B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F1F5F9"/>
          </w:tcPr>
          <w:p>
            <w: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E3A8A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color w:val="1E293B"/>
                <w:sz w:val="20"/>
              </w:rPr>
              <w:t>Score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color w:val="1E293B"/>
                <w:sz w:val="20"/>
              </w:rPr>
              <w:t>Value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color w:val="1E293B"/>
                <w:sz w:val="20"/>
              </w:rPr>
              <w:t>Band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color w:val="1E293B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</w:tcPr>
          <w:p>
            <w: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</w:tcPr>
          <w:p>
            <w: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</w:tcPr>
          <w:p>
            <w: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E3A8A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E3A8A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E3A8A"/>
          <w:sz w:val="30"/>
        </w:rPr>
        <w:t>Appendix: Raw Structured Snapshot</w:t>
      </w:r>
    </w:p>
    <w:p>
      <w:r>
        <w:rPr>
          <w:b w:val="0"/>
          <w:color w:val="334155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