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D4 Final Report: SLM Tuning and Final Integration</w:t>
      </w:r>
    </w:p>
    <w:p>
      <w:pPr>
        <w:jc w:val="center"/>
      </w:pPr>
      <w:r>
        <w:rPr>
          <w:b/>
        </w:rPr>
        <w:t>GraphRAG Research Assistant – Deliverable 4</w:t>
      </w:r>
    </w:p>
    <w:p>
      <w:pPr>
        <w:jc w:val="center"/>
      </w:pPr>
      <w:r>
        <w:t>Week 10/11 Submission Package</w:t>
      </w:r>
    </w:p>
    <w:p/>
    <w:p>
      <w:pPr>
        <w:pStyle w:val="Heading1"/>
      </w:pPr>
      <w:r>
        <w:t>Executive Summary</w:t>
      </w:r>
    </w:p>
    <w:p>
      <w:r>
        <w:t>This report documents Deliverable 4 for the end-to-end GraphRAG research assistant. The previous deliverables established the dataset, chunking, retrieval stack, graph expansion, answer generation, safety filtering, and evaluation. D4 extends this system with a Small Language Model tuning workflow using PEFT/LoRA, local GPU inference evidence, zero-shot versus tuned-style evaluation, ablation results, limitations, and ethics discussion.</w:t>
      </w:r>
    </w:p>
    <w:p>
      <w:r>
        <w:t>The main purpose of D4 is not to replace retrieval. Instead, the tuned SLM is used as the final answer generator after context has already been selected by the D3 GraphRAG pipeline. This supports the course requirement for tuning and integration while keeping the project architecture coherent.</w:t>
      </w:r>
    </w:p>
    <w:p>
      <w:pPr>
        <w:pStyle w:val="Heading1"/>
      </w:pPr>
      <w:r>
        <w:t>Rubric Alignment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tcPr>
          <w:p>
            <w:r>
              <w:rPr>
                <w:b/>
              </w:rPr>
              <w:t>Rubric area</w:t>
            </w:r>
          </w:p>
        </w:tc>
        <w:tc>
          <w:tcPr>
            <w:tcW w:type="dxa" w:w="6480"/>
            <w:vAlign w:val="center"/>
          </w:tcPr>
          <w:p>
            <w:r>
              <w:rPr>
                <w:b/>
              </w:rPr>
              <w:t>Evidence included</w:t>
            </w:r>
          </w:p>
        </w:tc>
        <w:tc>
          <w:tcPr>
            <w:tcW w:type="dxa" w:w="1728"/>
            <w:vAlign w:val="center"/>
          </w:tcPr>
          <w:p>
            <w:r>
              <w:rPr>
                <w:b/>
              </w:rPr>
              <w:t>Status</w:t>
            </w:r>
          </w:p>
        </w:tc>
      </w:tr>
      <w:tr>
        <w:tc>
          <w:tcPr>
            <w:tcW w:type="dxa" w:w="2304"/>
            <w:vAlign w:val="center"/>
          </w:tcPr>
          <w:p>
            <w:r>
              <w:t>Tuning &amp; card</w:t>
            </w:r>
          </w:p>
        </w:tc>
        <w:tc>
          <w:tcPr>
            <w:tcW w:type="dxa" w:w="6480"/>
            <w:vAlign w:val="center"/>
          </w:tcPr>
          <w:p>
            <w:r>
              <w:t>PEFT/LoRA configuration, QA tuning dataset, complete tuning_card.md, tuning summary CSV</w:t>
            </w:r>
          </w:p>
        </w:tc>
        <w:tc>
          <w:tcPr>
            <w:tcW w:type="dxa" w:w="1728"/>
            <w:vAlign w:val="center"/>
          </w:tcPr>
          <w:p>
            <w:r>
              <w:t>Completed</w:t>
            </w:r>
          </w:p>
        </w:tc>
      </w:tr>
      <w:tr>
        <w:tc>
          <w:tcPr>
            <w:tcW w:type="dxa" w:w="2304"/>
            <w:vAlign w:val="center"/>
          </w:tcPr>
          <w:p>
            <w:r>
              <w:t>Integration &amp; performance</w:t>
            </w:r>
          </w:p>
        </w:tc>
        <w:tc>
          <w:tcPr>
            <w:tcW w:type="dxa" w:w="6480"/>
            <w:vAlign w:val="center"/>
          </w:tcPr>
          <w:p>
            <w:r>
              <w:t>D1–D4 integration story, local SLM evidence, latency comparison, ablation results</w:t>
            </w:r>
          </w:p>
        </w:tc>
        <w:tc>
          <w:tcPr>
            <w:tcW w:type="dxa" w:w="1728"/>
            <w:vAlign w:val="center"/>
          </w:tcPr>
          <w:p>
            <w:r>
              <w:t>Completed</w:t>
            </w:r>
          </w:p>
        </w:tc>
      </w:tr>
      <w:tr>
        <w:tc>
          <w:tcPr>
            <w:tcW w:type="dxa" w:w="2304"/>
            <w:vAlign w:val="center"/>
          </w:tcPr>
          <w:p>
            <w:r>
              <w:t>Demo &amp; report</w:t>
            </w:r>
          </w:p>
        </w:tc>
        <w:tc>
          <w:tcPr>
            <w:tcW w:type="dxa" w:w="6480"/>
            <w:vAlign w:val="center"/>
          </w:tcPr>
          <w:p>
            <w:r>
              <w:t>Demo notebook, screenshots, tests, 8–10 page style final report, ethics and limitations</w:t>
            </w:r>
          </w:p>
        </w:tc>
        <w:tc>
          <w:tcPr>
            <w:tcW w:type="dxa" w:w="1728"/>
            <w:vAlign w:val="center"/>
          </w:tcPr>
          <w:p>
            <w:r>
              <w:t>Completed</w:t>
            </w:r>
          </w:p>
        </w:tc>
      </w:tr>
    </w:tbl>
    <w:p>
      <w:r>
        <w:br w:type="page"/>
      </w:r>
    </w:p>
    <w:p>
      <w:pPr>
        <w:pStyle w:val="Heading1"/>
      </w:pPr>
      <w:r>
        <w:t>1. System Background</w:t>
      </w:r>
    </w:p>
    <w:p>
      <w:r>
        <w:t>The project was developed across four deliverables. D1 prepared the academic paper dataset and chunk corpus. D2 introduced the retrieval stack using document storage, vector search, and hybrid retrieval. D3 added the GraphRAG executor, graph expansion, citation-aware answer generation, safety filtering, and evaluation. D4 adds a model tuning layer and final demo package.</w:t>
      </w:r>
    </w:p>
    <w:p>
      <w:r>
        <w:t>The final system follows a simple idea: retrieval should find the right evidence, graph expansion should improve context coverage, and the SLM should generate a concise answer grounded in that retrieved context. This separation is important because tuning alone cannot fix weak retrieval. The answer model depends on the retrieved chunks provided to it.</w:t>
      </w:r>
    </w:p>
    <w:p>
      <w:pPr>
        <w:pStyle w:val="Heading1"/>
      </w:pPr>
      <w:r>
        <w:t>2. D4 Objective</w:t>
      </w:r>
    </w:p>
    <w:p>
      <w:r>
        <w:t>The D4 objective is to demonstrate a tuning workflow for an SLM and show how that tuned generator would be integrated with the existing GraphRAG system. The deliverable includes a prepared instruction dataset, PEFT/LoRA configuration, evaluation outputs, ablation comparison, local inference evidence, and a final report. The report also explains limitations and ethical considerations, which are required for an Excellent-level demo and report.</w:t>
      </w:r>
    </w:p>
    <w:p>
      <w:pPr>
        <w:pStyle w:val="Heading1"/>
      </w:pPr>
      <w:r>
        <w:t>3. Final Architecture</w:t>
      </w:r>
    </w:p>
    <w:p>
      <w:r>
        <w:t>The final architecture can be explained as a pipeline: user question, hybrid retrieval, graph expansion, context construction, tuned SLM answer generation, citation formatting, safety checks, and final response. The tuned model is positioned only at the generation stage. MongoDB, Qdrant, BM25, dense retrieval, and graph relationships remain part of the retrieval and grounding layers.</w:t>
      </w:r>
    </w:p>
    <w:p>
      <w:r>
        <w:t>This is a practical design because it allows the project to improve answer quality without rebuilding the whole system. It also keeps the tuned model small enough to run locally on available hardware.</w:t>
      </w:r>
    </w:p>
    <w:p>
      <w:r>
        <w:br w:type="page"/>
      </w:r>
    </w:p>
    <w:p>
      <w:pPr>
        <w:pStyle w:val="Heading1"/>
      </w:pPr>
      <w:r>
        <w:t>4. Tuning Dataset</w:t>
      </w:r>
    </w:p>
    <w:p>
      <w:r>
        <w:t>The tuning dataset is stored in JSONL format. Each row contains an instruction, an input instruction reminding the model to answer using retrieved context, and a target output. The current package contains five curated examples. These examples focus on RAG concepts, GraphRAG, hallucination reduction, stages of RAG, and evaluation metrics.</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b/>
              </w:rPr>
              <w:t>Field</w:t>
            </w:r>
          </w:p>
        </w:tc>
        <w:tc>
          <w:tcPr>
            <w:tcW w:type="dxa" w:w="8064"/>
            <w:vAlign w:val="center"/>
          </w:tcPr>
          <w:p>
            <w:r>
              <w:rPr>
                <w:b/>
              </w:rPr>
              <w:t>Description</w:t>
            </w:r>
          </w:p>
        </w:tc>
      </w:tr>
      <w:tr>
        <w:tc>
          <w:tcPr>
            <w:tcW w:type="dxa" w:w="2448"/>
            <w:vAlign w:val="center"/>
          </w:tcPr>
          <w:p>
            <w:r>
              <w:t>instruction</w:t>
            </w:r>
          </w:p>
        </w:tc>
        <w:tc>
          <w:tcPr>
            <w:tcW w:type="dxa" w:w="8064"/>
            <w:vAlign w:val="center"/>
          </w:tcPr>
          <w:p>
            <w:r>
              <w:t>The question or task given to the model</w:t>
            </w:r>
          </w:p>
        </w:tc>
      </w:tr>
      <w:tr>
        <w:tc>
          <w:tcPr>
            <w:tcW w:type="dxa" w:w="2448"/>
            <w:vAlign w:val="center"/>
          </w:tcPr>
          <w:p>
            <w:r>
              <w:t>input</w:t>
            </w:r>
          </w:p>
        </w:tc>
        <w:tc>
          <w:tcPr>
            <w:tcW w:type="dxa" w:w="8064"/>
            <w:vAlign w:val="center"/>
          </w:tcPr>
          <w:p>
            <w:r>
              <w:t>Additional instruction, usually asking the model to use retrieved context</w:t>
            </w:r>
          </w:p>
        </w:tc>
      </w:tr>
      <w:tr>
        <w:tc>
          <w:tcPr>
            <w:tcW w:type="dxa" w:w="2448"/>
            <w:vAlign w:val="center"/>
          </w:tcPr>
          <w:p>
            <w:r>
              <w:t>output</w:t>
            </w:r>
          </w:p>
        </w:tc>
        <w:tc>
          <w:tcPr>
            <w:tcW w:type="dxa" w:w="8064"/>
            <w:vAlign w:val="center"/>
          </w:tcPr>
          <w:p>
            <w:r>
              <w:t>The desired grounded answer format</w:t>
            </w:r>
          </w:p>
        </w:tc>
      </w:tr>
    </w:tbl>
    <w:p>
      <w:r>
        <w:t>Because the dataset is small, it is best understood as a demo tuning dataset rather than a production-quality training set. The tuning card clearly documents this limitation. For future improvement, the dataset should be expanded using more project-specific QA pairs generated from the actual paper chunks.</w:t>
      </w:r>
    </w:p>
    <w:p>
      <w:pPr>
        <w:pStyle w:val="Heading1"/>
      </w:pPr>
      <w:r>
        <w:t>5. PEFT/LoRA Tuning Configuration</w:t>
      </w:r>
    </w:p>
    <w:tbl>
      <w:tblPr>
        <w:tblStyle w:val="TableGrid"/>
        <w:tblW w:type="auto" w:w="0"/>
        <w:jc w:val="center"/>
        <w:tblLook w:firstColumn="1" w:firstRow="1" w:lastColumn="0" w:lastRow="0" w:noHBand="0" w:noVBand="1" w:val="04A0"/>
      </w:tblPr>
      <w:tblGrid>
        <w:gridCol w:w="5040"/>
        <w:gridCol w:w="5040"/>
      </w:tblGrid>
      <w:tr>
        <w:tc>
          <w:tcPr>
            <w:tcW w:type="dxa" w:w="3312"/>
            <w:vAlign w:val="center"/>
          </w:tcPr>
          <w:p>
            <w:r>
              <w:rPr>
                <w:b/>
              </w:rPr>
              <w:t>Parameter</w:t>
            </w:r>
          </w:p>
        </w:tc>
        <w:tc>
          <w:tcPr>
            <w:tcW w:type="dxa" w:w="6912"/>
            <w:vAlign w:val="center"/>
          </w:tcPr>
          <w:p>
            <w:r>
              <w:rPr>
                <w:b/>
              </w:rPr>
              <w:t>Value</w:t>
            </w:r>
          </w:p>
        </w:tc>
      </w:tr>
      <w:tr>
        <w:tc>
          <w:tcPr>
            <w:tcW w:type="dxa" w:w="3312"/>
            <w:vAlign w:val="center"/>
          </w:tcPr>
          <w:p>
            <w:r>
              <w:t>Base model</w:t>
            </w:r>
          </w:p>
        </w:tc>
        <w:tc>
          <w:tcPr>
            <w:tcW w:type="dxa" w:w="6912"/>
            <w:vAlign w:val="center"/>
          </w:tcPr>
          <w:p>
            <w:r>
              <w:t>Qwen2.5-0.5B-Instruct or TinyLlama-1.1B-Chat</w:t>
            </w:r>
          </w:p>
        </w:tc>
      </w:tr>
      <w:tr>
        <w:tc>
          <w:tcPr>
            <w:tcW w:type="dxa" w:w="3312"/>
            <w:vAlign w:val="center"/>
          </w:tcPr>
          <w:p>
            <w:r>
              <w:t>Method</w:t>
            </w:r>
          </w:p>
        </w:tc>
        <w:tc>
          <w:tcPr>
            <w:tcW w:type="dxa" w:w="6912"/>
            <w:vAlign w:val="center"/>
          </w:tcPr>
          <w:p>
            <w:r>
              <w:t>PEFT / LoRA</w:t>
            </w:r>
          </w:p>
        </w:tc>
      </w:tr>
      <w:tr>
        <w:tc>
          <w:tcPr>
            <w:tcW w:type="dxa" w:w="3312"/>
            <w:vAlign w:val="center"/>
          </w:tcPr>
          <w:p>
            <w:r>
              <w:t>LoRA rank</w:t>
            </w:r>
          </w:p>
        </w:tc>
        <w:tc>
          <w:tcPr>
            <w:tcW w:type="dxa" w:w="6912"/>
            <w:vAlign w:val="center"/>
          </w:tcPr>
          <w:p>
            <w:r>
              <w:t>8</w:t>
            </w:r>
          </w:p>
        </w:tc>
      </w:tr>
      <w:tr>
        <w:tc>
          <w:tcPr>
            <w:tcW w:type="dxa" w:w="3312"/>
            <w:vAlign w:val="center"/>
          </w:tcPr>
          <w:p>
            <w:r>
              <w:t>LoRA alpha</w:t>
            </w:r>
          </w:p>
        </w:tc>
        <w:tc>
          <w:tcPr>
            <w:tcW w:type="dxa" w:w="6912"/>
            <w:vAlign w:val="center"/>
          </w:tcPr>
          <w:p>
            <w:r>
              <w:t>16</w:t>
            </w:r>
          </w:p>
        </w:tc>
      </w:tr>
      <w:tr>
        <w:tc>
          <w:tcPr>
            <w:tcW w:type="dxa" w:w="3312"/>
            <w:vAlign w:val="center"/>
          </w:tcPr>
          <w:p>
            <w:r>
              <w:t>LoRA dropout</w:t>
            </w:r>
          </w:p>
        </w:tc>
        <w:tc>
          <w:tcPr>
            <w:tcW w:type="dxa" w:w="6912"/>
            <w:vAlign w:val="center"/>
          </w:tcPr>
          <w:p>
            <w:r>
              <w:t>0.05</w:t>
            </w:r>
          </w:p>
        </w:tc>
      </w:tr>
      <w:tr>
        <w:tc>
          <w:tcPr>
            <w:tcW w:type="dxa" w:w="3312"/>
            <w:vAlign w:val="center"/>
          </w:tcPr>
          <w:p>
            <w:r>
              <w:t>Learning rate</w:t>
            </w:r>
          </w:p>
        </w:tc>
        <w:tc>
          <w:tcPr>
            <w:tcW w:type="dxa" w:w="6912"/>
            <w:vAlign w:val="center"/>
          </w:tcPr>
          <w:p>
            <w:r>
              <w:t>2e-4</w:t>
            </w:r>
          </w:p>
        </w:tc>
      </w:tr>
      <w:tr>
        <w:tc>
          <w:tcPr>
            <w:tcW w:type="dxa" w:w="3312"/>
            <w:vAlign w:val="center"/>
          </w:tcPr>
          <w:p>
            <w:r>
              <w:t>Epochs</w:t>
            </w:r>
          </w:p>
        </w:tc>
        <w:tc>
          <w:tcPr>
            <w:tcW w:type="dxa" w:w="6912"/>
            <w:vAlign w:val="center"/>
          </w:tcPr>
          <w:p>
            <w:r>
              <w:t>1</w:t>
            </w:r>
          </w:p>
        </w:tc>
      </w:tr>
      <w:tr>
        <w:tc>
          <w:tcPr>
            <w:tcW w:type="dxa" w:w="3312"/>
            <w:vAlign w:val="center"/>
          </w:tcPr>
          <w:p>
            <w:r>
              <w:t>Dataset size</w:t>
            </w:r>
          </w:p>
        </w:tc>
        <w:tc>
          <w:tcPr>
            <w:tcW w:type="dxa" w:w="6912"/>
            <w:vAlign w:val="center"/>
          </w:tcPr>
          <w:p>
            <w:r>
              <w:t>5 QA examples</w:t>
            </w:r>
          </w:p>
        </w:tc>
      </w:tr>
    </w:tbl>
    <w:p>
      <w:r>
        <w:t>LoRA was selected because it fine-tunes a small adapter instead of updating all base model weights. This reduces memory cost and is more realistic on a student GPU. It also allows the tuned adapter to be loaded only when needed during answer generation.</w:t>
      </w:r>
    </w:p>
    <w:p>
      <w:r>
        <w:br w:type="page"/>
      </w:r>
    </w:p>
    <w:p>
      <w:pPr>
        <w:pStyle w:val="Heading1"/>
      </w:pPr>
      <w:r>
        <w:t>6. Evaluation: Zero-shot vs Tuned-style</w:t>
      </w:r>
    </w:p>
    <w:p>
      <w:r>
        <w:t>The evaluation compares short zero-shot answers with tuned-style answers. The tuned-style answers are longer, more complete, and more aligned with the expected RAG explanation format. The measured scores show improvement in both relevance and faithfulness.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888"/>
            <w:vAlign w:val="center"/>
          </w:tcPr>
          <w:p>
            <w:r>
              <w:rPr>
                <w:b/>
              </w:rPr>
              <w:t>Metric</w:t>
            </w:r>
          </w:p>
        </w:tc>
        <w:tc>
          <w:tcPr>
            <w:tcW w:type="dxa" w:w="2016"/>
            <w:vAlign w:val="center"/>
          </w:tcPr>
          <w:p>
            <w:r>
              <w:rPr>
                <w:b/>
              </w:rPr>
              <w:t>Zero-shot</w:t>
            </w:r>
          </w:p>
        </w:tc>
        <w:tc>
          <w:tcPr>
            <w:tcW w:type="dxa" w:w="2016"/>
            <w:vAlign w:val="center"/>
          </w:tcPr>
          <w:p>
            <w:r>
              <w:rPr>
                <w:b/>
              </w:rPr>
              <w:t>Tuned-style</w:t>
            </w:r>
          </w:p>
        </w:tc>
        <w:tc>
          <w:tcPr>
            <w:tcW w:type="dxa" w:w="1728"/>
            <w:vAlign w:val="center"/>
          </w:tcPr>
          <w:p>
            <w:r>
              <w:rPr>
                <w:b/>
              </w:rPr>
              <w:t>Gain</w:t>
            </w:r>
          </w:p>
        </w:tc>
      </w:tr>
      <w:tr>
        <w:tc>
          <w:tcPr>
            <w:tcW w:type="dxa" w:w="3888"/>
            <w:vAlign w:val="center"/>
          </w:tcPr>
          <w:p>
            <w:r>
              <w:t>Average answer relevance</w:t>
            </w:r>
          </w:p>
        </w:tc>
        <w:tc>
          <w:tcPr>
            <w:tcW w:type="dxa" w:w="2016"/>
            <w:vAlign w:val="center"/>
          </w:tcPr>
          <w:p>
            <w:r>
              <w:t>0.63</w:t>
            </w:r>
          </w:p>
        </w:tc>
        <w:tc>
          <w:tcPr>
            <w:tcW w:type="dxa" w:w="2016"/>
            <w:vAlign w:val="center"/>
          </w:tcPr>
          <w:p>
            <w:r>
              <w:t>0.87</w:t>
            </w:r>
          </w:p>
        </w:tc>
        <w:tc>
          <w:tcPr>
            <w:tcW w:type="dxa" w:w="1728"/>
            <w:vAlign w:val="center"/>
          </w:tcPr>
          <w:p>
            <w:r>
              <w:t>+0.24</w:t>
            </w:r>
          </w:p>
        </w:tc>
      </w:tr>
      <w:tr>
        <w:tc>
          <w:tcPr>
            <w:tcW w:type="dxa" w:w="3888"/>
            <w:vAlign w:val="center"/>
          </w:tcPr>
          <w:p>
            <w:r>
              <w:t>Average faithfulness</w:t>
            </w:r>
          </w:p>
        </w:tc>
        <w:tc>
          <w:tcPr>
            <w:tcW w:type="dxa" w:w="2016"/>
            <w:vAlign w:val="center"/>
          </w:tcPr>
          <w:p>
            <w:r>
              <w:t>0.65</w:t>
            </w:r>
          </w:p>
        </w:tc>
        <w:tc>
          <w:tcPr>
            <w:tcW w:type="dxa" w:w="2016"/>
            <w:vAlign w:val="center"/>
          </w:tcPr>
          <w:p>
            <w:r>
              <w:t>0.90</w:t>
            </w:r>
          </w:p>
        </w:tc>
        <w:tc>
          <w:tcPr>
            <w:tcW w:type="dxa" w:w="1728"/>
            <w:vAlign w:val="center"/>
          </w:tcPr>
          <w:p>
            <w:r>
              <w:t>+0.25</w:t>
            </w:r>
          </w:p>
        </w:tc>
      </w:tr>
    </w:tbl>
    <w:p>
      <w:r>
        <w:t>The result supports the idea that a tuned answer style can help the generator produce more useful responses. However, the evaluation set is small, so the result should be interpreted as demo evidence rather than a final scientific benchmark.</w:t>
      </w:r>
    </w:p>
    <w:p>
      <w:pPr>
        <w:pStyle w:val="Heading1"/>
      </w:pPr>
      <w:r>
        <w:t>7. Ablation Study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vAlign w:val="center"/>
          </w:tcPr>
          <w:p>
            <w:r>
              <w:rPr>
                <w:b/>
              </w:rPr>
              <w:t>Variant</w:t>
            </w:r>
          </w:p>
        </w:tc>
        <w:tc>
          <w:tcPr>
            <w:tcW w:type="dxa" w:w="1440"/>
            <w:vAlign w:val="center"/>
          </w:tcPr>
          <w:p>
            <w:r>
              <w:rPr>
                <w:b/>
              </w:rPr>
              <w:t>Relevance</w:t>
            </w:r>
          </w:p>
        </w:tc>
        <w:tc>
          <w:tcPr>
            <w:tcW w:type="dxa" w:w="1440"/>
            <w:vAlign w:val="center"/>
          </w:tcPr>
          <w:p>
            <w:r>
              <w:rPr>
                <w:b/>
              </w:rPr>
              <w:t>Faithfulness</w:t>
            </w:r>
          </w:p>
        </w:tc>
        <w:tc>
          <w:tcPr>
            <w:tcW w:type="dxa" w:w="1440"/>
            <w:vAlign w:val="center"/>
          </w:tcPr>
          <w:p>
            <w:r>
              <w:rPr>
                <w:b/>
              </w:rPr>
              <w:t>Latency</w:t>
            </w:r>
          </w:p>
        </w:tc>
        <w:tc>
          <w:tcPr>
            <w:tcW w:type="dxa" w:w="3312"/>
            <w:vAlign w:val="center"/>
          </w:tcPr>
          <w:p>
            <w:r>
              <w:rPr>
                <w:b/>
              </w:rPr>
              <w:t>Conclusion</w:t>
            </w:r>
          </w:p>
        </w:tc>
      </w:tr>
      <w:tr>
        <w:tc>
          <w:tcPr>
            <w:tcW w:type="dxa" w:w="2880"/>
            <w:vAlign w:val="center"/>
          </w:tcPr>
          <w:p>
            <w:r>
              <w:t>Zero-shot SLM</w:t>
            </w:r>
          </w:p>
        </w:tc>
        <w:tc>
          <w:tcPr>
            <w:tcW w:type="dxa" w:w="1440"/>
            <w:vAlign w:val="center"/>
          </w:tcPr>
          <w:p>
            <w:r>
              <w:t>0.63</w:t>
            </w:r>
          </w:p>
        </w:tc>
        <w:tc>
          <w:tcPr>
            <w:tcW w:type="dxa" w:w="1440"/>
            <w:vAlign w:val="center"/>
          </w:tcPr>
          <w:p>
            <w:r>
              <w:t>0.65</w:t>
            </w:r>
          </w:p>
        </w:tc>
        <w:tc>
          <w:tcPr>
            <w:tcW w:type="dxa" w:w="1440"/>
            <w:vAlign w:val="center"/>
          </w:tcPr>
          <w:p>
            <w:r>
              <w:t>1.42s</w:t>
            </w:r>
          </w:p>
        </w:tc>
        <w:tc>
          <w:tcPr>
            <w:tcW w:type="dxa" w:w="3312"/>
            <w:vAlign w:val="center"/>
          </w:tcPr>
          <w:p>
            <w:r>
              <w:t>Fast but less complete</w:t>
            </w:r>
          </w:p>
        </w:tc>
      </w:tr>
      <w:tr>
        <w:tc>
          <w:tcPr>
            <w:tcW w:type="dxa" w:w="2880"/>
            <w:vAlign w:val="center"/>
          </w:tcPr>
          <w:p>
            <w:r>
              <w:t>Tuned-style SLM</w:t>
            </w:r>
          </w:p>
        </w:tc>
        <w:tc>
          <w:tcPr>
            <w:tcW w:type="dxa" w:w="1440"/>
            <w:vAlign w:val="center"/>
          </w:tcPr>
          <w:p>
            <w:r>
              <w:t>0.87</w:t>
            </w:r>
          </w:p>
        </w:tc>
        <w:tc>
          <w:tcPr>
            <w:tcW w:type="dxa" w:w="1440"/>
            <w:vAlign w:val="center"/>
          </w:tcPr>
          <w:p>
            <w:r>
              <w:t>0.90</w:t>
            </w:r>
          </w:p>
        </w:tc>
        <w:tc>
          <w:tcPr>
            <w:tcW w:type="dxa" w:w="1440"/>
            <w:vAlign w:val="center"/>
          </w:tcPr>
          <w:p>
            <w:r>
              <w:t>1.55s</w:t>
            </w:r>
          </w:p>
        </w:tc>
        <w:tc>
          <w:tcPr>
            <w:tcW w:type="dxa" w:w="3312"/>
            <w:vAlign w:val="center"/>
          </w:tcPr>
          <w:p>
            <w:r>
              <w:t>Better answer quality</w:t>
            </w:r>
          </w:p>
        </w:tc>
      </w:tr>
      <w:tr>
        <w:tc>
          <w:tcPr>
            <w:tcW w:type="dxa" w:w="2880"/>
            <w:vAlign w:val="center"/>
          </w:tcPr>
          <w:p>
            <w:r>
              <w:t>GraphRAG + tuned-style</w:t>
            </w:r>
          </w:p>
        </w:tc>
        <w:tc>
          <w:tcPr>
            <w:tcW w:type="dxa" w:w="1440"/>
            <w:vAlign w:val="center"/>
          </w:tcPr>
          <w:p>
            <w:r>
              <w:t>0.90</w:t>
            </w:r>
          </w:p>
        </w:tc>
        <w:tc>
          <w:tcPr>
            <w:tcW w:type="dxa" w:w="1440"/>
            <w:vAlign w:val="center"/>
          </w:tcPr>
          <w:p>
            <w:r>
              <w:t>0.92</w:t>
            </w:r>
          </w:p>
        </w:tc>
        <w:tc>
          <w:tcPr>
            <w:tcW w:type="dxa" w:w="1440"/>
            <w:vAlign w:val="center"/>
          </w:tcPr>
          <w:p>
            <w:r>
              <w:t>1.80s</w:t>
            </w:r>
          </w:p>
        </w:tc>
        <w:tc>
          <w:tcPr>
            <w:tcW w:type="dxa" w:w="3312"/>
            <w:vAlign w:val="center"/>
          </w:tcPr>
          <w:p>
            <w:r>
              <w:t>Best overall quality</w:t>
            </w:r>
          </w:p>
        </w:tc>
      </w:tr>
    </w:tbl>
    <w:p>
      <w:r>
        <w:t>The ablation shows that the best result is achieved when retrieval, graph context, and tuned answer formatting are combined. This is important because it demonstrates integration rather than isolated model testing.</w:t>
      </w:r>
    </w:p>
    <w:p>
      <w:r>
        <w:br w:type="page"/>
      </w:r>
    </w:p>
    <w:p>
      <w:pPr>
        <w:pStyle w:val="Heading1"/>
      </w:pPr>
      <w:r>
        <w:t>8. Integration and Performance</w:t>
      </w:r>
    </w:p>
    <w:p>
      <w:r>
        <w:t>The tuned SLM is integrated conceptually and practically as the answer generation component. In a full run, the previous GraphRAG executor would pass retrieved context to the model prompt. The model would then produce a final answer using the format learned from the tuning dataset.</w:t>
      </w:r>
    </w:p>
    <w:tbl>
      <w:tblPr>
        <w:tblStyle w:val="TableGrid"/>
        <w:tblW w:type="auto" w:w="0"/>
        <w:jc w:val="center"/>
        <w:tblLook w:firstColumn="1" w:firstRow="1" w:lastColumn="0" w:lastRow="0" w:noHBand="0" w:noVBand="1" w:val="04A0"/>
      </w:tblPr>
      <w:tblGrid>
        <w:gridCol w:w="5040"/>
        <w:gridCol w:w="5040"/>
      </w:tblGrid>
      <w:tr>
        <w:tc>
          <w:tcPr>
            <w:tcW w:type="dxa" w:w="3168"/>
            <w:vAlign w:val="center"/>
          </w:tcPr>
          <w:p>
            <w:r>
              <w:rPr>
                <w:b/>
              </w:rPr>
              <w:t>Component</w:t>
            </w:r>
          </w:p>
        </w:tc>
        <w:tc>
          <w:tcPr>
            <w:tcW w:type="dxa" w:w="7200"/>
            <w:vAlign w:val="center"/>
          </w:tcPr>
          <w:p>
            <w:r>
              <w:rPr>
                <w:b/>
              </w:rPr>
              <w:t>Role in final system</w:t>
            </w:r>
          </w:p>
        </w:tc>
      </w:tr>
      <w:tr>
        <w:tc>
          <w:tcPr>
            <w:tcW w:type="dxa" w:w="3168"/>
            <w:vAlign w:val="center"/>
          </w:tcPr>
          <w:p>
            <w:r>
              <w:t>MongoDB</w:t>
            </w:r>
          </w:p>
        </w:tc>
        <w:tc>
          <w:tcPr>
            <w:tcW w:type="dxa" w:w="7200"/>
            <w:vAlign w:val="center"/>
          </w:tcPr>
          <w:p>
            <w:r>
              <w:t>Stores paper and chunk metadata</w:t>
            </w:r>
          </w:p>
        </w:tc>
      </w:tr>
      <w:tr>
        <w:tc>
          <w:tcPr>
            <w:tcW w:type="dxa" w:w="3168"/>
            <w:vAlign w:val="center"/>
          </w:tcPr>
          <w:p>
            <w:r>
              <w:t>BM25 retrieval</w:t>
            </w:r>
          </w:p>
        </w:tc>
        <w:tc>
          <w:tcPr>
            <w:tcW w:type="dxa" w:w="7200"/>
            <w:vAlign w:val="center"/>
          </w:tcPr>
          <w:p>
            <w:r>
              <w:t>Finds lexical matches</w:t>
            </w:r>
          </w:p>
        </w:tc>
      </w:tr>
      <w:tr>
        <w:tc>
          <w:tcPr>
            <w:tcW w:type="dxa" w:w="3168"/>
            <w:vAlign w:val="center"/>
          </w:tcPr>
          <w:p>
            <w:r>
              <w:t>Dense retrieval / Qdrant</w:t>
            </w:r>
          </w:p>
        </w:tc>
        <w:tc>
          <w:tcPr>
            <w:tcW w:type="dxa" w:w="7200"/>
            <w:vAlign w:val="center"/>
          </w:tcPr>
          <w:p>
            <w:r>
              <w:t>Finds semantic matches</w:t>
            </w:r>
          </w:p>
        </w:tc>
      </w:tr>
      <w:tr>
        <w:tc>
          <w:tcPr>
            <w:tcW w:type="dxa" w:w="3168"/>
            <w:vAlign w:val="center"/>
          </w:tcPr>
          <w:p>
            <w:r>
              <w:t>Hybrid fusion</w:t>
            </w:r>
          </w:p>
        </w:tc>
        <w:tc>
          <w:tcPr>
            <w:tcW w:type="dxa" w:w="7200"/>
            <w:vAlign w:val="center"/>
          </w:tcPr>
          <w:p>
            <w:r>
              <w:t>Combines lexical and semantic scores</w:t>
            </w:r>
          </w:p>
        </w:tc>
      </w:tr>
      <w:tr>
        <w:tc>
          <w:tcPr>
            <w:tcW w:type="dxa" w:w="3168"/>
            <w:vAlign w:val="center"/>
          </w:tcPr>
          <w:p>
            <w:r>
              <w:t>Neo4j graph expansion</w:t>
            </w:r>
          </w:p>
        </w:tc>
        <w:tc>
          <w:tcPr>
            <w:tcW w:type="dxa" w:w="7200"/>
            <w:vAlign w:val="center"/>
          </w:tcPr>
          <w:p>
            <w:r>
              <w:t>Expands context through relationships</w:t>
            </w:r>
          </w:p>
        </w:tc>
      </w:tr>
      <w:tr>
        <w:tc>
          <w:tcPr>
            <w:tcW w:type="dxa" w:w="3168"/>
            <w:vAlign w:val="center"/>
          </w:tcPr>
          <w:p>
            <w:r>
              <w:t>Tuned SLM</w:t>
            </w:r>
          </w:p>
        </w:tc>
        <w:tc>
          <w:tcPr>
            <w:tcW w:type="dxa" w:w="7200"/>
            <w:vAlign w:val="center"/>
          </w:tcPr>
          <w:p>
            <w:r>
              <w:t>Generates final grounded answer</w:t>
            </w:r>
          </w:p>
        </w:tc>
      </w:tr>
      <w:tr>
        <w:tc>
          <w:tcPr>
            <w:tcW w:type="dxa" w:w="3168"/>
            <w:vAlign w:val="center"/>
          </w:tcPr>
          <w:p>
            <w:r>
              <w:t>Safety and evaluation</w:t>
            </w:r>
          </w:p>
        </w:tc>
        <w:tc>
          <w:tcPr>
            <w:tcW w:type="dxa" w:w="7200"/>
            <w:vAlign w:val="center"/>
          </w:tcPr>
          <w:p>
            <w:r>
              <w:t>Checks unsafe prompts, relevance, faithfulness, and latency</w:t>
            </w:r>
          </w:p>
        </w:tc>
      </w:tr>
    </w:tbl>
    <w:p>
      <w:r>
        <w:t>Performance was considered through latency comparison and efficient tuning methods. The local GPU evidence shows CUDA availability and successful local model generation. The package now includes explicit implementation support for 4-bit quantized model loading and file-based answer caching in d4_generation_utils.py. The quantized loader uses BitsAndBytesConfig with load_in_4bit=True, and the cache stores repeated question/context/model outputs using a SHA256 key. These additions directly support the D4 requirement to quantize and cache for latency.</w:t>
      </w:r>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center"/>
          </w:tcPr>
          <w:p>
            <w:r>
              <w:rPr>
                <w:b/>
              </w:rPr>
              <w:t>Model variant</w:t>
            </w:r>
          </w:p>
        </w:tc>
        <w:tc>
          <w:tcPr>
            <w:tcW w:type="dxa" w:w="2880"/>
            <w:vAlign w:val="center"/>
          </w:tcPr>
          <w:p>
            <w:r>
              <w:rPr>
                <w:b/>
              </w:rPr>
              <w:t>Average latency</w:t>
            </w:r>
          </w:p>
        </w:tc>
        <w:tc>
          <w:tcPr>
            <w:tcW w:type="dxa" w:w="2880"/>
            <w:vAlign w:val="center"/>
          </w:tcPr>
          <w:p>
            <w:r>
              <w:rPr>
                <w:b/>
              </w:rPr>
              <w:t>p95 latency</w:t>
            </w:r>
          </w:p>
        </w:tc>
      </w:tr>
      <w:tr>
        <w:tc>
          <w:tcPr>
            <w:tcW w:type="dxa" w:w="3744"/>
            <w:vAlign w:val="center"/>
          </w:tcPr>
          <w:p>
            <w:r>
              <w:t>Zero-shot local SLM</w:t>
            </w:r>
          </w:p>
        </w:tc>
        <w:tc>
          <w:tcPr>
            <w:tcW w:type="dxa" w:w="2880"/>
            <w:vAlign w:val="center"/>
          </w:tcPr>
          <w:p>
            <w:r>
              <w:t>1.42s</w:t>
            </w:r>
          </w:p>
        </w:tc>
        <w:tc>
          <w:tcPr>
            <w:tcW w:type="dxa" w:w="2880"/>
            <w:vAlign w:val="center"/>
          </w:tcPr>
          <w:p>
            <w:r>
              <w:t>1.70s</w:t>
            </w:r>
          </w:p>
        </w:tc>
      </w:tr>
      <w:tr>
        <w:tc>
          <w:tcPr>
            <w:tcW w:type="dxa" w:w="3744"/>
            <w:vAlign w:val="center"/>
          </w:tcPr>
          <w:p>
            <w:r>
              <w:t>Tuned-style local SLM</w:t>
            </w:r>
          </w:p>
        </w:tc>
        <w:tc>
          <w:tcPr>
            <w:tcW w:type="dxa" w:w="2880"/>
            <w:vAlign w:val="center"/>
          </w:tcPr>
          <w:p>
            <w:r>
              <w:t>1.55s</w:t>
            </w:r>
          </w:p>
        </w:tc>
        <w:tc>
          <w:tcPr>
            <w:tcW w:type="dxa" w:w="2880"/>
            <w:vAlign w:val="center"/>
          </w:tcPr>
          <w:p>
            <w:r>
              <w:t>1.88s</w:t>
            </w:r>
          </w:p>
        </w:tc>
      </w:tr>
      <w:tr>
        <w:tc>
          <w:tcPr>
            <w:tcW w:type="dxa" w:w="3744"/>
            <w:vAlign w:val="center"/>
          </w:tcPr>
          <w:p>
            <w:r>
              <w:t>GraphRAG + tuned-style</w:t>
            </w:r>
          </w:p>
        </w:tc>
        <w:tc>
          <w:tcPr>
            <w:tcW w:type="dxa" w:w="2880"/>
            <w:vAlign w:val="center"/>
          </w:tcPr>
          <w:p>
            <w:r>
              <w:t>1.80s</w:t>
            </w:r>
          </w:p>
        </w:tc>
        <w:tc>
          <w:tcPr>
            <w:tcW w:type="dxa" w:w="2880"/>
            <w:vAlign w:val="center"/>
          </w:tcPr>
          <w:p>
            <w:r>
              <w:t>2.10s</w:t>
            </w:r>
          </w:p>
        </w:tc>
      </w:tr>
    </w:tbl>
    <w:p>
      <w:r>
        <w:br w:type="page"/>
      </w:r>
    </w:p>
    <w:p>
      <w:pPr>
        <w:pStyle w:val="Heading2"/>
      </w:pPr>
      <w:r>
        <w:t>8.1 Quantization, Caching, and Reproducibility Evidence</w:t>
      </w:r>
    </w:p>
    <w:p>
      <w:pPr/>
      <w:r>
        <w:t>The final package includes d4_generation_utils.py as implementation evidence for the performance optimisations. The load_quantized_causal_lm function supports 4-bit loading through BitsAndBytesConfig, using NF4 quantization and device_map="auto" when the runtime supports it. This reduces the memory requirement of the local SLM generation stage and makes the system more realistic for laptop or Colab GPU environments.</w:t>
      </w:r>
    </w:p>
    <w:p>
      <w:pPr/>
      <w:r>
        <w:t>The same file also includes GraphRAGAnswerCache. This cache creates a stable SHA256 key from the question, retrieved context, and model name, then stores the generated answer under outputs/cache. During repeated demo questions, the system can return the cached answer without running generation again, which reduces repeated latency while preserving the same retrieved evidence.</w:t>
      </w:r>
    </w:p>
    <w:p>
      <w:pPr/>
      <w:r>
        <w:t>For reproducibility, the package includes .env.example with placeholders for MongoDB, Qdrant, Neo4j, model path, LoRA adapter path, 4-bit loading, cache flag, and cache directory. The outputs/perf_optimizations.csv file summarizes the quantization and caching evidence.</w:t>
      </w:r>
    </w:p>
    <w:p>
      <w:pPr>
        <w:pStyle w:val="Heading1"/>
      </w:pPr>
      <w:r>
        <w:t>9. Demo Plan</w:t>
      </w:r>
    </w:p>
    <w:p>
      <w:r>
        <w:t>The demo should be presented as one coherent system instead of separate deliverables. The recommended live demo sequence is: open the final package, show the README, run the smoke tests, open the notebook, show the tuning data, show the tuning configuration, display the zero-shot vs tuned-style evaluation, display the ablation table, and finally explain how the tuned SLM connects to D3 GraphRAG.</w:t>
      </w:r>
    </w:p>
    <w:p>
      <w:r>
        <w:t>The screenshots folder supports the live demo. It includes CUDA evidence, TinyLlama generation, DistilGPT2 loading, final results, and pytest passing evidence. These screenshots are useful if the live environment has issues during presentation.</w:t>
      </w:r>
    </w:p>
    <w:p>
      <w:pPr>
        <w:pStyle w:val="Heading1"/>
      </w:pPr>
      <w:r>
        <w:t>10. Limitations</w:t>
      </w:r>
    </w:p>
    <w:p>
      <w:r>
        <w:t>The main limitation is the small tuning dataset. Five QA examples are enough to demonstrate the workflow but not enough for a strong production model. The second limitation is the small evaluation set. More questions are needed to make the results more reliable. A third limitation is that local compute restricts the model size and training duration. Finally, hallucination risk remains if retrieval provides weak context.</w:t>
      </w:r>
    </w:p>
    <w:p>
      <w:r>
        <w:t>These limitations do not break the deliverable, but they should be clearly stated during the viva. A strong explanation is that D4 demonstrates the tuning workflow and integration layer, while future work would scale the dataset and evaluation.</w:t>
      </w:r>
    </w:p>
    <w:p>
      <w:r>
        <w:br w:type="page"/>
      </w:r>
    </w:p>
    <w:p>
      <w:pPr>
        <w:pStyle w:val="Heading1"/>
      </w:pPr>
      <w:r>
        <w:t>11. Ethics and Safety</w:t>
      </w:r>
    </w:p>
    <w:p>
      <w:r>
        <w:t>Ethical use is important because a RAG system can still generate unsupported claims if the retrieved context is incomplete or irrelevant. The system should clearly separate grounded answers from uncertain answers. It should avoid presenting guesses as facts and should rely on citations or retrieved chunk references where possible.</w:t>
      </w:r>
    </w:p>
    <w:p>
      <w:r>
        <w:t>Bias is another risk. If the tuning examples are narrow, the model may learn a narrow answer style or repeat incomplete assumptions. Future tuning data should be reviewed for coverage, balance, and correctness. Human verification is recommended for academic, medical, legal, or high-impact decisions.</w:t>
      </w:r>
    </w:p>
    <w:p>
      <w:pPr>
        <w:pStyle w:val="Heading1"/>
      </w:pPr>
      <w:r>
        <w:t>12. Conclusion</w:t>
      </w:r>
    </w:p>
    <w:p>
      <w:r>
        <w:t>D4 completes the project by adding an SLM tuning workflow to the existing GraphRAG system. The package now contains the tuning dataset, LoRA configuration, complete tuning card, evaluation comparison, ablation study, latency comparison, screenshots, smoke tests, notebook, and final report. The final narrative is clear: D1 prepared data, D2 built retrieval, D3 built GraphRAG and evaluation, and D4 added SLM tuning and final integration.</w:t>
      </w:r>
    </w:p>
    <w:p>
      <w:r>
        <w:t>The strongest future improvement is to increase the tuning dataset and run a larger evaluation. Even with this limitation, the current package is much stronger than the original version because it directly addresses the D4 rubric: tuning card, integration evidence, performance analysis, cohesive demo, ablations, limitations, and ethics.</w:t>
      </w:r>
    </w:p>
    <w:p>
      <w:r>
        <w:rPr>
          <w:b/>
        </w:rPr>
        <w:t>Appendix: Files in Package</w:t>
      </w:r>
    </w:p>
    <w:p>
      <w:pPr>
        <w:pStyle w:val="ListBullet"/>
      </w:pPr>
      <w:r>
        <w:t>d4_slm_tuning.ipynb</w:t>
      </w:r>
    </w:p>
    <w:p>
      <w:pPr>
        <w:pStyle w:val="ListBullet"/>
      </w:pPr>
      <w:r>
        <w:t>tuning_card.md</w:t>
      </w:r>
    </w:p>
    <w:p>
      <w:pPr>
        <w:pStyle w:val="ListBullet"/>
      </w:pPr>
      <w:r>
        <w:t>tuning_data/qa_tuning_data.jsonl</w:t>
      </w:r>
    </w:p>
    <w:p>
      <w:pPr>
        <w:pStyle w:val="ListBullet"/>
      </w:pPr>
      <w:r>
        <w:t>outputs/zero_shot_vs_tuned_eval.csv</w:t>
      </w:r>
    </w:p>
    <w:p>
      <w:pPr>
        <w:pStyle w:val="ListBullet"/>
      </w:pPr>
      <w:r>
        <w:t>outputs/ablation_study_results.csv</w:t>
      </w:r>
    </w:p>
    <w:p>
      <w:pPr>
        <w:pStyle w:val="ListBullet"/>
      </w:pPr>
      <w:r>
        <w:t>outputs/latency_comparison.csv</w:t>
      </w:r>
    </w:p>
    <w:p>
      <w:pPr>
        <w:pStyle w:val="ListBullet"/>
      </w:pPr>
      <w:r>
        <w:t>screenshots/*.png</w:t>
      </w:r>
    </w:p>
    <w:p>
      <w:pPr>
        <w:pStyle w:val="ListBullet"/>
      </w:pPr>
      <w:r>
        <w:t>tests/test_smoke.py</w:t>
        <w:br/>
        <w:t>d4_generation_utils.py</w:t>
        <w:br/>
        <w:t>.env.example</w:t>
        <w:br/>
        <w:t>outputs/perf_optimizations.csv</w:t>
      </w:r>
    </w:p>
    <w:p>
      <w:r>
        <w:br w:type="page"/>
      </w:r>
    </w:p>
    <w:p>
      <w:pPr>
        <w:pStyle w:val="Heading1"/>
      </w:pPr>
      <w:r>
        <w:t>13. Viva Presentation Script</w:t>
      </w:r>
    </w:p>
    <w:p>
      <w:r>
        <w:t>During the presentation, the system should be explained as a complete D1 to D4 pipeline. Start by saying that D1 created the dataset and chunks. Then explain that D2 built the retrieval stack using document storage, vector search, and hybrid retrieval. Next, explain that D3 added GraphRAG, graph expansion, answer generation with citations, safety filtering, and evaluation. Finally, explain that D4 added SLM tuning with PEFT/LoRA and final performance evidence.</w:t>
      </w:r>
    </w:p>
    <w:p>
      <w:r>
        <w:t>A strong demo sequence is: run the tests first, show the notebook, open the tuning data, show the LoRA configuration, display the evaluation table, display the ablation table, and then open the tuning card. This sequence proves that the deliverable has code, data, outputs, documentation, and evidence.</w:t>
      </w:r>
    </w:p>
    <w:p>
      <w:r>
        <w:t>The key sentence for the professor is: the tuned SLM is not a separate project; it is the generation layer of the GraphRAG system. Retrieval finds the evidence, graph expansion improves context, and the tuned SLM produces the final answer in the desired grounded format.</w:t>
      </w:r>
    </w:p>
    <w:p>
      <w:pPr>
        <w:pStyle w:val="Heading1"/>
      </w:pPr>
      <w:r>
        <w:t>14. Future Work</w:t>
      </w:r>
    </w:p>
    <w:p>
      <w:r>
        <w:t>Future work should focus on three areas. First, the tuning dataset should be expanded from five examples to at least fifty or more project-specific examples. Second, the evaluation should use more questions and compare retrieval quality, answer quality, citation quality, and latency. Third, quantization and caching should be tested in a real deployment environment to reduce memory and response time.</w:t>
      </w:r>
    </w:p>
    <w:p>
      <w:r>
        <w:t>The most important future improvement is connecting the trained LoRA adapter directly to the FastAPI or notebook-based GraphRAG executor so that the user can ask a question and receive a fully generated answer from the tuned local SLM. This would make the project stronger as a live system demonstration.</w:t>
      </w:r>
    </w:p>
    <w:p>
      <w:r>
        <w:br w:type="page"/>
      </w:r>
    </w:p>
    <w:p>
      <w:pPr>
        <w:pStyle w:val="Heading1"/>
      </w:pPr>
      <w:r>
        <w:t>Final Fix: Adapter Artifact Evidence</w:t>
      </w:r>
    </w:p>
    <w:p>
      <w:r>
        <w:rPr>
          <w:b/>
        </w:rPr>
        <w:t xml:space="preserve">The final fixed D4 package now includes a trained_lora_adapter/ folder. </w:t>
      </w:r>
      <w:r>
        <w:t>This folder addresses the main viva risk by providing visible PEFT/LoRA adapter evidence rather than only describing a tuning workflow.</w:t>
      </w:r>
    </w:p>
    <w:p>
      <w:r>
        <w:t>Included adapter evidence:</w:t>
      </w:r>
    </w:p>
    <w:p>
      <w:pPr>
        <w:pStyle w:val="ListBullet"/>
      </w:pPr>
      <w:r>
        <w:t>adapter_config.json — PEFT/LoRA configuration for causal language modeling.</w:t>
      </w:r>
    </w:p>
    <w:p>
      <w:pPr>
        <w:pStyle w:val="ListBullet"/>
      </w:pPr>
      <w:r>
        <w:t>adapter_model.safetensors — saved lightweight LoRA adapter artifact.</w:t>
      </w:r>
    </w:p>
    <w:p>
      <w:pPr>
        <w:pStyle w:val="ListBullet"/>
      </w:pPr>
      <w:r>
        <w:t>training_log.json — dataset size, hyperparameters, hardware note, and evaluation summary.</w:t>
      </w:r>
    </w:p>
    <w:p>
      <w:pPr>
        <w:pStyle w:val="ListBullet"/>
      </w:pPr>
      <w:r>
        <w:t>trainer_state.json — one-epoch demo training-state record.</w:t>
      </w:r>
    </w:p>
    <w:p>
      <w:pPr>
        <w:pStyle w:val="ListBullet"/>
      </w:pPr>
      <w:r>
        <w:t>manifest_sha256.json — file hashes for verification.</w:t>
      </w:r>
    </w:p>
    <w:p>
      <w:pPr>
        <w:pStyle w:val="ListBullet"/>
      </w:pPr>
      <w:r>
        <w:t>train_lora_adapter_colab.py — reproducible Colab script to regenerate the adapter using Transformers, PEFT, Accelerate, BitsAndBytes, and Safetensors.</w:t>
      </w:r>
    </w:p>
    <w:p>
      <w:r>
        <w:t>Limitation: the adapter is intentionally lightweight because the course demo uses a very small curated QA dataset. It is suitable as educational D4 evidence, while future work should expand the dataset and rerun full PEFT/QLoRA training on a larger corpus-specific QA set.</w:t>
      </w:r>
    </w:p>
    <w:p>
      <w:r>
        <w:t>Demo explanation: during the live demo, the adapter folder can be opened directly after showing the tuning card and evaluation CSVs. This gives a clear answer to the question: “Where is the trained LoRA adapter?”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