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Tajawal" w:cs="Tajawal" w:eastAsia="Tajawal" w:hAnsi="Tajawal"/>
          <w:b w:val="1"/>
          <w:color w:val="1155cc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1155cc"/>
          <w:sz w:val="36"/>
          <w:szCs w:val="36"/>
          <w:rtl w:val="1"/>
        </w:rPr>
        <w:t xml:space="preserve">تاسك</w:t>
      </w:r>
      <w:r w:rsidDel="00000000" w:rsidR="00000000" w:rsidRPr="00000000">
        <w:rPr>
          <w:rFonts w:ascii="Tajawal" w:cs="Tajawal" w:eastAsia="Tajawal" w:hAnsi="Tajawal"/>
          <w:b w:val="1"/>
          <w:color w:val="1155cc"/>
          <w:sz w:val="36"/>
          <w:szCs w:val="36"/>
          <w:rtl w:val="1"/>
        </w:rPr>
        <w:t xml:space="preserve"> 4</w:t>
      </w:r>
    </w:p>
    <w:p w:rsidR="00000000" w:rsidDel="00000000" w:rsidP="00000000" w:rsidRDefault="00000000" w:rsidRPr="00000000" w14:paraId="00000002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1-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قراءة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وتلخيص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0"/>
        </w:rPr>
        <w:t xml:space="preserve">ch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1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الكتاب</w:t>
      </w:r>
    </w:p>
    <w:p w:rsidR="00000000" w:rsidDel="00000000" w:rsidP="00000000" w:rsidRDefault="00000000" w:rsidRPr="00000000" w14:paraId="00000003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الفصل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الأول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كتاب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Hands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Machine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Learning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04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المقدمة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يقدم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الفصل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الأول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نظرة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عامة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بما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تعريف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تطبيقات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خطوات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تعريف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فرع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فروع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الذكاء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الاصطناعي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أجهزة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الكمبيوتر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تتم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برمجتها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صريح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أنواع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شرف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صن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شرف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صن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المعز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ز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النظام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التجربة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والخطأ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تطبيقات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التعرف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الصور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التعرف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الوجوه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تصنيف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الصور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معالجة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اللغة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الطبيعية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الترجمة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بسعر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الأسهم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بالطقس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التوصيات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التوصية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للمنتجات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أنظمة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التوصية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بالأفلام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خطوات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مصادر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مختلفة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تنظيف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إزالة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تناسقة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تكررة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معالجة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تحويل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صيغة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مناسبة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اختيار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اختيار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مناسب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لنوع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وطبيعة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المشكلة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تدريب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تدريب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جم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تقييم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تقييم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أداء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جديدة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نشر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بيئة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الإنتاج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مهارات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البرمجة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إتقان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لغة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برمجة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الرياضيات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أساسيات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الإحصاء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والاحتمال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كيفية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جمع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تنظيفها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ومعالجتها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الخوارزميات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خوارزميات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Tajawal" w:cs="Tajawal" w:eastAsia="Tajawal" w:hAnsi="Tajawal"/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2-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كتابة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فقرة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مختصرة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بلغتك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الخاصة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لفهمك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لمصطلح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الآلة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"</w:t>
      </w:r>
    </w:p>
    <w:p w:rsidR="00000000" w:rsidDel="00000000" w:rsidP="00000000" w:rsidRDefault="00000000" w:rsidRPr="00000000" w14:paraId="0000002C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رأيي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مكن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خلاله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للآلات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حس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أدائها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دون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الحاجة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برمجتها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صريح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والاستفادة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تلك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يستخدم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للاستفادة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منها</w:t>
      </w:r>
    </w:p>
    <w:p w:rsidR="00000000" w:rsidDel="00000000" w:rsidP="00000000" w:rsidRDefault="00000000" w:rsidRPr="00000000" w14:paraId="0000002E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شبه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الآلة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عملية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الإنسان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الخبرات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حيث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ستخدم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الخوارزميات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لتحليل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واستخراج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الأنماط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والعلاقات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والاستفادة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بناء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قرارات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وغيره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. . </w:t>
      </w:r>
    </w:p>
    <w:p w:rsidR="00000000" w:rsidDel="00000000" w:rsidP="00000000" w:rsidRDefault="00000000" w:rsidRPr="00000000" w14:paraId="0000002F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3-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اقتراح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فكرة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يمكن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تطبيقها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باستخدام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الـ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36"/>
          <w:szCs w:val="36"/>
          <w:rtl w:val="0"/>
        </w:rPr>
        <w:t xml:space="preserve">ML</w:t>
      </w:r>
    </w:p>
    <w:p w:rsidR="00000000" w:rsidDel="00000000" w:rsidP="00000000" w:rsidRDefault="00000000" w:rsidRPr="00000000" w14:paraId="00000032">
      <w:pPr>
        <w:bidi w:val="1"/>
        <w:jc w:val="center"/>
        <w:rPr>
          <w:rFonts w:ascii="Tajawal" w:cs="Tajawal" w:eastAsia="Tajawal" w:hAnsi="Tajawal"/>
          <w:b w:val="1"/>
          <w:color w:val="3c78d8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تنبؤ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بسلوك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المستهلك</w:t>
      </w:r>
      <w:r w:rsidDel="00000000" w:rsidR="00000000" w:rsidRPr="00000000">
        <w:rPr>
          <w:rFonts w:ascii="Tajawal" w:cs="Tajawal" w:eastAsia="Tajawal" w:hAnsi="Tajawal"/>
          <w:b w:val="1"/>
          <w:color w:val="3c78d8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مفصل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لنظام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تنبؤ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بسلوك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المستهلك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1.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الهدف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التنبؤ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بسلوك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المستهلكين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يشترون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متى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يشترون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كيف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يشترون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6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توقعات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المستهلكين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يبحثون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يريدون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يرضيهم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7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تجارب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مخصصة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عروض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تناسب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احتياجاتهم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تناسب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اهتماماتهم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تواصل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معهم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استراتيجيات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التسويق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استهداف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المناسبين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رسائل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تسويقية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فعالة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قنوات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تسويقية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مناسبة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2.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سجلات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الشراء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ماذا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اشترى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متى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اشترى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كم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دفع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C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سلوك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المواقع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يزورها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هي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يشاهدها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D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الديموغرافية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عمر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وجنسه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موقعه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دخله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مهنته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، ...</w:t>
      </w:r>
    </w:p>
    <w:p w:rsidR="00000000" w:rsidDel="00000000" w:rsidP="00000000" w:rsidRDefault="00000000" w:rsidRPr="00000000" w14:paraId="0000003E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التعليقات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والتقييمات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رأي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F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يبحث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عنه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المستخدمون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0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3.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التقنيات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التصنيف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لتصنيف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سلوكهم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توقعاتهم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الانحدار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للتنبؤ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بسلوك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الشراء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العميق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لتحليل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المعقدة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استخراج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أنماط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سلوك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المستهلكين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4.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التوصية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بالمنتجات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تناسب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اهتمامات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واحتياجات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عروض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خصومات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مخصصة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عروض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خصومات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تناسب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سلوك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توقعات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حملات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التسويق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استهداف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المناسبين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بالرسائل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التسويقية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المناسبة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تطوير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جديدة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احتياجات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توقعات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لتطوير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منتجات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تلبي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احتياجاتهم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زيادة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المبيعات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تقديم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تجارب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مخصصة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للمستخدمين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استراتيجيات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التسويق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رضا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تلبية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احتياجات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توقعات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أفضل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تقليل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التكاليف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استهداف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المناسبين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تجنب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إهدار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الموارد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زيادة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كفاءة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الأعمال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واتخاذ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قرارات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أفضل</w:t>
      </w:r>
      <w:r w:rsidDel="00000000" w:rsidR="00000000" w:rsidRPr="00000000">
        <w:rPr>
          <w:rFonts w:ascii="Tajawal" w:cs="Tajawal" w:eastAsia="Tajawal" w:hAnsi="Tajawal"/>
          <w:b w:val="1"/>
          <w:color w:val="0c343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Tajawal" w:cs="Tajawal" w:eastAsia="Tajawal" w:hAnsi="Tajawal"/>
          <w:b w:val="1"/>
          <w:color w:val="0c343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Tajawal" w:cs="Tajawal" w:eastAsia="Tajawal" w:hAnsi="Tajawal"/>
          <w:b w:val="1"/>
          <w:color w:val="0c343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jawa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-regular.ttf"/><Relationship Id="rId2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