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jawal" w:cs="Tajawal" w:eastAsia="Tajawal" w:hAnsi="Tajawal"/>
          <w:b w:val="1"/>
          <w:color w:val="1155cc"/>
          <w:sz w:val="46"/>
          <w:szCs w:val="46"/>
        </w:rPr>
      </w:pPr>
      <w:r w:rsidDel="00000000" w:rsidR="00000000" w:rsidRPr="00000000">
        <w:rPr>
          <w:rFonts w:ascii="Tajawal" w:cs="Tajawal" w:eastAsia="Tajawal" w:hAnsi="Tajawal"/>
          <w:b w:val="1"/>
          <w:color w:val="1155cc"/>
          <w:sz w:val="46"/>
          <w:szCs w:val="46"/>
          <w:rtl w:val="0"/>
        </w:rPr>
        <w:t xml:space="preserve">ml project life cycle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استكشاف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اسكتشاف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مجموعة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وتحديد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أنواع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ووجود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القيم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المفقودة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تحميل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وتجهيز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تحميل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وتنظيف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مجموعة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القيم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المفقودة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والصفوف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المطابقة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تحليل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أدوات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تحليل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لفهم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توزيعات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والعلاقات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السمات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التحليل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الاستكشافي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إنشاء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رسوم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بيانية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لاستكشاف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علاقات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متغيرة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الوسيط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وتصحيح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الضرورة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التحليل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الإحصائي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الإحصائيات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لفهم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توزيع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والعلاقات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السمات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التصور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البياني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الرسوم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لتصوير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توزيعات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والعلاقات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بينها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المعالجة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اللاحقة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للبيانات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تحويل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تنسيق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مناسب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لتجنب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المشاكل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التدريب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التقديم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والتقييم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لتوقع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قيم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المنازل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وتقييم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أداء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مقاييس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الأداء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المناسبة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توثيق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وتقديم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النتائج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توثيق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والنتائج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مناسب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وتقديم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النتائج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والاستنتاجات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وواضح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التحسين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المستمر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يتم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استمرار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وعملية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تحليل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حسب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والتغييرات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المتطلبات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jc w:val="center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