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52A7563E"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如果同意作用域内的几个函数名字相同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7777777"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虽然我们定义的这两个函数不相同，但是他们有共同的名字，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2D4571D3"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w:t>
      </w:r>
      <w:proofErr w:type="gramStart"/>
      <w:r w:rsidR="00185240" w:rsidRPr="00AE0A9C">
        <w:rPr>
          <w:rFonts w:ascii="微软雅黑" w:eastAsia="微软雅黑" w:hAnsi="微软雅黑" w:hint="eastAsia"/>
          <w:sz w:val="18"/>
          <w:szCs w:val="18"/>
        </w:rPr>
        <w:t>值类型</w:t>
      </w:r>
      <w:proofErr w:type="gramEnd"/>
      <w:r w:rsidR="00185240" w:rsidRPr="00AE0A9C">
        <w:rPr>
          <w:rFonts w:ascii="微软雅黑" w:eastAsia="微软雅黑" w:hAnsi="微软雅黑" w:hint="eastAsia"/>
          <w:sz w:val="18"/>
          <w:szCs w:val="18"/>
        </w:rPr>
        <w:t>外其它所有的要素都相同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w:t>
      </w:r>
      <w:proofErr w:type="gramEnd"/>
      <w:r w:rsidRPr="00AE0A9C">
        <w:rPr>
          <w:rFonts w:ascii="微软雅黑" w:eastAsia="微软雅黑" w:hAnsi="微软雅黑" w:cs="Helvetica"/>
          <w:color w:val="333333"/>
          <w:sz w:val="18"/>
          <w:szCs w:val="18"/>
          <w:shd w:val="clear" w:color="auto" w:fill="FFFFFF"/>
        </w:rPr>
        <w:t>本类型的变量一样。下面的语句声明了类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使用直接成员访问运算符 (.) 来访问。</w:t>
      </w:r>
      <w:r w:rsidR="00181889" w:rsidRPr="00AE0A9C">
        <w:rPr>
          <w:rFonts w:ascii="微软雅黑" w:eastAsia="微软雅黑" w:hAnsi="微软雅黑" w:cs="Helvetica"/>
          <w:color w:val="333333"/>
          <w:sz w:val="18"/>
          <w:szCs w:val="18"/>
          <w:shd w:val="clear" w:color="auto" w:fill="FFFFFF"/>
        </w:rPr>
        <w:t>私有的成员和受保护的成员不能使用直接成员访问运算符 (.) 来直接访问。</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w:t>
      </w:r>
      <w:proofErr w:type="gramEnd"/>
      <w:r w:rsidRPr="00AE0A9C">
        <w:rPr>
          <w:rFonts w:ascii="微软雅黑" w:eastAsia="微软雅黑" w:hAnsi="微软雅黑" w:cs="Helvetica"/>
          <w:color w:val="333333"/>
          <w:sz w:val="18"/>
          <w:szCs w:val="18"/>
          <w:shd w:val="clear" w:color="auto" w:fill="FFFFFF"/>
        </w:rPr>
        <w:t>义中的其他变量一样。类成员函数是类的一个成员，它可以操作类的任意对象，可以访问对象中的所有成员。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596AF09A"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762C26E1"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一个类可以有多个 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6777B373"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63489E32"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，以便在类的外部也可以调用这些函数</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06F507DA" w:rsidR="001E385B" w:rsidRPr="00AE0A9C" w:rsidRDefault="001E385B" w:rsidP="00E01C90">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Box1.</w:t>
      </w:r>
      <w:r w:rsidRPr="00AE0A9C">
        <w:rPr>
          <w:rFonts w:ascii="微软雅黑" w:eastAsia="微软雅黑" w:hAnsi="微软雅黑" w:cs="新宋体"/>
          <w:color w:val="000000"/>
          <w:kern w:val="0"/>
          <w:sz w:val="18"/>
          <w:szCs w:val="18"/>
        </w:rPr>
        <w:t xml:space="preserve"> width;</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报错，在类的外部无法直接访问私有成员</w:t>
      </w:r>
    </w:p>
    <w:p w14:paraId="4CBD79F4" w14:textId="00F35C60"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AE0A9C">
        <w:rPr>
          <w:rFonts w:ascii="微软雅黑" w:eastAsia="微软雅黑" w:hAnsi="微软雅黑" w:cs="Helvetica" w:hint="eastAsia"/>
          <w:bCs/>
          <w:color w:val="333333"/>
          <w:kern w:val="0"/>
          <w:sz w:val="18"/>
          <w:szCs w:val="18"/>
        </w:rPr>
        <w:t>构造函数来初始化变量</w:t>
      </w:r>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7485CC66"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有助于在跳出程序（比如关闭文件、释放内存等）前释放资源。</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w:t>
      </w:r>
      <w:bookmarkStart w:id="0" w:name="_GoBack"/>
      <w:bookmarkEnd w:id="0"/>
      <w:r w:rsidRPr="00371F08">
        <w:rPr>
          <w:rFonts w:ascii="微软雅黑" w:eastAsia="微软雅黑" w:hAnsi="微软雅黑" w:cs="新宋体" w:hint="eastAsia"/>
          <w:color w:val="000000"/>
          <w:kern w:val="0"/>
          <w:sz w:val="18"/>
          <w:szCs w:val="18"/>
        </w:rPr>
        <w:t>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hint="eastAsia"/>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59BF"/>
    <w:rsid w:val="001C169C"/>
    <w:rsid w:val="001C7D34"/>
    <w:rsid w:val="001D037C"/>
    <w:rsid w:val="001E385B"/>
    <w:rsid w:val="001E687B"/>
    <w:rsid w:val="001F7521"/>
    <w:rsid w:val="00227859"/>
    <w:rsid w:val="00284B83"/>
    <w:rsid w:val="0028719C"/>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64901"/>
    <w:rsid w:val="00370FE5"/>
    <w:rsid w:val="00371F08"/>
    <w:rsid w:val="00380FE8"/>
    <w:rsid w:val="00386CC1"/>
    <w:rsid w:val="0038791D"/>
    <w:rsid w:val="00397FE2"/>
    <w:rsid w:val="003B6453"/>
    <w:rsid w:val="003C1D7E"/>
    <w:rsid w:val="003C2E42"/>
    <w:rsid w:val="003C3F4A"/>
    <w:rsid w:val="003C617B"/>
    <w:rsid w:val="003D6F09"/>
    <w:rsid w:val="003E7A3E"/>
    <w:rsid w:val="003F1E60"/>
    <w:rsid w:val="00403479"/>
    <w:rsid w:val="0043270D"/>
    <w:rsid w:val="00432B2E"/>
    <w:rsid w:val="00445753"/>
    <w:rsid w:val="004554FC"/>
    <w:rsid w:val="00465390"/>
    <w:rsid w:val="004721AB"/>
    <w:rsid w:val="0047547E"/>
    <w:rsid w:val="00477C15"/>
    <w:rsid w:val="0048240A"/>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61A8"/>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7CC"/>
    <w:rsid w:val="00687606"/>
    <w:rsid w:val="006C4572"/>
    <w:rsid w:val="006D3BF9"/>
    <w:rsid w:val="007047D1"/>
    <w:rsid w:val="00715578"/>
    <w:rsid w:val="0071688B"/>
    <w:rsid w:val="007543D0"/>
    <w:rsid w:val="007751F4"/>
    <w:rsid w:val="00785182"/>
    <w:rsid w:val="007A30AB"/>
    <w:rsid w:val="007D2494"/>
    <w:rsid w:val="007D7976"/>
    <w:rsid w:val="007F0150"/>
    <w:rsid w:val="007F2ACC"/>
    <w:rsid w:val="007F5D46"/>
    <w:rsid w:val="008119FC"/>
    <w:rsid w:val="00827209"/>
    <w:rsid w:val="008336C3"/>
    <w:rsid w:val="00835527"/>
    <w:rsid w:val="0085426B"/>
    <w:rsid w:val="008726A0"/>
    <w:rsid w:val="0089227A"/>
    <w:rsid w:val="008A114A"/>
    <w:rsid w:val="008A13F9"/>
    <w:rsid w:val="008A5CB6"/>
    <w:rsid w:val="008C1DF8"/>
    <w:rsid w:val="008D1857"/>
    <w:rsid w:val="00910881"/>
    <w:rsid w:val="00936582"/>
    <w:rsid w:val="00973C73"/>
    <w:rsid w:val="009A37D4"/>
    <w:rsid w:val="009B4B38"/>
    <w:rsid w:val="009C2459"/>
    <w:rsid w:val="009C3FC2"/>
    <w:rsid w:val="009E699C"/>
    <w:rsid w:val="00A405BB"/>
    <w:rsid w:val="00A419CE"/>
    <w:rsid w:val="00A4600A"/>
    <w:rsid w:val="00A54544"/>
    <w:rsid w:val="00A568F9"/>
    <w:rsid w:val="00A86D41"/>
    <w:rsid w:val="00A94A88"/>
    <w:rsid w:val="00A951FF"/>
    <w:rsid w:val="00A95B56"/>
    <w:rsid w:val="00AA6EE2"/>
    <w:rsid w:val="00AB3285"/>
    <w:rsid w:val="00AD7A4D"/>
    <w:rsid w:val="00AE0A9C"/>
    <w:rsid w:val="00AE6E62"/>
    <w:rsid w:val="00AF5332"/>
    <w:rsid w:val="00B015E3"/>
    <w:rsid w:val="00B071C2"/>
    <w:rsid w:val="00B209D5"/>
    <w:rsid w:val="00B4708C"/>
    <w:rsid w:val="00B5236B"/>
    <w:rsid w:val="00B540A1"/>
    <w:rsid w:val="00B55277"/>
    <w:rsid w:val="00BA3C79"/>
    <w:rsid w:val="00BB2DBD"/>
    <w:rsid w:val="00BB3CE5"/>
    <w:rsid w:val="00BC5817"/>
    <w:rsid w:val="00BE67C6"/>
    <w:rsid w:val="00BE78A1"/>
    <w:rsid w:val="00C16CA6"/>
    <w:rsid w:val="00C229DF"/>
    <w:rsid w:val="00C24F8F"/>
    <w:rsid w:val="00C415E5"/>
    <w:rsid w:val="00C53EF8"/>
    <w:rsid w:val="00C734C0"/>
    <w:rsid w:val="00C9324E"/>
    <w:rsid w:val="00CA2BE4"/>
    <w:rsid w:val="00CA49F3"/>
    <w:rsid w:val="00CB23F1"/>
    <w:rsid w:val="00CB4F36"/>
    <w:rsid w:val="00CD0D76"/>
    <w:rsid w:val="00CE5D37"/>
    <w:rsid w:val="00CF0A9A"/>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5342"/>
    <w:rsid w:val="00E76D9E"/>
    <w:rsid w:val="00E77A7E"/>
    <w:rsid w:val="00E93542"/>
    <w:rsid w:val="00EB4528"/>
    <w:rsid w:val="00EC117D"/>
    <w:rsid w:val="00EC54D4"/>
    <w:rsid w:val="00EC6ADE"/>
    <w:rsid w:val="00EE2C6C"/>
    <w:rsid w:val="00EE5C48"/>
    <w:rsid w:val="00EE6A3C"/>
    <w:rsid w:val="00EF3D55"/>
    <w:rsid w:val="00EF43C2"/>
    <w:rsid w:val="00F0162A"/>
    <w:rsid w:val="00F12C2B"/>
    <w:rsid w:val="00F2601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8</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207</cp:revision>
  <dcterms:created xsi:type="dcterms:W3CDTF">2018-05-10T00:22:00Z</dcterms:created>
  <dcterms:modified xsi:type="dcterms:W3CDTF">2018-05-11T10:04:00Z</dcterms:modified>
</cp:coreProperties>
</file>