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32207" w14:textId="77777777" w:rsidR="00D558A3" w:rsidRPr="00D558A3" w:rsidRDefault="00D558A3" w:rsidP="00D558A3">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D558A3">
        <w:rPr>
          <w:rFonts w:ascii="微软雅黑" w:eastAsia="微软雅黑" w:hAnsi="微软雅黑" w:cs="Tahoma"/>
          <w:b/>
          <w:bCs/>
          <w:color w:val="313233"/>
          <w:kern w:val="36"/>
          <w:sz w:val="48"/>
          <w:szCs w:val="60"/>
        </w:rPr>
        <w:t>状态机</w:t>
      </w:r>
    </w:p>
    <w:p w14:paraId="0521620B" w14:textId="45A10D1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b/>
          <w:bCs/>
          <w:color w:val="161617"/>
          <w:kern w:val="0"/>
          <w:sz w:val="20"/>
          <w:szCs w:val="23"/>
        </w:rPr>
        <w:t>State Machines（状态机）</w:t>
      </w:r>
      <w:r w:rsidRPr="00D558A3">
        <w:rPr>
          <w:rFonts w:ascii="微软雅黑" w:eastAsia="微软雅黑" w:hAnsi="微软雅黑" w:cs="Tahoma"/>
          <w:color w:val="161617"/>
          <w:kern w:val="0"/>
          <w:sz w:val="20"/>
          <w:szCs w:val="23"/>
        </w:rPr>
        <w:t> 提供了一种图形化的方式来把骨架网格物体的动画分解为一系列 </w:t>
      </w:r>
      <w:r w:rsidRPr="00D558A3">
        <w:rPr>
          <w:rFonts w:ascii="微软雅黑" w:eastAsia="微软雅黑" w:hAnsi="微软雅黑" w:cs="Tahoma"/>
          <w:i/>
          <w:iCs/>
          <w:color w:val="161617"/>
          <w:kern w:val="0"/>
          <w:sz w:val="20"/>
          <w:szCs w:val="23"/>
        </w:rPr>
        <w:t>状态</w:t>
      </w:r>
      <w:r w:rsidRPr="00D558A3">
        <w:rPr>
          <w:rFonts w:ascii="微软雅黑" w:eastAsia="微软雅黑" w:hAnsi="微软雅黑" w:cs="Tahoma"/>
          <w:color w:val="161617"/>
          <w:kern w:val="0"/>
          <w:sz w:val="20"/>
          <w:szCs w:val="23"/>
        </w:rPr>
        <w:t> 。然后，通过 </w:t>
      </w:r>
      <w:r w:rsidRPr="00D558A3">
        <w:rPr>
          <w:rFonts w:ascii="微软雅黑" w:eastAsia="微软雅黑" w:hAnsi="微软雅黑" w:cs="Tahoma"/>
          <w:i/>
          <w:iCs/>
          <w:color w:val="161617"/>
          <w:kern w:val="0"/>
          <w:sz w:val="20"/>
          <w:szCs w:val="23"/>
        </w:rPr>
        <w:t>Transition Rules（变换规则）</w:t>
      </w:r>
      <w:r w:rsidRPr="00D558A3">
        <w:rPr>
          <w:rFonts w:ascii="微软雅黑" w:eastAsia="微软雅黑" w:hAnsi="微软雅黑" w:cs="Tahoma"/>
          <w:color w:val="161617"/>
          <w:kern w:val="0"/>
          <w:sz w:val="20"/>
          <w:szCs w:val="23"/>
        </w:rPr>
        <w:t> 来管理这些状态，这些变换规则控制如何从一个状态混合到另一个状态。它们作为一个工具，大大地简化了骨架网格物体动画的设计过程，因为</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可以创建一个图表，使用它来控制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的角色在不同动画类型间的变换，而不必创建复杂的蓝图网络。</w:t>
      </w:r>
    </w:p>
    <w:p w14:paraId="6CBAE815" w14:textId="4F135918"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它们也简化了</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的动画图表构想过程。当</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设计动画时，可以先从构思所需要的状态及角色如何从一个状态变换到另一个状态开始。最简单的一种构思方法就是，把</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的角色的所有动画分解为一个易读的流程成图，在这里</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可以看到骨架网格物体的状态在该图表中的移动走势。</w:t>
      </w:r>
    </w:p>
    <w:p w14:paraId="70B2E993" w14:textId="50A45767" w:rsidR="00D558A3" w:rsidRPr="00C97C10" w:rsidRDefault="00D558A3" w:rsidP="00C97C10">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比如，当一个角色不动时，可能有一个“空闲”状态。一旦角色的速度超过某个特定的值，那么角色可以混合到另一个“移动”状态。还可以有很多种其他状态，比如下降、跳跃、蹲下、疾跑等。通过使用状态机，动画师和美术师可以快速地查看其动画网络的数据流动情况。</w:t>
      </w:r>
    </w:p>
    <w:p w14:paraId="1AB7ACAF"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状态机的工作原理</w:t>
      </w:r>
    </w:p>
    <w:p w14:paraId="136867DB" w14:textId="7E83E3F4"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动画状态机允许</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以更加模块化的方式来处理动画蓝图。用户简单地定义角色或骨架网格物体可能处于各种状态。接下来，他们定义角色或网格物体进入及退出每个状态的情境。这和流程图类似。比如，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可能有一个定义了角色动画过程的流程图，它可能如下所示：</w:t>
      </w:r>
    </w:p>
    <w:p w14:paraId="2764EB77" w14:textId="60CDB9F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35C12D3B" wp14:editId="3B74DFCA">
            <wp:extent cx="4389120" cy="4512014"/>
            <wp:effectExtent l="0" t="0" r="0" b="3175"/>
            <wp:docPr id="17" name="图片 17" descr="Anima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Flow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0475" cy="4533967"/>
                    </a:xfrm>
                    <a:prstGeom prst="rect">
                      <a:avLst/>
                    </a:prstGeom>
                    <a:noFill/>
                    <a:ln>
                      <a:noFill/>
                    </a:ln>
                  </pic:spPr>
                </pic:pic>
              </a:graphicData>
            </a:graphic>
          </wp:inline>
        </w:drawing>
      </w:r>
    </w:p>
    <w:p w14:paraId="65AA02D4" w14:textId="6673D514"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如果</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想为上面的流程设置一个状态机，那么其最终效果将如下所示：</w:t>
      </w:r>
    </w:p>
    <w:p w14:paraId="463B6D9C" w14:textId="42F493E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4EF0FBD0" wp14:editId="3D3714F9">
            <wp:extent cx="4486275" cy="2421072"/>
            <wp:effectExtent l="0" t="0" r="0" b="0"/>
            <wp:docPr id="16" name="图片 16"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Mach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439" cy="2431414"/>
                    </a:xfrm>
                    <a:prstGeom prst="rect">
                      <a:avLst/>
                    </a:prstGeom>
                    <a:noFill/>
                    <a:ln>
                      <a:noFill/>
                    </a:ln>
                  </pic:spPr>
                </pic:pic>
              </a:graphicData>
            </a:graphic>
          </wp:inline>
        </w:drawing>
      </w:r>
    </w:p>
    <w:p w14:paraId="70E8D768"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状态机解析</w:t>
      </w:r>
    </w:p>
    <w:p w14:paraId="2F9C93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状态机主要由状态网络及定义进入或退出一个状态的变换规则构成。每个状态(及其附带的每组规则)是其自身压缩的蓝图网络。这使得处理复杂的动画变得非常简单，而不必使用非常复杂的动画图表。以下是状态机的关键组成部分：</w:t>
      </w:r>
    </w:p>
    <w:p w14:paraId="24D4D832"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状态</w:t>
      </w:r>
    </w:p>
    <w:p w14:paraId="1476BF72" w14:textId="247B6A0E"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从概念上讲，最好把状态想象成为一个组织良好的动画图表部分，我们知道角色或骨架网格物体将会定期地混入及混出该状态。然后，</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可以变换到图表的这部分中或者从这部分变换出来。比如，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的角色动画可能有一个空闲状态，那么该状态可以仅包含一个单独的动画。</w:t>
      </w:r>
    </w:p>
    <w:p w14:paraId="2A9B449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这里是在状态机中看到的这样一个空闲状态。</w:t>
      </w:r>
    </w:p>
    <w:p w14:paraId="21A430D3" w14:textId="168561E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DF92A11" wp14:editId="4BF87AA1">
            <wp:extent cx="1838325" cy="1028700"/>
            <wp:effectExtent l="0" t="0" r="9525" b="0"/>
            <wp:docPr id="15" name="图片 15"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028700"/>
                    </a:xfrm>
                    <a:prstGeom prst="rect">
                      <a:avLst/>
                    </a:prstGeom>
                    <a:noFill/>
                    <a:ln>
                      <a:noFill/>
                    </a:ln>
                  </pic:spPr>
                </pic:pic>
              </a:graphicData>
            </a:graphic>
          </wp:inline>
        </w:drawing>
      </w:r>
    </w:p>
    <w:p w14:paraId="32F1D6C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当双击它时，会显示空闲状态中的简单图表。</w:t>
      </w:r>
    </w:p>
    <w:p w14:paraId="02CA99F8" w14:textId="0061ACBB"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ACF76F0" wp14:editId="5DB4E929">
            <wp:extent cx="4695825" cy="1809750"/>
            <wp:effectExtent l="0" t="0" r="9525" b="0"/>
            <wp:docPr id="14" name="图片 14" descr="IdleStat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leStateInsi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14:paraId="31817F9C"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一旦角色开始移动，它们可以变换到Movement(移动)状态中 - 该状态可以定义角色在表面上横向移动的效果，比如走路或跑动。</w:t>
      </w:r>
    </w:p>
    <w:p w14:paraId="50094636" w14:textId="5AD96073"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7412A7D5" wp14:editId="7EE2B8D3">
            <wp:extent cx="1419225" cy="838200"/>
            <wp:effectExtent l="0" t="0" r="9525" b="0"/>
            <wp:docPr id="13" name="图片 13" descr="Mov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inline>
        </w:drawing>
      </w:r>
    </w:p>
    <w:p w14:paraId="0ED75B7D"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在这个状态中，可以包含一个</w:t>
      </w:r>
      <w:hyperlink r:id="rId12" w:history="1">
        <w:r w:rsidRPr="00C97C10">
          <w:rPr>
            <w:rFonts w:ascii="微软雅黑" w:eastAsia="微软雅黑" w:hAnsi="微软雅黑" w:cs="Tahoma"/>
            <w:color w:val="161617"/>
            <w:kern w:val="0"/>
            <w:sz w:val="20"/>
            <w:szCs w:val="23"/>
          </w:rPr>
          <w:t>混合空间</w:t>
        </w:r>
      </w:hyperlink>
      <w:r w:rsidRPr="00D558A3">
        <w:rPr>
          <w:rFonts w:ascii="微软雅黑" w:eastAsia="微软雅黑" w:hAnsi="微软雅黑" w:cs="Tahoma"/>
          <w:color w:val="161617"/>
          <w:kern w:val="0"/>
          <w:sz w:val="20"/>
          <w:szCs w:val="23"/>
        </w:rPr>
        <w:t> ，该混合空间由角色的运动速率和方向定义。</w:t>
      </w:r>
    </w:p>
    <w:p w14:paraId="76DD8407" w14:textId="70AC225E"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ABD7DA2" wp14:editId="3177799F">
            <wp:extent cx="5286375" cy="1330300"/>
            <wp:effectExtent l="0" t="0" r="0" b="3810"/>
            <wp:docPr id="12" name="图片 12" descr="Movemen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mentInsi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579" cy="1348218"/>
                    </a:xfrm>
                    <a:prstGeom prst="rect">
                      <a:avLst/>
                    </a:prstGeom>
                    <a:noFill/>
                    <a:ln>
                      <a:noFill/>
                    </a:ln>
                  </pic:spPr>
                </pic:pic>
              </a:graphicData>
            </a:graphic>
          </wp:inline>
        </w:drawing>
      </w:r>
    </w:p>
    <w:p w14:paraId="2B1EF489"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内部及其本身都没有引脚，因为我们想让它们具有更加灵活的布局。要想把一个状态连接到另一个状态上，仅需简单地从该状态的外边缘拖拽一条线即可。这个操作也可以用于创建新状态，就像在蓝图中创建一个新节点一样。</w:t>
      </w:r>
    </w:p>
    <w:p w14:paraId="5D97E623" w14:textId="3E122B5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2896F05" wp14:editId="6FA59356">
            <wp:extent cx="5800725" cy="2305050"/>
            <wp:effectExtent l="0" t="0" r="9525" b="0"/>
            <wp:docPr id="11" name="图片 11" descr="Drag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gWi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2305050"/>
                    </a:xfrm>
                    <a:prstGeom prst="rect">
                      <a:avLst/>
                    </a:prstGeom>
                    <a:noFill/>
                    <a:ln>
                      <a:noFill/>
                    </a:ln>
                  </pic:spPr>
                </pic:pic>
              </a:graphicData>
            </a:graphic>
          </wp:inline>
        </w:drawing>
      </w:r>
    </w:p>
    <w:p w14:paraId="2764B9AA"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变换规则</w:t>
      </w:r>
    </w:p>
    <w:p w14:paraId="5E336647" w14:textId="567E4F1F"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定义完了状态，</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就需要控制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的网格物体如何从一个状态变换到另一个状态。这就是变换规则的作用。变换规则是沿着连接状态和通道的连线自动创建的。</w:t>
      </w:r>
    </w:p>
    <w:p w14:paraId="74E7A27B" w14:textId="5BBD89E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0D74CB04" wp14:editId="5BB2218A">
            <wp:extent cx="2438400" cy="1743075"/>
            <wp:effectExtent l="0" t="0" r="0" b="9525"/>
            <wp:docPr id="10" name="图片 10" descr="Transition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onR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noFill/>
                    </a:ln>
                  </pic:spPr>
                </pic:pic>
              </a:graphicData>
            </a:graphic>
          </wp:inline>
        </w:drawing>
      </w:r>
    </w:p>
    <w:p w14:paraId="75515013"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变换规则可以对多个变量的值进行判断及检测，最终的目的是输出一个 True/False 值。这个布尔值输出决定了该动画是否可以执行该变换。</w:t>
      </w:r>
    </w:p>
    <w:p w14:paraId="4B79F1CC" w14:textId="0D68678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549D14C5" wp14:editId="5599EEBB">
            <wp:extent cx="5676900" cy="1476375"/>
            <wp:effectExtent l="0" t="0" r="0" b="9525"/>
            <wp:docPr id="9" name="图片 9" descr="TransitionRul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onRuleInsi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1476375"/>
                    </a:xfrm>
                    <a:prstGeom prst="rect">
                      <a:avLst/>
                    </a:prstGeom>
                    <a:noFill/>
                    <a:ln>
                      <a:noFill/>
                    </a:ln>
                  </pic:spPr>
                </pic:pic>
              </a:graphicData>
            </a:graphic>
          </wp:inline>
        </w:drawing>
      </w:r>
    </w:p>
    <w:p w14:paraId="203DF38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在这个示例中，我们检测了角色的Speed(速率)的值。一旦该值大于10，我们将启用该变换。在这种情况下，角色可以从一个Idle (空闲状态)移动到一个Movement（运动）状态。然后，我们可以使用一个完全独立的规则来返回到空闲状态。比如，这里我们有一个从运动状态返回到空闲状态的规则。</w:t>
      </w:r>
    </w:p>
    <w:p w14:paraId="03B55D44" w14:textId="7DE3E57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932ABE0" wp14:editId="37602122">
            <wp:extent cx="3686175" cy="1828800"/>
            <wp:effectExtent l="0" t="0" r="9525" b="0"/>
            <wp:docPr id="8" name="图片 8" descr="TransitionRule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onRuleRetu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5FC7A2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在内部，这个规则简单地判断我们变换为运动状态所使用的同一个值是否还为true。</w:t>
      </w:r>
    </w:p>
    <w:p w14:paraId="08B361C0" w14:textId="5CC141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17F86FD8" wp14:editId="733FEDB8">
            <wp:extent cx="4941465" cy="2405591"/>
            <wp:effectExtent l="0" t="0" r="0" b="0"/>
            <wp:docPr id="7" name="图片 7" descr="TransitionRuleRetur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ionRuleReturnInsi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1740" cy="2415461"/>
                    </a:xfrm>
                    <a:prstGeom prst="rect">
                      <a:avLst/>
                    </a:prstGeom>
                    <a:noFill/>
                    <a:ln>
                      <a:noFill/>
                    </a:ln>
                  </pic:spPr>
                </pic:pic>
              </a:graphicData>
            </a:graphic>
          </wp:inline>
        </w:drawing>
      </w:r>
    </w:p>
    <w:p w14:paraId="64B9BF8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关于</w:t>
      </w:r>
    </w:p>
    <w:p w14:paraId="44F510B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变换规则及其属性的更多信息，请参照变换规则文档。</w:t>
      </w:r>
    </w:p>
    <w:p w14:paraId="088EBCDC"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通道</w:t>
      </w:r>
    </w:p>
    <w:p w14:paraId="66EFF3E0"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Conduits(通道)是一种更加高级的、共享的变换资源。变换规则始终简单地是从一个状态变换到另一个状态的 1-对-1的变换关系，而通道可以实现 1-对-多、多-对1、多-对-多的变换关系。</w:t>
      </w:r>
    </w:p>
    <w:p w14:paraId="1E6BBBCF" w14:textId="7318AAF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0E75F2D" wp14:editId="62730F23">
            <wp:extent cx="1752600" cy="876300"/>
            <wp:effectExtent l="0" t="0" r="0" b="0"/>
            <wp:docPr id="6" name="图片 6" descr="Condui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duitN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inline>
        </w:drawing>
      </w:r>
    </w:p>
    <w:p w14:paraId="2610A91A" w14:textId="681E3C7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可能会遇到这样的情况，当一个角色被杀死时，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有好多个可以播放的动画。首先，</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可以使用简单的变换规则，它规定当角色的生命值小于等于零时，角色进入Death（死亡）状态。但是，如果要进入的状态不只一个，那么该变换就可以使用通道，</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可以执行一系列的</w:t>
      </w:r>
      <w:r w:rsidRPr="00D558A3">
        <w:rPr>
          <w:rFonts w:ascii="微软雅黑" w:eastAsia="微软雅黑" w:hAnsi="微软雅黑" w:cs="Tahoma"/>
          <w:color w:val="161617"/>
          <w:kern w:val="0"/>
          <w:sz w:val="20"/>
          <w:szCs w:val="23"/>
        </w:rPr>
        <w:lastRenderedPageBreak/>
        <w:t>判断来确定玩家是如何死的(射中、刺伤、爆炸、撞车、铁砧打入头部等)，然后从此开始展开分支，对应进入不同的独立的死亡状态。</w:t>
      </w:r>
    </w:p>
    <w:p w14:paraId="6834070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这样的图表如下所示（可能有一点简化）:</w:t>
      </w:r>
    </w:p>
    <w:p w14:paraId="2EFFC8A1" w14:textId="155A0E5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73B138B" wp14:editId="4D103450">
            <wp:extent cx="5918421" cy="2922220"/>
            <wp:effectExtent l="0" t="0" r="6350" b="0"/>
            <wp:docPr id="5" name="图片 5" descr="Condui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duit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974" cy="2929405"/>
                    </a:xfrm>
                    <a:prstGeom prst="rect">
                      <a:avLst/>
                    </a:prstGeom>
                    <a:noFill/>
                    <a:ln>
                      <a:noFill/>
                    </a:ln>
                  </pic:spPr>
                </pic:pic>
              </a:graphicData>
            </a:graphic>
          </wp:inline>
        </w:drawing>
      </w:r>
    </w:p>
    <w:p w14:paraId="25C09DD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在内部，通道图表和变换规则看上去是一样的：</w:t>
      </w:r>
    </w:p>
    <w:p w14:paraId="6973C9F2" w14:textId="58CF27A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70699F4C" wp14:editId="0DD8FF84">
            <wp:extent cx="4305300" cy="1790700"/>
            <wp:effectExtent l="0" t="0" r="0" b="0"/>
            <wp:docPr id="4" name="图片 4" descr="Condui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duitInsi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14:paraId="1A17336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然后，通道中存在的真正的变换规则可以决定死亡的类型，并允许混合到适当的状态中。</w:t>
      </w:r>
    </w:p>
    <w:p w14:paraId="071B3B14"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鼠标悬停预览</w:t>
      </w:r>
    </w:p>
    <w:p w14:paraId="3AB62723" w14:textId="0A35D94C"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状态机提供了鼠标悬停预览状态机本身及其组件节点的功能。比如，如果</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把鼠标悬停到一个状态机上，那么预览窗口将会弹出，为</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提供了状态机的高层次视图。这和合并的蓝图网络类似。</w:t>
      </w:r>
    </w:p>
    <w:p w14:paraId="79083E61" w14:textId="5F63A6A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1F1124B7" wp14:editId="7FCAE5F5">
            <wp:extent cx="3041650" cy="2393430"/>
            <wp:effectExtent l="0" t="0" r="6350" b="6985"/>
            <wp:docPr id="3" name="图片 3" descr="StateMachineHove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achineHoverPre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622" cy="2398916"/>
                    </a:xfrm>
                    <a:prstGeom prst="rect">
                      <a:avLst/>
                    </a:prstGeom>
                    <a:noFill/>
                    <a:ln>
                      <a:noFill/>
                    </a:ln>
                  </pic:spPr>
                </pic:pic>
              </a:graphicData>
            </a:graphic>
          </wp:inline>
        </w:drawing>
      </w:r>
    </w:p>
    <w:p w14:paraId="4C4E192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这些预览功能也可以扩展到状态机中的各种状态和变换规则。在其上面</w:t>
      </w:r>
      <w:proofErr w:type="gramStart"/>
      <w:r w:rsidRPr="00D558A3">
        <w:rPr>
          <w:rFonts w:ascii="微软雅黑" w:eastAsia="微软雅黑" w:hAnsi="微软雅黑" w:cs="Tahoma"/>
          <w:color w:val="161617"/>
          <w:kern w:val="0"/>
          <w:sz w:val="20"/>
          <w:szCs w:val="23"/>
        </w:rPr>
        <w:t>悬停悬停</w:t>
      </w:r>
      <w:proofErr w:type="gramEnd"/>
      <w:r w:rsidRPr="00D558A3">
        <w:rPr>
          <w:rFonts w:ascii="微软雅黑" w:eastAsia="微软雅黑" w:hAnsi="微软雅黑" w:cs="Tahoma"/>
          <w:color w:val="161617"/>
          <w:kern w:val="0"/>
          <w:sz w:val="20"/>
          <w:szCs w:val="23"/>
        </w:rPr>
        <w:t>鼠标将会显示其内部构成的预览效果。</w:t>
      </w:r>
    </w:p>
    <w:p w14:paraId="6B28E2FC" w14:textId="3320B810"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6FBA4EEE" wp14:editId="629720E3">
            <wp:extent cx="3308350" cy="2715005"/>
            <wp:effectExtent l="0" t="0" r="6350" b="9525"/>
            <wp:docPr id="2" name="图片 2" descr="IdleStat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leStatePre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5341" cy="2720742"/>
                    </a:xfrm>
                    <a:prstGeom prst="rect">
                      <a:avLst/>
                    </a:prstGeom>
                    <a:noFill/>
                    <a:ln>
                      <a:noFill/>
                    </a:ln>
                  </pic:spPr>
                </pic:pic>
              </a:graphicData>
            </a:graphic>
          </wp:inline>
        </w:drawing>
      </w:r>
      <w:bookmarkStart w:id="0" w:name="_GoBack"/>
      <w:bookmarkEnd w:id="0"/>
    </w:p>
    <w:p w14:paraId="1A98BF42" w14:textId="31CB244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对于变换规则来说，</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将不仅会看到这些节点的预览效果，同时也会看到规则的详细语言解释。</w:t>
      </w:r>
    </w:p>
    <w:p w14:paraId="70EDF50E" w14:textId="748E3B6D"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5972E11E" wp14:editId="7A35947B">
            <wp:extent cx="3000375" cy="1781175"/>
            <wp:effectExtent l="0" t="0" r="9525" b="9525"/>
            <wp:docPr id="1" name="图片 1" descr="TransitionRul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itionRulePre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781175"/>
                    </a:xfrm>
                    <a:prstGeom prst="rect">
                      <a:avLst/>
                    </a:prstGeom>
                    <a:noFill/>
                    <a:ln>
                      <a:noFill/>
                    </a:ln>
                  </pic:spPr>
                </pic:pic>
              </a:graphicData>
            </a:graphic>
          </wp:inline>
        </w:drawing>
      </w:r>
    </w:p>
    <w:p w14:paraId="5E614504" w14:textId="77777777" w:rsidR="008E54A0" w:rsidRPr="00D558A3" w:rsidRDefault="008E54A0">
      <w:pPr>
        <w:rPr>
          <w:rFonts w:ascii="微软雅黑" w:eastAsia="微软雅黑" w:hAnsi="微软雅黑"/>
          <w:sz w:val="16"/>
        </w:rPr>
      </w:pPr>
    </w:p>
    <w:sectPr w:rsidR="008E54A0" w:rsidRPr="00D55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20882" w14:textId="77777777" w:rsidR="000421DC" w:rsidRDefault="000421DC" w:rsidP="006E45CC">
      <w:r>
        <w:separator/>
      </w:r>
    </w:p>
  </w:endnote>
  <w:endnote w:type="continuationSeparator" w:id="0">
    <w:p w14:paraId="40D54791" w14:textId="77777777" w:rsidR="000421DC" w:rsidRDefault="000421DC" w:rsidP="006E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59ED7" w14:textId="77777777" w:rsidR="000421DC" w:rsidRDefault="000421DC" w:rsidP="006E45CC">
      <w:r>
        <w:separator/>
      </w:r>
    </w:p>
  </w:footnote>
  <w:footnote w:type="continuationSeparator" w:id="0">
    <w:p w14:paraId="3F90A04F" w14:textId="77777777" w:rsidR="000421DC" w:rsidRDefault="000421DC" w:rsidP="006E4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D17"/>
    <w:multiLevelType w:val="multilevel"/>
    <w:tmpl w:val="237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13"/>
    <w:rsid w:val="000421DC"/>
    <w:rsid w:val="006E45CC"/>
    <w:rsid w:val="00743E60"/>
    <w:rsid w:val="008E54A0"/>
    <w:rsid w:val="00A05613"/>
    <w:rsid w:val="00C97C10"/>
    <w:rsid w:val="00D558A3"/>
    <w:rsid w:val="00F8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BD749"/>
  <w15:chartTrackingRefBased/>
  <w15:docId w15:val="{7262C589-5F7B-4A12-9D8C-E1D49E4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58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558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558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8A3"/>
    <w:rPr>
      <w:rFonts w:ascii="宋体" w:eastAsia="宋体" w:hAnsi="宋体" w:cs="宋体"/>
      <w:b/>
      <w:bCs/>
      <w:kern w:val="36"/>
      <w:sz w:val="48"/>
      <w:szCs w:val="48"/>
    </w:rPr>
  </w:style>
  <w:style w:type="character" w:customStyle="1" w:styleId="20">
    <w:name w:val="标题 2 字符"/>
    <w:basedOn w:val="a0"/>
    <w:link w:val="2"/>
    <w:uiPriority w:val="9"/>
    <w:rsid w:val="00D558A3"/>
    <w:rPr>
      <w:rFonts w:ascii="宋体" w:eastAsia="宋体" w:hAnsi="宋体" w:cs="宋体"/>
      <w:b/>
      <w:bCs/>
      <w:kern w:val="0"/>
      <w:sz w:val="36"/>
      <w:szCs w:val="36"/>
    </w:rPr>
  </w:style>
  <w:style w:type="character" w:customStyle="1" w:styleId="30">
    <w:name w:val="标题 3 字符"/>
    <w:basedOn w:val="a0"/>
    <w:link w:val="3"/>
    <w:uiPriority w:val="9"/>
    <w:rsid w:val="00D558A3"/>
    <w:rPr>
      <w:rFonts w:ascii="宋体" w:eastAsia="宋体" w:hAnsi="宋体" w:cs="宋体"/>
      <w:b/>
      <w:bCs/>
      <w:kern w:val="0"/>
      <w:sz w:val="27"/>
      <w:szCs w:val="27"/>
    </w:rPr>
  </w:style>
  <w:style w:type="character" w:styleId="a3">
    <w:name w:val="Hyperlink"/>
    <w:basedOn w:val="a0"/>
    <w:uiPriority w:val="99"/>
    <w:semiHidden/>
    <w:unhideWhenUsed/>
    <w:rsid w:val="00D558A3"/>
    <w:rPr>
      <w:color w:val="0000FF"/>
      <w:u w:val="single"/>
    </w:rPr>
  </w:style>
  <w:style w:type="paragraph" w:styleId="a4">
    <w:name w:val="Normal (Web)"/>
    <w:basedOn w:val="a"/>
    <w:uiPriority w:val="99"/>
    <w:semiHidden/>
    <w:unhideWhenUsed/>
    <w:rsid w:val="00D558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558A3"/>
    <w:rPr>
      <w:b/>
      <w:bCs/>
    </w:rPr>
  </w:style>
  <w:style w:type="character" w:styleId="a6">
    <w:name w:val="Emphasis"/>
    <w:basedOn w:val="a0"/>
    <w:uiPriority w:val="20"/>
    <w:qFormat/>
    <w:rsid w:val="00D558A3"/>
    <w:rPr>
      <w:i/>
      <w:iCs/>
    </w:rPr>
  </w:style>
  <w:style w:type="paragraph" w:styleId="a7">
    <w:name w:val="header"/>
    <w:basedOn w:val="a"/>
    <w:link w:val="a8"/>
    <w:uiPriority w:val="99"/>
    <w:unhideWhenUsed/>
    <w:rsid w:val="006E45C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45CC"/>
    <w:rPr>
      <w:sz w:val="18"/>
      <w:szCs w:val="18"/>
    </w:rPr>
  </w:style>
  <w:style w:type="paragraph" w:styleId="a9">
    <w:name w:val="footer"/>
    <w:basedOn w:val="a"/>
    <w:link w:val="aa"/>
    <w:uiPriority w:val="99"/>
    <w:unhideWhenUsed/>
    <w:rsid w:val="006E45CC"/>
    <w:pPr>
      <w:tabs>
        <w:tab w:val="center" w:pos="4153"/>
        <w:tab w:val="right" w:pos="8306"/>
      </w:tabs>
      <w:snapToGrid w:val="0"/>
      <w:jc w:val="left"/>
    </w:pPr>
    <w:rPr>
      <w:sz w:val="18"/>
      <w:szCs w:val="18"/>
    </w:rPr>
  </w:style>
  <w:style w:type="character" w:customStyle="1" w:styleId="aa">
    <w:name w:val="页脚 字符"/>
    <w:basedOn w:val="a0"/>
    <w:link w:val="a9"/>
    <w:uiPriority w:val="99"/>
    <w:rsid w:val="006E45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98936">
      <w:bodyDiv w:val="1"/>
      <w:marLeft w:val="0"/>
      <w:marRight w:val="0"/>
      <w:marTop w:val="0"/>
      <w:marBottom w:val="0"/>
      <w:divBdr>
        <w:top w:val="none" w:sz="0" w:space="0" w:color="auto"/>
        <w:left w:val="none" w:sz="0" w:space="0" w:color="auto"/>
        <w:bottom w:val="none" w:sz="0" w:space="0" w:color="auto"/>
        <w:right w:val="none" w:sz="0" w:space="0" w:color="auto"/>
      </w:divBdr>
      <w:divsChild>
        <w:div w:id="206387142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392394901">
              <w:marLeft w:val="0"/>
              <w:marRight w:val="0"/>
              <w:marTop w:val="0"/>
              <w:marBottom w:val="0"/>
              <w:divBdr>
                <w:top w:val="none" w:sz="0" w:space="0" w:color="auto"/>
                <w:left w:val="none" w:sz="0" w:space="0" w:color="auto"/>
                <w:bottom w:val="none" w:sz="0" w:space="0" w:color="auto"/>
                <w:right w:val="none" w:sz="0" w:space="0" w:color="auto"/>
              </w:divBdr>
            </w:div>
          </w:divsChild>
        </w:div>
        <w:div w:id="108665608">
          <w:marLeft w:val="0"/>
          <w:marRight w:val="0"/>
          <w:marTop w:val="120"/>
          <w:marBottom w:val="120"/>
          <w:divBdr>
            <w:top w:val="none" w:sz="0" w:space="0" w:color="auto"/>
            <w:left w:val="none" w:sz="0" w:space="0" w:color="auto"/>
            <w:bottom w:val="none" w:sz="0" w:space="0" w:color="auto"/>
            <w:right w:val="none" w:sz="0" w:space="0" w:color="auto"/>
          </w:divBdr>
          <w:divsChild>
            <w:div w:id="1850873652">
              <w:marLeft w:val="156"/>
              <w:marRight w:val="156"/>
              <w:marTop w:val="180"/>
              <w:marBottom w:val="60"/>
              <w:divBdr>
                <w:top w:val="none" w:sz="0" w:space="0" w:color="auto"/>
                <w:left w:val="none" w:sz="0" w:space="0" w:color="auto"/>
                <w:bottom w:val="none" w:sz="0" w:space="0" w:color="auto"/>
                <w:right w:val="none" w:sz="0" w:space="0" w:color="auto"/>
              </w:divBdr>
              <w:divsChild>
                <w:div w:id="1794901649">
                  <w:marLeft w:val="0"/>
                  <w:marRight w:val="0"/>
                  <w:marTop w:val="0"/>
                  <w:marBottom w:val="0"/>
                  <w:divBdr>
                    <w:top w:val="none" w:sz="0" w:space="0" w:color="auto"/>
                    <w:left w:val="none" w:sz="0" w:space="0" w:color="auto"/>
                    <w:bottom w:val="none" w:sz="0" w:space="0" w:color="auto"/>
                    <w:right w:val="none" w:sz="0" w:space="0" w:color="auto"/>
                  </w:divBdr>
                </w:div>
                <w:div w:id="2074697247">
                  <w:marLeft w:val="0"/>
                  <w:marRight w:val="0"/>
                  <w:marTop w:val="0"/>
                  <w:marBottom w:val="0"/>
                  <w:divBdr>
                    <w:top w:val="none" w:sz="0" w:space="0" w:color="auto"/>
                    <w:left w:val="none" w:sz="0" w:space="0" w:color="auto"/>
                    <w:bottom w:val="none" w:sz="0" w:space="0" w:color="auto"/>
                    <w:right w:val="none" w:sz="0" w:space="0" w:color="auto"/>
                  </w:divBdr>
                  <w:divsChild>
                    <w:div w:id="1821458223">
                      <w:marLeft w:val="0"/>
                      <w:marRight w:val="0"/>
                      <w:marTop w:val="0"/>
                      <w:marBottom w:val="0"/>
                      <w:divBdr>
                        <w:top w:val="none" w:sz="0" w:space="0" w:color="auto"/>
                        <w:left w:val="none" w:sz="0" w:space="0" w:color="auto"/>
                        <w:bottom w:val="none" w:sz="0" w:space="0" w:color="auto"/>
                        <w:right w:val="none" w:sz="0" w:space="0" w:color="auto"/>
                      </w:divBdr>
                      <w:divsChild>
                        <w:div w:id="88894743">
                          <w:marLeft w:val="0"/>
                          <w:marRight w:val="0"/>
                          <w:marTop w:val="0"/>
                          <w:marBottom w:val="0"/>
                          <w:divBdr>
                            <w:top w:val="none" w:sz="0" w:space="0" w:color="auto"/>
                            <w:left w:val="none" w:sz="0" w:space="0" w:color="auto"/>
                            <w:bottom w:val="none" w:sz="0" w:space="0" w:color="auto"/>
                            <w:right w:val="none" w:sz="0" w:space="0" w:color="auto"/>
                          </w:divBdr>
                        </w:div>
                        <w:div w:id="1313218895">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 w:id="2065327985">
              <w:marLeft w:val="156"/>
              <w:marRight w:val="156"/>
              <w:marTop w:val="180"/>
              <w:marBottom w:val="60"/>
              <w:divBdr>
                <w:top w:val="none" w:sz="0" w:space="0" w:color="auto"/>
                <w:left w:val="none" w:sz="0" w:space="0" w:color="auto"/>
                <w:bottom w:val="none" w:sz="0" w:space="0" w:color="auto"/>
                <w:right w:val="none" w:sz="0" w:space="0" w:color="auto"/>
              </w:divBdr>
              <w:divsChild>
                <w:div w:id="1695576293">
                  <w:marLeft w:val="0"/>
                  <w:marRight w:val="0"/>
                  <w:marTop w:val="0"/>
                  <w:marBottom w:val="0"/>
                  <w:divBdr>
                    <w:top w:val="none" w:sz="0" w:space="0" w:color="auto"/>
                    <w:left w:val="none" w:sz="0" w:space="0" w:color="auto"/>
                    <w:bottom w:val="none" w:sz="0" w:space="0" w:color="auto"/>
                    <w:right w:val="none" w:sz="0" w:space="0" w:color="auto"/>
                  </w:divBdr>
                </w:div>
                <w:div w:id="380444030">
                  <w:marLeft w:val="0"/>
                  <w:marRight w:val="0"/>
                  <w:marTop w:val="0"/>
                  <w:marBottom w:val="0"/>
                  <w:divBdr>
                    <w:top w:val="none" w:sz="0" w:space="0" w:color="auto"/>
                    <w:left w:val="none" w:sz="0" w:space="0" w:color="auto"/>
                    <w:bottom w:val="none" w:sz="0" w:space="0" w:color="auto"/>
                    <w:right w:val="none" w:sz="0" w:space="0" w:color="auto"/>
                  </w:divBdr>
                  <w:divsChild>
                    <w:div w:id="2095012450">
                      <w:marLeft w:val="0"/>
                      <w:marRight w:val="0"/>
                      <w:marTop w:val="0"/>
                      <w:marBottom w:val="0"/>
                      <w:divBdr>
                        <w:top w:val="none" w:sz="0" w:space="0" w:color="auto"/>
                        <w:left w:val="none" w:sz="0" w:space="0" w:color="auto"/>
                        <w:bottom w:val="none" w:sz="0" w:space="0" w:color="auto"/>
                        <w:right w:val="none" w:sz="0" w:space="0" w:color="auto"/>
                      </w:divBdr>
                      <w:divsChild>
                        <w:div w:id="1105468585">
                          <w:marLeft w:val="0"/>
                          <w:marRight w:val="0"/>
                          <w:marTop w:val="0"/>
                          <w:marBottom w:val="0"/>
                          <w:divBdr>
                            <w:top w:val="none" w:sz="0" w:space="0" w:color="auto"/>
                            <w:left w:val="none" w:sz="0" w:space="0" w:color="auto"/>
                            <w:bottom w:val="none" w:sz="0" w:space="0" w:color="auto"/>
                            <w:right w:val="none" w:sz="0" w:space="0" w:color="auto"/>
                          </w:divBdr>
                        </w:div>
                        <w:div w:id="1342123381">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hyperlink" Target="http://api.unrealengine.com/CHN/Engine/Animation/Blendspaces/index.html" TargetMode="Externa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6</cp:revision>
  <dcterms:created xsi:type="dcterms:W3CDTF">2018-07-19T01:46:00Z</dcterms:created>
  <dcterms:modified xsi:type="dcterms:W3CDTF">2018-07-23T08:23:00Z</dcterms:modified>
</cp:coreProperties>
</file>