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9A495" w14:textId="77777777" w:rsidR="00452A19" w:rsidRPr="00452A19" w:rsidRDefault="00452A19" w:rsidP="00452A19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60"/>
          <w:szCs w:val="60"/>
        </w:rPr>
      </w:pPr>
      <w:r w:rsidRPr="00452A19">
        <w:rPr>
          <w:rFonts w:ascii="微软雅黑" w:eastAsia="微软雅黑" w:hAnsi="微软雅黑" w:cs="Tahoma"/>
          <w:b/>
          <w:bCs/>
          <w:color w:val="313233"/>
          <w:kern w:val="36"/>
          <w:sz w:val="60"/>
          <w:szCs w:val="60"/>
        </w:rPr>
        <w:t>混合空间</w:t>
      </w:r>
    </w:p>
    <w:p w14:paraId="6B7B00C7" w14:textId="77777777" w:rsidR="00452A19" w:rsidRPr="00452A19" w:rsidRDefault="00452A19" w:rsidP="00452A1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proofErr w:type="spellStart"/>
      <w:r w:rsidRPr="00452A19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Blendspaces</w:t>
      </w:r>
      <w:proofErr w:type="spellEnd"/>
      <w:r w:rsidRPr="00452A19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(混合空间)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是可以在 </w:t>
      </w:r>
      <w:proofErr w:type="spellStart"/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AnimGraphs</w:t>
      </w:r>
      <w:proofErr w:type="spellEnd"/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（动画图表）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中进行采样的特殊资源，它可以基于两个输入值混合多个动画。基于一个输入</w:t>
      </w:r>
      <w:proofErr w:type="gramStart"/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值简单</w:t>
      </w:r>
      <w:proofErr w:type="gramEnd"/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地混合两个动画可以使用动画蓝图内其中一个标准的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fldChar w:fldCharType="begin"/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instrText xml:space="preserve"> HYPERLINK "http://api.unrealengine.com/CHN/Engine/Animation/NodeReference/Blend/index.html" </w:instrTex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fldChar w:fldCharType="separate"/>
      </w:r>
      <w:r w:rsidRPr="00C603B6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混合节点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fldChar w:fldCharType="end"/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来实现。</w:t>
      </w:r>
      <w:r w:rsidRPr="00C603B6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混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提供了基于多个值(目前限定为2个值)对多个动画进行复杂混合的方法。</w:t>
      </w:r>
    </w:p>
    <w:p w14:paraId="39DEA838" w14:textId="0CFA85A3" w:rsidR="00452A19" w:rsidRPr="00C603B6" w:rsidRDefault="00452A19" w:rsidP="00C603B6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的目标是减少创建一个独立的、硬编码的节点来执行基于多个特定属性或条件的 混合的需要。通过允许动画师或程序员指定 输入值、动画及如何使用输入值混合动画的方法， 使得通过这个通用的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几乎可以执行任何类型的动画混合。</w:t>
      </w:r>
    </w:p>
    <w:p w14:paraId="2DE849B5" w14:textId="77777777" w:rsidR="00452A19" w:rsidRPr="00452A19" w:rsidRDefault="00452A19" w:rsidP="00452A19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452A19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混合空间工作原理</w:t>
      </w:r>
    </w:p>
    <w:p w14:paraId="436064AB" w14:textId="77777777" w:rsidR="00452A19" w:rsidRPr="00452A19" w:rsidRDefault="00452A19" w:rsidP="00452A1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的目标是减少创建一个独立的、硬编码的节点来执行基于多个特定属性或条件的 动画混合的需要。通过允许动画师或程序员指定 输入值、动画及如何使用输入数据混合动画的方法， 使得通过这个通用的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几乎可以执行任何类型的动画混合。这和虚幻引擎3中处理同样任务的</w:t>
      </w:r>
      <w:proofErr w:type="gramStart"/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动画树</w:t>
      </w:r>
      <w:proofErr w:type="gramEnd"/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 xml:space="preserve"> 是完全相对的。在动画树中，任何复杂的动画混合都需要创建一个新的 节点进行处理。而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是完全通用的，允许在 每个独立的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上指定决定该动画混合的因素。每个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都具有输入，这些输入可以简单地取入一个值 。在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动画蓝图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(通过事件图表)更新过程中进会计算这些值。 该更新过程由游戏代码或通过其他方法驱动。这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lastRenderedPageBreak/>
        <w:t>使得混合空间非常灵活，赋予了 创建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动画图表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的人真正的控制权，使得他们可以按任何自己感觉合适的方式来混合动画。</w:t>
      </w:r>
    </w:p>
    <w:p w14:paraId="6402CBA3" w14:textId="5212817A" w:rsidR="00452A19" w:rsidRPr="00452A19" w:rsidRDefault="00452A19" w:rsidP="00452A1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716B13B" wp14:editId="4A4B9EA8">
            <wp:extent cx="3886200" cy="4114800"/>
            <wp:effectExtent l="0" t="0" r="0" b="0"/>
            <wp:docPr id="3" name="图片 3" descr="Inpu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 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0C0C" w14:textId="77777777" w:rsidR="00452A19" w:rsidRPr="00452A19" w:rsidRDefault="00452A19" w:rsidP="00452A1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您可以把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想象成一个二维图表，其中每个输入值沿着一个坐标轴进行显示，动画散布在 图表上的各个位置点处。混合后的动画是通过基于当前输入值指定的位置 混合图表上的多个动画计算而来。</w:t>
      </w:r>
    </w:p>
    <w:p w14:paraId="0C1A0E6A" w14:textId="267CACF5" w:rsidR="00452A19" w:rsidRPr="00452A19" w:rsidRDefault="00452A19" w:rsidP="00452A1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7C99F9B3" wp14:editId="638CC969">
            <wp:extent cx="3657600" cy="3334139"/>
            <wp:effectExtent l="0" t="0" r="0" b="0"/>
            <wp:docPr id="2" name="图片 2" descr="BlendSpaceLayo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endSpaceLayou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134" cy="334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BB1E" w14:textId="77777777" w:rsidR="00452A19" w:rsidRPr="00452A19" w:rsidRDefault="00452A19" w:rsidP="00452A19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动画序列 1</w:t>
      </w:r>
    </w:p>
    <w:p w14:paraId="63C25A18" w14:textId="77777777" w:rsidR="00452A19" w:rsidRPr="00452A19" w:rsidRDefault="00452A19" w:rsidP="00452A19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动画序列 2</w:t>
      </w:r>
    </w:p>
    <w:p w14:paraId="32072FA6" w14:textId="77777777" w:rsidR="00452A19" w:rsidRPr="00452A19" w:rsidRDefault="00452A19" w:rsidP="00452A19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动画序列 3</w:t>
      </w:r>
    </w:p>
    <w:p w14:paraId="58BBC07B" w14:textId="77777777" w:rsidR="00452A19" w:rsidRPr="00452A19" w:rsidRDefault="00452A19" w:rsidP="00452A19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输入1 坐标轴(X-轴)</w:t>
      </w:r>
    </w:p>
    <w:p w14:paraId="35D40BF8" w14:textId="77777777" w:rsidR="00452A19" w:rsidRPr="00452A19" w:rsidRDefault="00452A19" w:rsidP="00452A19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输入2 坐标轴(Y-轴)</w:t>
      </w:r>
    </w:p>
    <w:p w14:paraId="22DC0868" w14:textId="77777777" w:rsidR="00452A19" w:rsidRPr="00452A19" w:rsidRDefault="00452A19" w:rsidP="00452A1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举个典型的动画混合例子来说，将定向跑步动画和一个空闲动画 基于玩家的移动方向和速度进行混合。</w:t>
      </w:r>
    </w:p>
    <w:p w14:paraId="6E3B330E" w14:textId="77777777" w:rsidR="00452A19" w:rsidRPr="00452A19" w:rsidRDefault="00452A19" w:rsidP="00452A1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在虚幻引擎3中，这个动画混合是通过使用定向混合节点和速度混合节点来执行的 。每个节点都是硬编码的，仅能用于那个特定的动画混合。用于执行该动画混合的 值隐藏在代码中，所以除了程序员外其他人不能修改它来调整该动画混合 ；如果您在代码里修改了该值，那么它会影响每个应用了该节点的动画树中的 每个节点实例。这是非常不理想的做法。</w:t>
      </w:r>
    </w:p>
    <w:p w14:paraId="70227F8B" w14:textId="77777777" w:rsidR="00452A19" w:rsidRPr="00452A19" w:rsidRDefault="00452A19" w:rsidP="00452A1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lastRenderedPageBreak/>
        <w:t>通过使用混合空间，同样的动画混合可以通过使用一个单独的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来执行。玩家的方向(比如-180到180度) 和速度(比如每秒0到50个单位)会作为输入值传入到 该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中，将设置动画基于这些输入值进行 适当的混合。</w:t>
      </w:r>
    </w:p>
    <w:p w14:paraId="7683E138" w14:textId="188ECE93" w:rsidR="00452A19" w:rsidRPr="00452A19" w:rsidRDefault="00452A19" w:rsidP="00452A1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A0D3CFE" wp14:editId="399B8EE3">
            <wp:extent cx="5172075" cy="2212499"/>
            <wp:effectExtent l="0" t="0" r="0" b="0"/>
            <wp:docPr id="1" name="图片 1" descr="BlendSpace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endSpaceDirec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60" cy="221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0693" w14:textId="77777777" w:rsidR="00452A19" w:rsidRPr="00452A19" w:rsidRDefault="00452A19" w:rsidP="00452A1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除了仅需要一个节点外，还可以在动画蓝图的事件图表中直</w:t>
      </w:r>
      <w:proofErr w:type="gramStart"/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接计算</w:t>
      </w:r>
      <w:proofErr w:type="gramEnd"/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这些作为输入的值， 然后传入到动画图表中的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中。您可以轻松地 调整这些输入值。通过使用图形化的编辑器，可以快速直观地调整动画的阈值 。相比</w:t>
      </w:r>
      <w:proofErr w:type="gramStart"/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于之前</w:t>
      </w:r>
      <w:proofErr w:type="gramEnd"/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的系统来说，混合空间的灵活性和易用性是个巨大的胜利。</w:t>
      </w:r>
    </w:p>
    <w:p w14:paraId="645CF829" w14:textId="77777777" w:rsidR="00452A19" w:rsidRPr="00452A19" w:rsidRDefault="00452A19" w:rsidP="00452A19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452A19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架构</w:t>
      </w:r>
    </w:p>
    <w:p w14:paraId="5DA93707" w14:textId="77777777" w:rsidR="00452A19" w:rsidRPr="00452A19" w:rsidRDefault="00452A19" w:rsidP="00452A1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的底层架构是非常简单的。主要的部分在前面已经有所接触： 输入值和样本动画。</w:t>
      </w:r>
    </w:p>
    <w:p w14:paraId="3FB0E43B" w14:textId="77777777" w:rsidR="00452A19" w:rsidRPr="00452A19" w:rsidRDefault="00452A19" w:rsidP="00452A19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</w:pPr>
      <w:r w:rsidRPr="00452A19"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  <w:t>骨架</w:t>
      </w:r>
    </w:p>
    <w:p w14:paraId="0030795D" w14:textId="77777777" w:rsidR="00452A19" w:rsidRPr="00452A19" w:rsidRDefault="00452A19" w:rsidP="00452A1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和其他动画资源类型一样，每个混合空间针对一个特定的 </w:t>
      </w:r>
      <w:r w:rsidRPr="00452A19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骨架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。当创建一个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并确定了可以在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中进行采样的动画时，会设置一个和该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lastRenderedPageBreak/>
        <w:t>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相关联的骨架 。它也决定了可以在其中进行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采样的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动画蓝图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， 因为它们必须指向同一骨架。</w:t>
      </w:r>
    </w:p>
    <w:p w14:paraId="5EAC94AA" w14:textId="77777777" w:rsidR="00452A19" w:rsidRPr="00452A19" w:rsidRDefault="00452A19" w:rsidP="00452A19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</w:pPr>
      <w:r w:rsidRPr="00452A19"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  <w:t>混合参数</w:t>
      </w:r>
    </w:p>
    <w:p w14:paraId="1DD01A39" w14:textId="77777777" w:rsidR="00452A19" w:rsidRPr="00452A19" w:rsidRDefault="00452A19" w:rsidP="00452A1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混合空间的 </w:t>
      </w:r>
      <w:r w:rsidRPr="00452A19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Blend Parameters（混合参数）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代表用于驱动样本姿势间进行混合的</w:t>
      </w:r>
      <w:proofErr w:type="gramStart"/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的</w:t>
      </w:r>
      <w:proofErr w:type="gramEnd"/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输入值 。每个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3"/>
          <w:szCs w:val="23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有两个混合参数- </w:t>
      </w:r>
      <w:r w:rsidRPr="00452A19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X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和 </w:t>
      </w:r>
      <w:r w:rsidRPr="00452A19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Y</w:t>
      </w: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- ，每个混合参数具有如下属性：</w:t>
      </w:r>
    </w:p>
    <w:p w14:paraId="3FF729A5" w14:textId="77777777" w:rsidR="00EA5367" w:rsidRDefault="00EA5367" w:rsidP="00452A19">
      <w:pPr>
        <w:widowControl/>
        <w:tabs>
          <w:tab w:val="left" w:pos="3212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22"/>
        </w:rPr>
      </w:pPr>
      <w:r w:rsidRPr="00452A19">
        <w:rPr>
          <w:rFonts w:ascii="微软雅黑" w:eastAsia="微软雅黑" w:hAnsi="微软雅黑" w:cs="Tahoma"/>
          <w:b/>
          <w:bCs/>
          <w:color w:val="161617"/>
          <w:kern w:val="0"/>
          <w:sz w:val="22"/>
        </w:rPr>
        <w:t>Display Name（显示名称）</w:t>
      </w: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ab/>
      </w:r>
    </w:p>
    <w:p w14:paraId="155AD9A7" w14:textId="7E1F0E88" w:rsidR="00EA5367" w:rsidRDefault="00EA5367" w:rsidP="00452A19">
      <w:pPr>
        <w:widowControl/>
        <w:tabs>
          <w:tab w:val="left" w:pos="3212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22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>输入数据的可读名称， 在 </w:t>
      </w:r>
      <w:r w:rsidRPr="00452A19">
        <w:rPr>
          <w:rFonts w:ascii="微软雅黑" w:eastAsia="微软雅黑" w:hAnsi="微软雅黑" w:cs="Tahoma"/>
          <w:b/>
          <w:bCs/>
          <w:color w:val="161617"/>
          <w:kern w:val="0"/>
          <w:sz w:val="22"/>
        </w:rPr>
        <w:t>混合编辑器</w:t>
      </w: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> 中沿着该输入值的坐标轴进行显示，且也会显示在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2"/>
        </w:rPr>
        <w:t>Animation Blueprint（动画蓝图）</w:t>
      </w: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> 的 </w:t>
      </w:r>
      <w:proofErr w:type="spellStart"/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2"/>
        </w:rPr>
        <w:t>AnimGraph</w:t>
      </w:r>
      <w:proofErr w:type="spellEnd"/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2"/>
        </w:rPr>
        <w:t>（动画图表）</w:t>
      </w: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> 中的 </w:t>
      </w:r>
      <w:r w:rsidRPr="00452A19">
        <w:rPr>
          <w:rFonts w:ascii="微软雅黑" w:eastAsia="微软雅黑" w:hAnsi="微软雅黑" w:cs="Tahoma"/>
          <w:i/>
          <w:iCs/>
          <w:color w:val="161617"/>
          <w:kern w:val="0"/>
          <w:sz w:val="22"/>
        </w:rPr>
        <w:t>混合空间</w:t>
      </w: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>节点上的该输入值的数据引脚上。</w:t>
      </w:r>
    </w:p>
    <w:p w14:paraId="087D6C99" w14:textId="77777777" w:rsidR="00EA5367" w:rsidRPr="00452A19" w:rsidRDefault="00EA5367" w:rsidP="00452A19">
      <w:pPr>
        <w:widowControl/>
        <w:tabs>
          <w:tab w:val="left" w:pos="3212"/>
        </w:tabs>
        <w:ind w:left="150"/>
        <w:jc w:val="left"/>
        <w:rPr>
          <w:rFonts w:ascii="微软雅黑" w:eastAsia="微软雅黑" w:hAnsi="微软雅黑" w:cs="Tahoma" w:hint="eastAsia"/>
          <w:color w:val="161617"/>
          <w:kern w:val="0"/>
          <w:sz w:val="22"/>
        </w:rPr>
      </w:pPr>
    </w:p>
    <w:p w14:paraId="562254E1" w14:textId="77777777" w:rsidR="00EA5367" w:rsidRDefault="00EA5367" w:rsidP="00452A19">
      <w:pPr>
        <w:widowControl/>
        <w:tabs>
          <w:tab w:val="left" w:pos="3212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22"/>
        </w:rPr>
      </w:pPr>
      <w:r w:rsidRPr="00452A19">
        <w:rPr>
          <w:rFonts w:ascii="微软雅黑" w:eastAsia="微软雅黑" w:hAnsi="微软雅黑" w:cs="Tahoma"/>
          <w:b/>
          <w:bCs/>
          <w:color w:val="161617"/>
          <w:kern w:val="0"/>
          <w:sz w:val="22"/>
        </w:rPr>
        <w:t>Range（范围）</w:t>
      </w: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ab/>
      </w:r>
    </w:p>
    <w:p w14:paraId="595C8D0B" w14:textId="4EBBE05B" w:rsidR="00EA5367" w:rsidRDefault="00EA5367" w:rsidP="00452A19">
      <w:pPr>
        <w:widowControl/>
        <w:tabs>
          <w:tab w:val="left" w:pos="3212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22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>输入数据所在的最小值和最大值区间范围。</w:t>
      </w:r>
    </w:p>
    <w:p w14:paraId="189AD46F" w14:textId="77777777" w:rsidR="00EA5367" w:rsidRPr="00452A19" w:rsidRDefault="00EA5367" w:rsidP="00452A19">
      <w:pPr>
        <w:widowControl/>
        <w:tabs>
          <w:tab w:val="left" w:pos="3212"/>
        </w:tabs>
        <w:ind w:left="150"/>
        <w:jc w:val="left"/>
        <w:rPr>
          <w:rFonts w:ascii="微软雅黑" w:eastAsia="微软雅黑" w:hAnsi="微软雅黑" w:cs="Tahoma" w:hint="eastAsia"/>
          <w:color w:val="161617"/>
          <w:kern w:val="0"/>
          <w:sz w:val="22"/>
        </w:rPr>
      </w:pPr>
    </w:p>
    <w:p w14:paraId="1D070DD1" w14:textId="77777777" w:rsidR="00EA5367" w:rsidRDefault="00EA5367" w:rsidP="00452A19">
      <w:pPr>
        <w:widowControl/>
        <w:tabs>
          <w:tab w:val="left" w:pos="3212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22"/>
        </w:rPr>
      </w:pPr>
      <w:r w:rsidRPr="00452A19">
        <w:rPr>
          <w:rFonts w:ascii="微软雅黑" w:eastAsia="微软雅黑" w:hAnsi="微软雅黑" w:cs="Tahoma"/>
          <w:b/>
          <w:bCs/>
          <w:color w:val="161617"/>
          <w:kern w:val="0"/>
          <w:sz w:val="22"/>
        </w:rPr>
        <w:t>Sample Count（样本数量）</w:t>
      </w: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ab/>
      </w:r>
    </w:p>
    <w:p w14:paraId="4E9BD3BC" w14:textId="06D463D8" w:rsidR="00EA5367" w:rsidRPr="00452A19" w:rsidRDefault="00EA5367" w:rsidP="00452A19">
      <w:pPr>
        <w:widowControl/>
        <w:tabs>
          <w:tab w:val="left" w:pos="3212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22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>动画数据中用于插值的样本点的数量。值越高，获得的结果越精确。在 </w:t>
      </w:r>
      <w:r w:rsidRPr="00452A19">
        <w:rPr>
          <w:rFonts w:ascii="微软雅黑" w:eastAsia="微软雅黑" w:hAnsi="微软雅黑" w:cs="Tahoma"/>
          <w:b/>
          <w:bCs/>
          <w:color w:val="161617"/>
          <w:kern w:val="0"/>
          <w:sz w:val="22"/>
        </w:rPr>
        <w:t>混合空间编辑器</w:t>
      </w: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> 中沿着该输入的坐标轴显示为网格线。</w:t>
      </w:r>
    </w:p>
    <w:p w14:paraId="1DDC17F3" w14:textId="77777777" w:rsidR="00452A19" w:rsidRPr="00452A19" w:rsidRDefault="00452A19" w:rsidP="00452A19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</w:pPr>
      <w:r w:rsidRPr="00452A19"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  <w:t>样本数据</w:t>
      </w:r>
    </w:p>
    <w:p w14:paraId="1F8F8CD6" w14:textId="77777777" w:rsidR="00452A19" w:rsidRPr="00452A19" w:rsidRDefault="00452A19" w:rsidP="00452A19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样本数据中的每一项都具有以下属性:</w:t>
      </w:r>
    </w:p>
    <w:p w14:paraId="4D9FA4BB" w14:textId="77777777" w:rsidR="00EA5367" w:rsidRDefault="00EA5367" w:rsidP="00452A19">
      <w:pPr>
        <w:widowControl/>
        <w:tabs>
          <w:tab w:val="left" w:pos="3694"/>
        </w:tabs>
        <w:ind w:left="150"/>
        <w:jc w:val="left"/>
        <w:rPr>
          <w:rFonts w:ascii="微软雅黑" w:eastAsia="微软雅黑" w:hAnsi="微软雅黑" w:cs="Tahoma"/>
          <w:b/>
          <w:bCs/>
          <w:color w:val="000000"/>
          <w:kern w:val="0"/>
          <w:sz w:val="22"/>
        </w:rPr>
      </w:pPr>
    </w:p>
    <w:p w14:paraId="332A9461" w14:textId="77777777" w:rsidR="00EA5367" w:rsidRPr="00EA5367" w:rsidRDefault="00EA5367" w:rsidP="00452A19">
      <w:pPr>
        <w:widowControl/>
        <w:tabs>
          <w:tab w:val="left" w:pos="3694"/>
        </w:tabs>
        <w:ind w:left="150"/>
        <w:jc w:val="left"/>
        <w:rPr>
          <w:rFonts w:ascii="微软雅黑" w:eastAsia="微软雅黑" w:hAnsi="微软雅黑" w:cs="Tahoma"/>
          <w:b/>
          <w:color w:val="161617"/>
          <w:kern w:val="0"/>
          <w:sz w:val="22"/>
        </w:rPr>
      </w:pPr>
      <w:r w:rsidRPr="00EA5367">
        <w:rPr>
          <w:rFonts w:ascii="微软雅黑" w:eastAsia="微软雅黑" w:hAnsi="微软雅黑" w:cs="Tahoma"/>
          <w:b/>
          <w:color w:val="161617"/>
          <w:kern w:val="0"/>
          <w:sz w:val="22"/>
        </w:rPr>
        <w:t>Animation （动画）</w:t>
      </w:r>
      <w:r w:rsidRPr="00EA5367">
        <w:rPr>
          <w:rFonts w:ascii="微软雅黑" w:eastAsia="微软雅黑" w:hAnsi="微软雅黑" w:cs="Tahoma"/>
          <w:b/>
          <w:color w:val="161617"/>
          <w:kern w:val="0"/>
          <w:sz w:val="22"/>
        </w:rPr>
        <w:tab/>
      </w:r>
    </w:p>
    <w:p w14:paraId="2D8F3F73" w14:textId="14C9167B" w:rsidR="00EA5367" w:rsidRDefault="00EA5367" w:rsidP="00452A19">
      <w:pPr>
        <w:widowControl/>
        <w:tabs>
          <w:tab w:val="left" w:pos="3694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22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>要混合到的动画序列资源。</w:t>
      </w:r>
    </w:p>
    <w:p w14:paraId="017026F2" w14:textId="77777777" w:rsidR="00EA5367" w:rsidRPr="00EA5367" w:rsidRDefault="00EA5367" w:rsidP="00452A19">
      <w:pPr>
        <w:widowControl/>
        <w:tabs>
          <w:tab w:val="left" w:pos="3694"/>
        </w:tabs>
        <w:ind w:left="150"/>
        <w:jc w:val="left"/>
        <w:rPr>
          <w:rFonts w:ascii="微软雅黑" w:eastAsia="微软雅黑" w:hAnsi="微软雅黑" w:cs="Tahoma" w:hint="eastAsia"/>
          <w:b/>
          <w:color w:val="161617"/>
          <w:kern w:val="0"/>
          <w:sz w:val="22"/>
        </w:rPr>
      </w:pPr>
      <w:bookmarkStart w:id="0" w:name="_GoBack"/>
      <w:bookmarkEnd w:id="0"/>
    </w:p>
    <w:p w14:paraId="0CF1013C" w14:textId="77777777" w:rsidR="00EA5367" w:rsidRDefault="00EA5367" w:rsidP="00452A19">
      <w:pPr>
        <w:widowControl/>
        <w:tabs>
          <w:tab w:val="left" w:pos="3694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22"/>
        </w:rPr>
      </w:pPr>
      <w:r w:rsidRPr="00EA5367">
        <w:rPr>
          <w:rFonts w:ascii="微软雅黑" w:eastAsia="微软雅黑" w:hAnsi="微软雅黑" w:cs="Tahoma"/>
          <w:b/>
          <w:color w:val="161617"/>
          <w:kern w:val="0"/>
          <w:sz w:val="22"/>
        </w:rPr>
        <w:t>Sample Value（样本值）</w:t>
      </w: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ab/>
      </w:r>
    </w:p>
    <w:p w14:paraId="6B81E85B" w14:textId="038B2AAE" w:rsidR="00EA5367" w:rsidRPr="00452A19" w:rsidRDefault="00EA5367" w:rsidP="00452A19">
      <w:pPr>
        <w:widowControl/>
        <w:tabs>
          <w:tab w:val="left" w:pos="3694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22"/>
        </w:rPr>
      </w:pP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>输入值 (和混合参数对应的X、Y和Z),在该处此 </w:t>
      </w:r>
      <w:r w:rsidRPr="00452A19">
        <w:rPr>
          <w:rFonts w:ascii="微软雅黑" w:eastAsia="微软雅黑" w:hAnsi="微软雅黑" w:cs="Tahoma"/>
          <w:b/>
          <w:bCs/>
          <w:color w:val="161617"/>
          <w:kern w:val="0"/>
          <w:sz w:val="22"/>
        </w:rPr>
        <w:t>动画</w:t>
      </w:r>
      <w:r w:rsidRPr="00452A19">
        <w:rPr>
          <w:rFonts w:ascii="微软雅黑" w:eastAsia="微软雅黑" w:hAnsi="微软雅黑" w:cs="Tahoma"/>
          <w:color w:val="161617"/>
          <w:kern w:val="0"/>
          <w:sz w:val="22"/>
        </w:rPr>
        <w:t> 具有完全效力。</w:t>
      </w:r>
    </w:p>
    <w:p w14:paraId="0E430BA3" w14:textId="77777777" w:rsidR="008E54A0" w:rsidRPr="00452A19" w:rsidRDefault="008E54A0">
      <w:pPr>
        <w:rPr>
          <w:rFonts w:ascii="微软雅黑" w:eastAsia="微软雅黑" w:hAnsi="微软雅黑"/>
        </w:rPr>
      </w:pPr>
    </w:p>
    <w:sectPr w:rsidR="008E54A0" w:rsidRPr="00452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00758" w14:textId="77777777" w:rsidR="0004084C" w:rsidRDefault="0004084C" w:rsidP="00452A19">
      <w:r>
        <w:separator/>
      </w:r>
    </w:p>
  </w:endnote>
  <w:endnote w:type="continuationSeparator" w:id="0">
    <w:p w14:paraId="603D8A5F" w14:textId="77777777" w:rsidR="0004084C" w:rsidRDefault="0004084C" w:rsidP="0045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B3C73" w14:textId="77777777" w:rsidR="0004084C" w:rsidRDefault="0004084C" w:rsidP="00452A19">
      <w:r>
        <w:separator/>
      </w:r>
    </w:p>
  </w:footnote>
  <w:footnote w:type="continuationSeparator" w:id="0">
    <w:p w14:paraId="509E6181" w14:textId="77777777" w:rsidR="0004084C" w:rsidRDefault="0004084C" w:rsidP="00452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B2BE2"/>
    <w:multiLevelType w:val="multilevel"/>
    <w:tmpl w:val="7320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208BD"/>
    <w:multiLevelType w:val="multilevel"/>
    <w:tmpl w:val="D7BC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E3"/>
    <w:rsid w:val="0004084C"/>
    <w:rsid w:val="00215FE3"/>
    <w:rsid w:val="00260CC8"/>
    <w:rsid w:val="00452A19"/>
    <w:rsid w:val="008E54A0"/>
    <w:rsid w:val="00C207C0"/>
    <w:rsid w:val="00C603B6"/>
    <w:rsid w:val="00EA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ED64A"/>
  <w15:chartTrackingRefBased/>
  <w15:docId w15:val="{2861B5DA-3E06-4364-8EC0-A99EA336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2A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52A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52A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A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A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2A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52A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52A19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452A1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452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52A19"/>
    <w:rPr>
      <w:b/>
      <w:bCs/>
    </w:rPr>
  </w:style>
  <w:style w:type="character" w:styleId="aa">
    <w:name w:val="Emphasis"/>
    <w:basedOn w:val="a0"/>
    <w:uiPriority w:val="20"/>
    <w:qFormat/>
    <w:rsid w:val="00452A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6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248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22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2583">
              <w:marLeft w:val="156"/>
              <w:marRight w:val="156"/>
              <w:marTop w:val="18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010270">
              <w:marLeft w:val="156"/>
              <w:marRight w:val="156"/>
              <w:marTop w:val="18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13900">
              <w:marLeft w:val="156"/>
              <w:marRight w:val="156"/>
              <w:marTop w:val="18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6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AlienR4</cp:lastModifiedBy>
  <cp:revision>5</cp:revision>
  <dcterms:created xsi:type="dcterms:W3CDTF">2018-07-19T01:48:00Z</dcterms:created>
  <dcterms:modified xsi:type="dcterms:W3CDTF">2018-07-23T06:48:00Z</dcterms:modified>
</cp:coreProperties>
</file>