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63E2B" w14:textId="77777777" w:rsidR="00132A8B" w:rsidRPr="00DF3F4D" w:rsidRDefault="00132A8B" w:rsidP="00132A8B">
      <w:pPr>
        <w:spacing w:before="100" w:beforeAutospacing="1" w:after="100" w:afterAutospacing="1" w:line="240" w:lineRule="auto"/>
        <w:outlineLvl w:val="1"/>
        <w:rPr>
          <w:rFonts w:ascii="Times New Roman" w:eastAsia="Times New Roman" w:hAnsi="Times New Roman" w:cs="Times New Roman"/>
          <w:b/>
          <w:bCs/>
          <w:sz w:val="28"/>
          <w:szCs w:val="28"/>
          <w:lang w:val="ru-KZ" w:eastAsia="ru-KZ"/>
        </w:rPr>
      </w:pPr>
      <w:r w:rsidRPr="00DF3F4D">
        <w:rPr>
          <w:rFonts w:ascii="Times New Roman" w:eastAsia="Times New Roman" w:hAnsi="Times New Roman" w:cs="Times New Roman"/>
          <w:b/>
          <w:bCs/>
          <w:sz w:val="28"/>
          <w:szCs w:val="28"/>
          <w:lang w:val="ru-KZ" w:eastAsia="ru-KZ"/>
        </w:rPr>
        <w:t>Literature Review</w:t>
      </w:r>
    </w:p>
    <w:p w14:paraId="2D6BD343" w14:textId="77777777" w:rsidR="00132A8B" w:rsidRPr="00DF3F4D" w:rsidRDefault="00132A8B" w:rsidP="00132A8B">
      <w:pPr>
        <w:spacing w:before="100" w:beforeAutospacing="1" w:after="100" w:afterAutospacing="1" w:line="240" w:lineRule="auto"/>
        <w:outlineLvl w:val="2"/>
        <w:rPr>
          <w:rFonts w:ascii="Times New Roman" w:eastAsia="Times New Roman" w:hAnsi="Times New Roman" w:cs="Times New Roman"/>
          <w:b/>
          <w:bCs/>
          <w:sz w:val="28"/>
          <w:szCs w:val="28"/>
          <w:lang w:val="ru-KZ" w:eastAsia="ru-KZ"/>
        </w:rPr>
      </w:pPr>
      <w:r w:rsidRPr="00DF3F4D">
        <w:rPr>
          <w:rFonts w:ascii="Times New Roman" w:eastAsia="Times New Roman" w:hAnsi="Times New Roman" w:cs="Times New Roman"/>
          <w:b/>
          <w:bCs/>
          <w:sz w:val="28"/>
          <w:szCs w:val="28"/>
          <w:lang w:val="ru-KZ" w:eastAsia="ru-KZ"/>
        </w:rPr>
        <w:t>Conceptual Foundations of Digital Twins in Urban Mobility</w:t>
      </w:r>
    </w:p>
    <w:p w14:paraId="1C946A70"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Digital twin technology refers to the creation of a virtual model of a physical system that remains continuously synchronized with the real-world system. In the context of transportation, Lis and Mądziel (2026) describe a digital twin as “a high-fidelity virtual representation of a physical transport system that is continuously updated based on real-world data and used for advanced simulation, monitoring, and optimization analyses.” Unlike static models or historical analyses, a true digital twin maintains a bi-directional link between the physical assets and their digital counterpart, allowing real-time data flow and feedback control (Lis &amp; Mądziel, 2026; Llagostera-Brugarola et al., 2025). This means changes in the physical system (e.g., bus locations, passenger counts) are immediately reflected in the virtual model, and insights or optimizations derived in the digital realm can be fed back as actionable adjustments (such as dispatching decisions or route changes) to the physical system. This closed-loop integration marks a significant advancement over traditional transit management.</w:t>
      </w:r>
    </w:p>
    <w:p w14:paraId="04C40DE7"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At its core, a digital twin in urban mobility comprises three key elements: the physical transportation network (vehicles, passengers, infrastructure), the virtual model representing those physical elements, and the communication channels that enable data exchange between them (Llagostera-Brugarola et al., 2025). Continuous data integration and real-time model updates allow transit agencies to simulate, predict, and optimize the performance of their networks in ways not previously possible (Manandhar et al., 2025). For example, recent studies have shown that in public transportation domains, digital twins can model entire bus or rail networks and dynamically optimize various aspects such as routes, vehicle maintenance schedules, and passenger flows under live conditions (Manandhar et al., 2025). Such dynamic integration of real-time data with simulation can dramatically improve operational efficiency and reliability, as well as the passenger experience, by allowing systems to adapt quickly to changing conditions (Manandhar et al., 2025).</w:t>
      </w:r>
    </w:p>
    <w:p w14:paraId="705607C5"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Conventional public transport management relies on static schedules and periodic reporting, which cannot cope with rapid changes like traffic incidents or surges in passenger demand. In contrast, a DT-enabled system is data-driven and adaptive, continuously assimilating IoT sensor inputs (e.g., GPS signals, passenger counters) to maintain an up-to-date virtual state of the network. Planners and controllers can use this live model to detect emerging issues (such as delays or overcrowding) and test response scenarios virtually before implementing them, providing a safe, virtual testbed for transit management strategies without disrupting actual services (Long et al., 2025; Lis &amp; Mądziel, </w:t>
      </w:r>
      <w:r w:rsidRPr="00DF3F4D">
        <w:rPr>
          <w:rFonts w:ascii="Times New Roman" w:eastAsia="Times New Roman" w:hAnsi="Times New Roman" w:cs="Times New Roman"/>
          <w:sz w:val="28"/>
          <w:szCs w:val="28"/>
          <w:lang w:val="ru-KZ" w:eastAsia="ru-KZ"/>
        </w:rPr>
        <w:lastRenderedPageBreak/>
        <w:t>2026). This capability is invaluable in urban mobility contexts where safety and service continuity are critical.</w:t>
      </w:r>
    </w:p>
    <w:p w14:paraId="2F74FAE4"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However, the literature also reveals that applying digital twins to urban transport is still an emerging field, and not all implementations achieve the full vision of a bi-directional, autonomous system. Lis et al. (2026) critically note that many projects labeled as “digital twins” for smart cities are in practice effectively only “digital shadows” – systems that visualize data flowing from sensors but lack the capability to influence the physical system. In other words, current systems often stop at real-time monitoring (one-way data flow) and do not close the loop with automated or optimized control actions (Lis et al., 2026). Bridging this gap – moving from visualization to optimization – has been identified as a key thrust of recent research. Our literature synthesis underscores the need to integrate decision-support algorithms and control logic into transportation digital twins so that they can actively support or even enact operational changes (e.g., adjusting bus frequencies or rerouting vehicles in response to an event) in real time.</w:t>
      </w:r>
    </w:p>
    <w:p w14:paraId="35C9CD14" w14:textId="77777777" w:rsidR="00132A8B" w:rsidRPr="00DF3F4D" w:rsidRDefault="00132A8B" w:rsidP="00132A8B">
      <w:pPr>
        <w:spacing w:before="100" w:beforeAutospacing="1" w:after="100" w:afterAutospacing="1" w:line="240" w:lineRule="auto"/>
        <w:outlineLvl w:val="2"/>
        <w:rPr>
          <w:rFonts w:ascii="Times New Roman" w:eastAsia="Times New Roman" w:hAnsi="Times New Roman" w:cs="Times New Roman"/>
          <w:b/>
          <w:bCs/>
          <w:sz w:val="28"/>
          <w:szCs w:val="28"/>
          <w:lang w:val="ru-KZ" w:eastAsia="ru-KZ"/>
        </w:rPr>
      </w:pPr>
      <w:r w:rsidRPr="00DF3F4D">
        <w:rPr>
          <w:rFonts w:ascii="Times New Roman" w:eastAsia="Times New Roman" w:hAnsi="Times New Roman" w:cs="Times New Roman"/>
          <w:b/>
          <w:bCs/>
          <w:sz w:val="28"/>
          <w:szCs w:val="28"/>
          <w:lang w:val="ru-KZ" w:eastAsia="ru-KZ"/>
        </w:rPr>
        <w:t>Integration with IoT, Cloud Platforms, and Infrastructure</w:t>
      </w:r>
    </w:p>
    <w:p w14:paraId="19CD4059"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Implementing a digital twin for public transport inherently involves a complex integration of IoT devices, communication networks, and cloud-based platforms. The perception layer of a transit DT consists of IoT sensors and data sources spread across vehicles and infrastructure. For example, buses can have GPS units broadcasting their positions, automated passenger counters tracking boarding and alighting, engine and vehicle health sensors monitoring mechanical status via the CAN bus, and environmental sensors at stations measuring conditions. These devices continuously generate telemetry that must be transmitted (via the network layer) to the cloud or central system, then processed and stored for use in the application layer where the digital twin model resides. A robust connectivity solution is required to handle data from a moving fleet in real time.</w:t>
      </w:r>
    </w:p>
    <w:p w14:paraId="722A6621"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In practice, public transport systems leverage wireless mobile networks (e.g., 4G/LTE or 5G) for connectivity, often complemented by messaging protocols specifically designed for IoT. For instance, MQTT—a lightweight publish/subscribe messaging protocol—is frequently chosen for transmitting vehicle telemetry due to its low overhead and reliability in intermittent network conditions. Using MQTT over TCP/IP, each vehicle (or a device onboard) publishes data to the cloud platform, often via a city-wide IoT gateway that aggregates data from multiple sources and ensures secure, reliable delivery. To handle temporary network outages (which are inevitable with moving vehicles), transport IoT systems incorporate buffering and store-and-forward mechanisms so that data is not lost – the vehicle device can queue messages and send them when connectivity is restored.</w:t>
      </w:r>
    </w:p>
    <w:p w14:paraId="5F9CEAFC"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lastRenderedPageBreak/>
        <w:t>On the cloud side, modern IoT platforms (such as Azure IoT Hub, AWS IoT Core, etc.) serve as the ingestion point for all these device streams. In our context, Azure IoT Hub is used as the central message broker and device manager – it authenticates each bus (or simulator) and collects location and passenger count messages in real time. The incoming telemetry is then routed to downstream services including the Azure Digital Twins service, which maintains the live digital replica of each transport entity. The integration between IoT Hub and the digital twin model allows physical vehicle state changes to automatically update the corresponding virtual entity in the model. This cloud-based architecture ensures that the digital twin has an up-to-date view of the system without manual intervention.</w:t>
      </w:r>
    </w:p>
    <w:p w14:paraId="21EFAE13"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Notably, bidirectional communication is vital for a fully functional DT system (Llagostera-Brugarola et al., 2025). In intelligent transportation domains, this means not only do field devices send data to the digital model, but the model’s outputs or decisions can be communicated back to the field. Some advanced implementations have achieved this closed loop. For example, an interurban highway digital twin in Spain ingests sensor data and then issues control commands like variable speed limits or ramp metering signals via vehicle-to-infrastructure (V2I) messages to influence traffic flow in real time. Llagostera et al. (2025) demonstrate such a closed-loop architecture in their highway DT framework: their system ingests live traffic sensor data and communicates optimized control strategies (e.g., dynamic speed limits) back to the physical infrastructure. In their implementation, “strategies are communicated back to the physical infrastructure via V2I messages… enabling a closed-loop architecture” (Llagostera-Brugarola et al., 2025). Similarly, Ou et al. (2025) describe a feedback loop in a rail transit digital twin, where the system’s outputs can inform physical operations via control signals and mobile applications. In an urban bus scenario, a closed-loop might involve notifying dispatchers or onboard systems about optimized routes or triggering passenger information systems when adjustments are made. Achieving seamless integration among IoT devices, cloud infrastructure, and on-ground systems is thus a technical linchpin for digital twin success.</w:t>
      </w:r>
    </w:p>
    <w:p w14:paraId="02F5D14B"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In the literature, several architecture paradigms have been proposed to organize this integration. A common approach (also adopted in our project) is the three-layer IoT architecture: (1) Perception Layer (sensors and data collection on vehicles), (2) Network Layer (connectivity and data transport), and (3) Application Layer (cloud services, data processing, analytics, and the digital twin itself). This layered model provides a modular framework to deploy digital twins in smart city contexts, ensuring that data flows smoothly from the ground to the cloud and that each layer’s components can evolve independently. Recent surveys emphasize the importance of such architectures. For example, Wu et al. (2025) highlight fundamental concepts and architectures for digital twin systems in transportation infrastructure, noting that integrating heterogeneous data across </w:t>
      </w:r>
      <w:r w:rsidRPr="00DF3F4D">
        <w:rPr>
          <w:rFonts w:ascii="Times New Roman" w:eastAsia="Times New Roman" w:hAnsi="Times New Roman" w:cs="Times New Roman"/>
          <w:sz w:val="28"/>
          <w:szCs w:val="28"/>
          <w:lang w:val="ru-KZ" w:eastAsia="ru-KZ"/>
        </w:rPr>
        <w:lastRenderedPageBreak/>
        <w:t>the IoT, edge, and cloud is one of the key technical challenges. They point out that an effective digital twin platform requires real-time capabilities and digitization at all levels, enabling proactive management of assets (Wu et al., 2025). Our review confirms that leveraging cloud IoT platforms for scalability, in tandem with edge computing for local responsiveness when needed, is considered best practice for complex systems like city transit. In summary, a digital twin for public transport must be built on a robust IoT and cloud integration: real-time sensor data streaming, low-latency networking, and cloud computing power for analytics and storage are all essential ingredients that allow the DT to continuously mirror and influence the physical network.</w:t>
      </w:r>
    </w:p>
    <w:p w14:paraId="2B6ADB2D" w14:textId="77777777" w:rsidR="00132A8B" w:rsidRPr="00DF3F4D" w:rsidRDefault="00132A8B" w:rsidP="00132A8B">
      <w:pPr>
        <w:spacing w:before="100" w:beforeAutospacing="1" w:after="100" w:afterAutospacing="1" w:line="240" w:lineRule="auto"/>
        <w:outlineLvl w:val="2"/>
        <w:rPr>
          <w:rFonts w:ascii="Times New Roman" w:eastAsia="Times New Roman" w:hAnsi="Times New Roman" w:cs="Times New Roman"/>
          <w:b/>
          <w:bCs/>
          <w:sz w:val="28"/>
          <w:szCs w:val="28"/>
          <w:lang w:val="ru-KZ" w:eastAsia="ru-KZ"/>
        </w:rPr>
      </w:pPr>
      <w:r w:rsidRPr="00DF3F4D">
        <w:rPr>
          <w:rFonts w:ascii="Times New Roman" w:eastAsia="Times New Roman" w:hAnsi="Times New Roman" w:cs="Times New Roman"/>
          <w:b/>
          <w:bCs/>
          <w:sz w:val="28"/>
          <w:szCs w:val="28"/>
          <w:lang w:val="ru-KZ" w:eastAsia="ru-KZ"/>
        </w:rPr>
        <w:t>Use Cases: Route Optimization, Scheduling, and Passenger Flow Management</w:t>
      </w:r>
    </w:p>
    <w:p w14:paraId="3D671847"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A variety of promising use cases for digital twins in intelligent transportation have been explored in recent research. Chief among these are real-time route optimization and dynamic scheduling for public transit fleets. By simulating traffic conditions and passenger demand within the digital twin, transit agencies can identify optimal routes or schedule adjustments to reduce travel times and wait times. For instance, Manandhar et al. (2025) describe that a transit digital twin allows planners to simulate future scenarios—such as adding new routes or adjusting schedules in real time—leading to improved decision-making and passenger satisfaction. Instead of adhering blindly to static timetables, a digital twin–informed system could proactively reroute buses around accidents or hold a bus slightly longer to synchronize a transfer if it predicts that a downstream connection is delayed. Such adaptability is especially valuable in urban environments where congestion and incidents can quickly cascade through a timetable-based system.</w:t>
      </w:r>
    </w:p>
    <w:p w14:paraId="371B3ED9"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By using the digital twin’s predictive models, operators can implement schedule recovery strategies – for example, short-turning a bus or reassigning vehicles – to mitigate disruptions. A simulation study demonstrated that incorporating a digital twin for a city bus route in China enabled schedule recovery, reducing waiting times as well as travel times for passengers by dynamically adjusting operations, an outcome unattainable with traditional methods (Manandhar et al., 2025). This indicates that a digital twin framework, when integrated with real-time traffic data and historical patterns, can significantly improve schedule adherence and reliability (Manandhar et al., 2025).</w:t>
      </w:r>
    </w:p>
    <w:p w14:paraId="2B46E99E"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Route optimization algorithms also benefit greatly from the real-time simulation aspect of digital twins. In traffic management, advanced digital twin implementations have been used to evaluate different traffic control strategies on the fly. For example, Lis and Mądziel (2026) incorporated a calibrated microsimulation model into a digital twin of a busy city roundabout to test various control measures. They found that only combining physical </w:t>
      </w:r>
      <w:r w:rsidRPr="00DF3F4D">
        <w:rPr>
          <w:rFonts w:ascii="Times New Roman" w:eastAsia="Times New Roman" w:hAnsi="Times New Roman" w:cs="Times New Roman"/>
          <w:sz w:val="28"/>
          <w:szCs w:val="28"/>
          <w:lang w:val="ru-KZ" w:eastAsia="ru-KZ"/>
        </w:rPr>
        <w:lastRenderedPageBreak/>
        <w:t>infrastructure changes with active digital control (like adaptive inflow metering) yielded sustainable congestion relief. As Lis and Mądziel (2026) report, “the findings confirm that combining physical infrastructure changes with digital, real-time optimization algorithms is essential for achieving sustainable ‘green transport’ goals and reducing emissions” at busy urban nodes. Translating this to public transit: a digital twin can test scenarios such as dedicating bus lanes, adjusting signal priorities, or rerouting buses in response to a special event, all within the virtual environment before implementation. By doing so, agencies can identify which route adjustments would most improve throughput or on-time performance under current conditions.</w:t>
      </w:r>
    </w:p>
    <w:p w14:paraId="5A7D239F"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Llagostera et al. (2025) demonstrate a related capability in an interurban highway context: their macroscopic traffic digital twin uses real-time sensor and vehicle data to suggest strategies like variable speed limits and re-routing to alleviate congestion during incidents. This approach – essentially real-time route management via the digital twin – was validated to improve traffic flow, cutting down delays and even reducing pollution by smoothing traffic (Llagostera-Brugarola et al., 2025). For urban buses, re-routing might involve detours around sudden congestion or dynamically shifting buses to where passenger demand is peaking (a concept akin to rebalancing in metro systems or microtransit).</w:t>
      </w:r>
    </w:p>
    <w:p w14:paraId="0DCC60B5"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Passenger flow management is another critical application area for digital twins in public transport. Transit agencies constantly seek to understand and respond to how passengers move through the system – where crowding occurs, how disruptions displace riders, etc. A digital twin enriched with passenger data allows for both monitoring current loads and forecasting future demand. The literature provides a clear example in the rail domain: Ou et al. (2025) developed a rail network digital twin for Sydney that integrates deep learning models to predict station-level passenger counts and assess the impact of service disruptions. Their approach involved a four-layer digital twin architecture ingesting real-time train movement data (to monitor delays) and using historical mobile device data to predict how many passengers would be at each station in the near future. The results were impressive – the digital twin provided granular real-time insights into the impact on passengers, allowing rail operation centers to better mitigate service disruptions (Ou et al., 2025). In practice, this meant that when a disruption (like a line closure or major delay) occurred, the digital twin could simulate how passenger flows would redistribute and help managers initiate countermeasures such as dispatching shuttle buses or informing travelers about alternative routes.</w:t>
      </w:r>
    </w:p>
    <w:p w14:paraId="74A6C057"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This use case is directly transferable to bus networks: a digital twin for buses can combine live feeds of bus occupancy (from on-board sensors or ticketing data) with predictive models to foresee crowding before it happens. For example, if a particular bus is filling up beyond a threshold due to a prior bus </w:t>
      </w:r>
      <w:r w:rsidRPr="00DF3F4D">
        <w:rPr>
          <w:rFonts w:ascii="Times New Roman" w:eastAsia="Times New Roman" w:hAnsi="Times New Roman" w:cs="Times New Roman"/>
          <w:sz w:val="28"/>
          <w:szCs w:val="28"/>
          <w:lang w:val="ru-KZ" w:eastAsia="ru-KZ"/>
        </w:rPr>
        <w:lastRenderedPageBreak/>
        <w:t>cancellation, the twin could flag it and suggest sending a spare bus or an express shuttle to pick up passengers further down the route, preventing bypassing of waiting riders. Moreover, with the increasing availability of real-time passenger feedback (through mobile apps and social media), the digital twin can even incorporate crowd-sourced information on comfort or crowding levels, further refining its picture of passenger flow.</w:t>
      </w:r>
    </w:p>
    <w:p w14:paraId="3C2DB979"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An important benefit of DT-driven passenger flow management is improved passenger experience. By mitigating overcrowding and reducing wait times through proactive measures, passenger satisfaction can increase. Manandhar et al. (2025) note that providing “real-time information in terms of schedules, probable delays, and alternative routes” to passengers allows them to make dynamic travel decisions, which ultimately improves overall transportation management and user experience. In summary, digital twins empower transit operators to actively manage routes, schedules, and passenger distribution in real time. Use cases from both road traffic and public transit contexts show reductions in congestion and delay when digital twin strategies are applied (Llagostera-Brugarola et al., 2025; Ou et al., 2025), as well as improved handling of disruptions and demand surges when passenger flows are modeled (Ou et al., 2025). These capabilities align directly with the goals of improving efficiency and service quality in public transport.</w:t>
      </w:r>
    </w:p>
    <w:p w14:paraId="41313824" w14:textId="77777777" w:rsidR="00132A8B" w:rsidRPr="00DF3F4D" w:rsidRDefault="00132A8B" w:rsidP="00132A8B">
      <w:pPr>
        <w:spacing w:before="100" w:beforeAutospacing="1" w:after="100" w:afterAutospacing="1" w:line="240" w:lineRule="auto"/>
        <w:outlineLvl w:val="2"/>
        <w:rPr>
          <w:rFonts w:ascii="Times New Roman" w:eastAsia="Times New Roman" w:hAnsi="Times New Roman" w:cs="Times New Roman"/>
          <w:b/>
          <w:bCs/>
          <w:sz w:val="28"/>
          <w:szCs w:val="28"/>
          <w:lang w:val="ru-KZ" w:eastAsia="ru-KZ"/>
        </w:rPr>
      </w:pPr>
      <w:r w:rsidRPr="00DF3F4D">
        <w:rPr>
          <w:rFonts w:ascii="Times New Roman" w:eastAsia="Times New Roman" w:hAnsi="Times New Roman" w:cs="Times New Roman"/>
          <w:b/>
          <w:bCs/>
          <w:sz w:val="28"/>
          <w:szCs w:val="28"/>
          <w:lang w:val="ru-KZ" w:eastAsia="ru-KZ"/>
        </w:rPr>
        <w:t>Contributions to Energy Efficiency and Sustainability</w:t>
      </w:r>
    </w:p>
    <w:p w14:paraId="1843871C"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Beyond operational efficiency and user convenience, digital twin integration in public transport carries significant potential for advancing sustainability goals. Efficient transit operations have a direct impact on energy consumption and emissions: reducing unnecessary idling, avoiding congested choke points, and optimizing vehicle loads all contribute to lower fuel use and greenhouse gas emissions per passenger-kilometer. A key advantage of digital twin systems is their ability to evaluate strategies for reducing the environmental footprint of transportation </w:t>
      </w:r>
      <w:r w:rsidRPr="00DF3F4D">
        <w:rPr>
          <w:rFonts w:ascii="Times New Roman" w:eastAsia="Times New Roman" w:hAnsi="Times New Roman" w:cs="Times New Roman"/>
          <w:i/>
          <w:iCs/>
          <w:sz w:val="28"/>
          <w:szCs w:val="28"/>
          <w:lang w:val="ru-KZ" w:eastAsia="ru-KZ"/>
        </w:rPr>
        <w:t>in silico</w:t>
      </w:r>
      <w:r w:rsidRPr="00DF3F4D">
        <w:rPr>
          <w:rFonts w:ascii="Times New Roman" w:eastAsia="Times New Roman" w:hAnsi="Times New Roman" w:cs="Times New Roman"/>
          <w:sz w:val="28"/>
          <w:szCs w:val="28"/>
          <w:lang w:val="ru-KZ" w:eastAsia="ru-KZ"/>
        </w:rPr>
        <w:t xml:space="preserve"> before implementation. For example, Lis and Mądziel (2026) showed that deploying real-time optimization (such as adaptive metering) was essential to meet “green transport goals and reduc[e] emissions in congested urban nodes,” whereas traditional measures alone fell short. By extension, a public transport digital twin can identify where interventions (e.g., adjusting running times or improving connections) might enable buses to spend less time idling or circling—thereby cutting fuel consumption.</w:t>
      </w:r>
    </w:p>
    <w:p w14:paraId="71A30254"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The energy efficiency aspect is also enhanced by digital twins through better fleet management. With accurate, real-time data on vehicle health and performance (part of the perception layer), transit agencies can ensure buses operate optimally. For instance, a digital twin platform could integrate engine temperature and fuel usage data to flag inefficient driving or maintenance needs. Over time this leads to a more energy-efficient operation, as minor issues can be </w:t>
      </w:r>
      <w:r w:rsidRPr="00DF3F4D">
        <w:rPr>
          <w:rFonts w:ascii="Times New Roman" w:eastAsia="Times New Roman" w:hAnsi="Times New Roman" w:cs="Times New Roman"/>
          <w:sz w:val="28"/>
          <w:szCs w:val="28"/>
          <w:lang w:val="ru-KZ" w:eastAsia="ru-KZ"/>
        </w:rPr>
        <w:lastRenderedPageBreak/>
        <w:t>corrected before they cause fuel wastage. Wu et al. (2025) emphasize that digital twin technology, thanks to its real-time and predictive capabilities, offers advantages such as enabling more efficient optimization of transportation system operations and bringing positive impacts to environmental sustainability. This is evidenced by case studies where DT-driven optimizations improved traffic flow and directly resulted in emission reductions, because vehicles spent less time in stop-and-go traffic (Llagostera-Brugarola et al., 2025).</w:t>
      </w:r>
    </w:p>
    <w:p w14:paraId="159D4375"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Kajba et al. (2023), through a bibliometric review, identified a growing body of research where digital twins are used to optimize fuel consumption, energy use, and infrastructure planning. They highlight applications such as determining optimal bus fleet compositions (diesel, hybrid, electric) and planning charging infrastructure for electric public transport. Their review also points to emerging research on integrating transport digital twins with energy markets—for example, simulating electric vehicle participation in demand-response programs. A forward-looking study by Villani et al. (2025) broadens the perspective, proposing a digital twin framework for urban sustainability that spans energy, mobility, and resiliency domains. In their Venice case study, the digital twin aggregates sensor networks city-wide and provides forecasting for various interventions. They found that adopting digital twin services could improve city management on multiple fronts, indicating a need to integrate such systems for sustainable urban development (Villani et al., 2025).</w:t>
      </w:r>
    </w:p>
    <w:p w14:paraId="4D31AB8E"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In the mobility context specifically, a digital twin for transit contributes by making public transport more attractive (through reliability improvements) and thus potentially shifting more commuters out of private cars – a major sustainability win for cities. If buses can run with minimal delays and accurate arrival predictions (enabled by the digital twin), riders are more likely to trust and use them, supporting a modal shift away from higher-emission personal vehicles. Grotto et al. (2024) formalize an approach to sustainable urban mobility management using a digital twin with integrated modeling. They argue that this approach can help assess the environmental and socio-economic sustainability of mobility scenarios, promoting improvements in air quality, mitigating traffic congestion, reducing travel times, and optimizing energy consumption. This encapsulates the multifaceted sustainability benefits: air quality improves with fewer emissions, congestion mitigation and reduced travel times mean less fuel burned (and less stress on passengers), and overall energy use is optimized when the system runs smoothly (Grotto et al., 2024).</w:t>
      </w:r>
    </w:p>
    <w:p w14:paraId="058F4E71"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Another sustainability angle is resilience to climate-related disruptions or other shocks. A digital twin’s predictive analytics can incorporate external data like weather forecasts or air quality indices to anticipate, for example, when extreme heat might strain vehicles or when poor air quality levels call for service adjustments. The Venice study by Villani et al. (2025) is relevant here – their digital twin framework helps the city prepare for and respond to events (floods, </w:t>
      </w:r>
      <w:r w:rsidRPr="00DF3F4D">
        <w:rPr>
          <w:rFonts w:ascii="Times New Roman" w:eastAsia="Times New Roman" w:hAnsi="Times New Roman" w:cs="Times New Roman"/>
          <w:sz w:val="28"/>
          <w:szCs w:val="28"/>
          <w:lang w:val="ru-KZ" w:eastAsia="ru-KZ"/>
        </w:rPr>
        <w:lastRenderedPageBreak/>
        <w:t>storms, etc.) by virtually stress-testing the transport network and planning adaptive responses. In a more everyday sense, digital twins can reduce the environmental impact of transport by smoothing operations: fewer bus-bunching incidents (where multiple buses end up running together due to delays) mean a more evenly distributed load and no unnecessary redundant trips. Studies have shown that preventing such inefficiencies leads to tangible fuel savings over time (Grotto et al., 2024).</w:t>
      </w:r>
    </w:p>
    <w:p w14:paraId="65C0EF15"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In summary, the integration of digital twins into public transport aligns closely with sustainability objectives. By optimizing routes and schedules, digital twins minimize wasted mileage and idle time (saving fuel). By reducing congestion and delays, they lower the emissions associated with stop-and-go traffic. By improving service reliability, they encourage greater transit use (supporting a shift from cars to cleaner mass transit). And by providing predictive insights, they allow transport systems to proactively address issues before they escalate into energy-intensive problems. As cities worldwide strive for greener mobility under initiatives like the European Green Deal, such data-driven, adaptive approaches are becoming invaluable. Indeed, multiple works envision the digital twin as a cornerstone of smart, sustainable cities, enabling continuous monitoring and optimization that leads to a cleaner and more efficient urban transport ecosystem (Wu et al., 2025; Lis &amp; Mądziel, 2026).</w:t>
      </w:r>
    </w:p>
    <w:p w14:paraId="35A0F503" w14:textId="77777777" w:rsidR="00132A8B" w:rsidRPr="00DF3F4D" w:rsidRDefault="00132A8B" w:rsidP="00132A8B">
      <w:pPr>
        <w:spacing w:before="100" w:beforeAutospacing="1" w:after="100" w:afterAutospacing="1" w:line="240" w:lineRule="auto"/>
        <w:outlineLvl w:val="2"/>
        <w:rPr>
          <w:rFonts w:ascii="Times New Roman" w:eastAsia="Times New Roman" w:hAnsi="Times New Roman" w:cs="Times New Roman"/>
          <w:b/>
          <w:bCs/>
          <w:sz w:val="28"/>
          <w:szCs w:val="28"/>
          <w:lang w:val="ru-KZ" w:eastAsia="ru-KZ"/>
        </w:rPr>
      </w:pPr>
      <w:r w:rsidRPr="00DF3F4D">
        <w:rPr>
          <w:rFonts w:ascii="Times New Roman" w:eastAsia="Times New Roman" w:hAnsi="Times New Roman" w:cs="Times New Roman"/>
          <w:b/>
          <w:bCs/>
          <w:sz w:val="28"/>
          <w:szCs w:val="28"/>
          <w:lang w:val="ru-KZ" w:eastAsia="ru-KZ"/>
        </w:rPr>
        <w:t>Synthesis of State-of-the-Art and Research Implications</w:t>
      </w:r>
    </w:p>
    <w:p w14:paraId="7AE43BA5"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The state-of-the-art review above illustrates that digital twin technology is rapidly gaining traction in intelligent transportation, with numerous pilot studies and frameworks demonstrating its benefits. Key contributions from recent studies include comprehensive architectural frameworks for IoT-connected transport digital twins, case studies of real-time traffic optimization using digital twins (Llagostera-Brugarola et al., 2025; Lis &amp; Mądziel, 2026), innovations in passenger flow prediction during disruptions (Ou et al., 2025), and methodologies for formalizing the development and validation of urban mobility twins (Grotto et al., 2024). Collectively, these works establish that digital twins can significantly improve operational visibility and responsiveness in public transport systems. They integrate data from IoT sensors, traffic control systems, and even external sources (like weather or special events) to create a live, analytical mirror of the city’s mobility. By doing so, digital twins help transit authorities move from a reactive stance (responding only after problems occur) to a proactive or even predictive approach (Long et al., 2025).</w:t>
      </w:r>
    </w:p>
    <w:p w14:paraId="20D114B1"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Despite these advantages, our review also highlights several open challenges. Achieving true real-time synchronization and control requires addressing interoperability and scalability issues. Manandhar et al. (2025) note that many systems still struggle to unify diverse data streams (vehicle telemetry, ridership data, traffic signals, etc.) into one cohesive model in real time, pointing to the </w:t>
      </w:r>
      <w:r w:rsidRPr="00DF3F4D">
        <w:rPr>
          <w:rFonts w:ascii="Times New Roman" w:eastAsia="Times New Roman" w:hAnsi="Times New Roman" w:cs="Times New Roman"/>
          <w:sz w:val="28"/>
          <w:szCs w:val="28"/>
          <w:lang w:val="ru-KZ" w:eastAsia="ru-KZ"/>
        </w:rPr>
        <w:lastRenderedPageBreak/>
        <w:t>need for standard data schemas and interfaces. Without standardization, integrating a new sensor or data feed can require significant effort. Some works suggest developing common ontologies or using platforms that enforce uniform data models for digital twins in smart cities.</w:t>
      </w:r>
    </w:p>
    <w:p w14:paraId="10138593"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Second, technical complexity and cost can be barriers. Implementing a full-stack IoT-to-DT integration with cloud services and AI analytics is non-trivial and may exceed the immediate capabilities of transit agencies without substantial investment. While the benefits are clear, many organizations hesitate due to the initial setup cost and the need for skilled personnel to maintain such systems (Manandhar et al., 2025). Overcoming this likely involves demonstrating clear return on investment through pilot projects and developing modular, out-of-the-box digital twin solutions tailored for transit to reduce custom development costs.</w:t>
      </w:r>
    </w:p>
    <w:p w14:paraId="57F7FF84"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Another important aspect is ensuring data quality and real-time performance. Digital twins are only as good as the data they ingest; issues like sensor errors, communication latency, or data losses can impair the twin’s accuracy. Long et al. (2025) warn that the immense volumes of data that digital twin platforms collect and process make them attractive, high-value cyber targets, with threats such as false data injection or denial-of-service capable of distorting the twin’s situational awareness. This calls for robust security measures in any digital twin deployment, including encryption, authentication, and anomaly detection in data streams.</w:t>
      </w:r>
    </w:p>
    <w:p w14:paraId="60123DBF"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From a research perspective, one implication is the need for better autonomous decision-making algorithms within digital twins. As noted earlier, many current systems stop at diagnosis or visualization and do not close the loop with automated control. Multiple contributions remain at the prototype or pilot stage rather than mature, long-running systems (Kukushkin et al., 2022; Manandhar et al., 2025), and many solutions currently lack the capability for autonomous or optimized response (Lis &amp; Mądziel, 2026). Future research should focus on the next step: how can digital twins not just identify problems (e.g., a bus running late) but also autonomously trigger or recommend the optimal solution (e.g., dispatching a backup bus or adjusting signal priority)? This intersects with advances in AI and control theory – for instance, reinforcement learning could be applied within a digital twin to learn optimal control policies for recurring scenarios like congestion patterns or schedule disturbances.</w:t>
      </w:r>
    </w:p>
    <w:p w14:paraId="36D7BD93"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Lastly, the literature suggests expanding the scope of digital twins to be more comprehensive. Instead of siloed systems (one DT for buses, another for traffic signals, etc.), a city might aim for an integrated urban digital twin that covers multiple domains. Already, works like Villani et al. (2025) demonstrate a multi-domain digital twin (encompassing energy, mobility, and resilience) for city management. For public transport, this means integrating the transit digital twin </w:t>
      </w:r>
      <w:r w:rsidRPr="00DF3F4D">
        <w:rPr>
          <w:rFonts w:ascii="Times New Roman" w:eastAsia="Times New Roman" w:hAnsi="Times New Roman" w:cs="Times New Roman"/>
          <w:sz w:val="28"/>
          <w:szCs w:val="28"/>
          <w:lang w:val="ru-KZ" w:eastAsia="ru-KZ"/>
        </w:rPr>
        <w:lastRenderedPageBreak/>
        <w:t>with broader intelligent transportation systems: traffic management centers, smart parking systems, ride-sharing platforms, and so on, to enable holistic mobility management (Villani et al., 2025). Such integration would allow, for example, a scenario where if the digital twin predicts a bus delay, it could communicate with the city’s traffic control system (or a traffic digital twin) to prioritize that bus at intersections – a coordinated inter-system response. While ambitious, this is the direction in which many smart city initiatives are headed.</w:t>
      </w:r>
    </w:p>
    <w:p w14:paraId="0D908D8B"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In conclusion, digital twin applications in transportation are moving from concept to reality, with recent studies demonstrating improvements in efficiency, safety, and sustainability. The consensus is that digital twins are powerful tools to tackle long-standing transit issues such as unreliable service and inefficiency. The remaining challenges – standardization, cost, data governance, automation, and security – define the research frontier. Addressing these will be crucial for widespread adoption. This thesis builds on these insights, aiming to contribute a practical implementation of a public transport digital twin that integrates best practices from the literature (IoT-cloud integration, real-time analytics, closed-loop control) while also exploring solutions to some of the challenges (such as iterative development to manage complexity, and leveraging cloud services for scalability).</w:t>
      </w:r>
    </w:p>
    <w:p w14:paraId="7D92B880" w14:textId="77777777" w:rsidR="00132A8B" w:rsidRPr="00DF3F4D" w:rsidRDefault="00132A8B" w:rsidP="00132A8B">
      <w:pPr>
        <w:spacing w:after="0" w:line="240" w:lineRule="auto"/>
        <w:rPr>
          <w:rFonts w:ascii="Times New Roman" w:eastAsia="Times New Roman" w:hAnsi="Times New Roman" w:cs="Times New Roman"/>
          <w:sz w:val="28"/>
          <w:szCs w:val="28"/>
          <w:lang w:val="ru-KZ" w:eastAsia="ru-KZ"/>
        </w:rPr>
      </w:pPr>
      <w:r>
        <w:rPr>
          <w:rFonts w:ascii="Times New Roman" w:eastAsia="Times New Roman" w:hAnsi="Times New Roman" w:cs="Times New Roman"/>
          <w:sz w:val="28"/>
          <w:szCs w:val="28"/>
          <w:lang w:val="ru-KZ" w:eastAsia="ru-KZ"/>
        </w:rPr>
        <w:pict w14:anchorId="18C7B48D">
          <v:rect id="_x0000_i1025" style="width:0;height:1.5pt" o:hralign="center" o:hrstd="t" o:hr="t" fillcolor="#a0a0a0" stroked="f"/>
        </w:pict>
      </w:r>
    </w:p>
    <w:p w14:paraId="00BD10BF"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In transportation, a digital twin is best understood not as a static model but as a continuously updated virtual counterpart: it ingests live sensor feeds, fuses heterogeneous data sources, runs simulations reflecting current conditions, and returns actionable guidance or control signals to operators and infrastructure. This ongoing loop—</w:t>
      </w:r>
      <w:r w:rsidRPr="00DF3F4D">
        <w:rPr>
          <w:rFonts w:ascii="Times New Roman" w:eastAsia="Times New Roman" w:hAnsi="Times New Roman" w:cs="Times New Roman"/>
          <w:b/>
          <w:bCs/>
          <w:sz w:val="28"/>
          <w:szCs w:val="28"/>
          <w:lang w:val="ru-KZ" w:eastAsia="ru-KZ"/>
        </w:rPr>
        <w:t>observe, simulate, decide, act</w:t>
      </w:r>
      <w:r w:rsidRPr="00DF3F4D">
        <w:rPr>
          <w:rFonts w:ascii="Times New Roman" w:eastAsia="Times New Roman" w:hAnsi="Times New Roman" w:cs="Times New Roman"/>
          <w:sz w:val="28"/>
          <w:szCs w:val="28"/>
          <w:lang w:val="ru-KZ" w:eastAsia="ru-KZ"/>
        </w:rPr>
        <w:t xml:space="preserve">—shortens the time between detection and intervention, enables safe policy experiments in a risk-free virtual environment, and supports coordinated decisions across multiple layers of urban mobility (Kukushkin et al., 2022). Cities and transport operators are attracted to digital twins for three interrelated reasons. </w:t>
      </w:r>
      <w:r w:rsidRPr="00DF3F4D">
        <w:rPr>
          <w:rFonts w:ascii="Times New Roman" w:eastAsia="Times New Roman" w:hAnsi="Times New Roman" w:cs="Times New Roman"/>
          <w:b/>
          <w:bCs/>
          <w:sz w:val="28"/>
          <w:szCs w:val="28"/>
          <w:lang w:val="ru-KZ" w:eastAsia="ru-KZ"/>
        </w:rPr>
        <w:t>First, operational improvement:</w:t>
      </w:r>
      <w:r w:rsidRPr="00DF3F4D">
        <w:rPr>
          <w:rFonts w:ascii="Times New Roman" w:eastAsia="Times New Roman" w:hAnsi="Times New Roman" w:cs="Times New Roman"/>
          <w:sz w:val="28"/>
          <w:szCs w:val="28"/>
          <w:lang w:val="ru-KZ" w:eastAsia="ru-KZ"/>
        </w:rPr>
        <w:t xml:space="preserve"> by combining edge computing with cloud analytics, twins can support low-latency tasks such as adaptive signal timing, dynamic routing, and rapid incident mitigation, which in turn reduce delays and improve safety (Wang et al., 2024). </w:t>
      </w:r>
      <w:r w:rsidRPr="00DF3F4D">
        <w:rPr>
          <w:rFonts w:ascii="Times New Roman" w:eastAsia="Times New Roman" w:hAnsi="Times New Roman" w:cs="Times New Roman"/>
          <w:b/>
          <w:bCs/>
          <w:sz w:val="28"/>
          <w:szCs w:val="28"/>
          <w:lang w:val="ru-KZ" w:eastAsia="ru-KZ"/>
        </w:rPr>
        <w:t>Second, strategic foresight:</w:t>
      </w:r>
      <w:r w:rsidRPr="00DF3F4D">
        <w:rPr>
          <w:rFonts w:ascii="Times New Roman" w:eastAsia="Times New Roman" w:hAnsi="Times New Roman" w:cs="Times New Roman"/>
          <w:sz w:val="28"/>
          <w:szCs w:val="28"/>
          <w:lang w:val="ru-KZ" w:eastAsia="ru-KZ"/>
        </w:rPr>
        <w:t xml:space="preserve"> metropolitan-scale twins allow planners to run numerous scenarios—varying demand, infrastructure changes, or policy levers—to reveal second-order effects that simpler models might miss (Yeon et al., 2023). </w:t>
      </w:r>
      <w:r w:rsidRPr="00DF3F4D">
        <w:rPr>
          <w:rFonts w:ascii="Times New Roman" w:eastAsia="Times New Roman" w:hAnsi="Times New Roman" w:cs="Times New Roman"/>
          <w:b/>
          <w:bCs/>
          <w:sz w:val="28"/>
          <w:szCs w:val="28"/>
          <w:lang w:val="ru-KZ" w:eastAsia="ru-KZ"/>
        </w:rPr>
        <w:t>Third, resilience and institutional learning:</w:t>
      </w:r>
      <w:r w:rsidRPr="00DF3F4D">
        <w:rPr>
          <w:rFonts w:ascii="Times New Roman" w:eastAsia="Times New Roman" w:hAnsi="Times New Roman" w:cs="Times New Roman"/>
          <w:sz w:val="28"/>
          <w:szCs w:val="28"/>
          <w:lang w:val="ru-KZ" w:eastAsia="ru-KZ"/>
        </w:rPr>
        <w:t xml:space="preserve"> continuous calibration and logging of interventions help systems learn what works under different conditions and recover more quickly from disruptions (Feng et al., 2023; Kušić et al., 2023).</w:t>
      </w:r>
    </w:p>
    <w:p w14:paraId="703827CE"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Despite these advantages, the literature paints a cautious picture. Systematic reviews and field reports repeatedly note that many contributions remain at the </w:t>
      </w:r>
      <w:r w:rsidRPr="00DF3F4D">
        <w:rPr>
          <w:rFonts w:ascii="Times New Roman" w:eastAsia="Times New Roman" w:hAnsi="Times New Roman" w:cs="Times New Roman"/>
          <w:sz w:val="28"/>
          <w:szCs w:val="28"/>
          <w:lang w:val="ru-KZ" w:eastAsia="ru-KZ"/>
        </w:rPr>
        <w:lastRenderedPageBreak/>
        <w:t>prototype or pilot stage rather than representing mature, long-running systems with documented governance, maintenance regimes, and cost profiles (Kukushkin et al., 2022; Manandhar et al., 2025). Barriers to scaling are not purely technical—data heterogeneity, legacy hardware, and integration complexity are significant—but also institutional: procurement cycles, fragmented responsibilities, and unclear legal frameworks slow adoption. Social and ethical questions—who controls the twin, how data are shared, and how incentives affect different population groups—are often underexamined in technical research (Araldo et al., 2019). This review therefore adopts a pragmatic stance. It synthesizes representative technical and applied studies while foregrounding the organizational, economic, and social conditions that determine whether a twin remains an experimental artifact or becomes an operational tool. The aim is to provide a practitioner-oriented synthesis that clarifies where digital twins have demonstrated value, where evidence is thin, and what concrete steps cities and researchers should prioritize to move from promising pilots to reliable, equitable deployments.</w:t>
      </w:r>
    </w:p>
    <w:p w14:paraId="355C016C"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b/>
          <w:bCs/>
          <w:sz w:val="28"/>
          <w:szCs w:val="28"/>
          <w:lang w:val="ru-KZ" w:eastAsia="ru-KZ"/>
        </w:rPr>
        <w:t>Field maturity and typology of applications:</w:t>
      </w:r>
      <w:r w:rsidRPr="00DF3F4D">
        <w:rPr>
          <w:rFonts w:ascii="Times New Roman" w:eastAsia="Times New Roman" w:hAnsi="Times New Roman" w:cs="Times New Roman"/>
          <w:sz w:val="28"/>
          <w:szCs w:val="28"/>
          <w:lang w:val="ru-KZ" w:eastAsia="ru-KZ"/>
        </w:rPr>
        <w:t xml:space="preserve"> A cross-reading of recent reviews and applied papers reveals three recurring application patterns for transportation digital twins. The first pattern comprises edge-centric, low-latency systems that support vehicle-level decisions or intersection control; these prioritize minimal communication delay and local processing to enable safety-critical responses (Wang et al., 2024). The second pattern is city-scale operating platforms that emphasize scalability and visualization for planners; these platforms are designed to run large ensembles of scenarios and evaluate policy options rather than to control devices in real time (Yeon et al., 2023). The third pattern involves hybrid architectures that combine local responsiveness with centralized analytics to balance latency and global situational awareness. The practical implication is clear: a single, universal twin rarely fits every objective; system architects should select design patterns that match the project’s primary purpose—real-time control, strategic simulation, or a deliberate mix of both.</w:t>
      </w:r>
    </w:p>
    <w:p w14:paraId="25AF6DB8"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b/>
          <w:bCs/>
          <w:sz w:val="28"/>
          <w:szCs w:val="28"/>
          <w:lang w:val="ru-KZ" w:eastAsia="ru-KZ"/>
        </w:rPr>
        <w:t>Demonstrated benefits and limits from pilots:</w:t>
      </w:r>
      <w:r w:rsidRPr="00DF3F4D">
        <w:rPr>
          <w:rFonts w:ascii="Times New Roman" w:eastAsia="Times New Roman" w:hAnsi="Times New Roman" w:cs="Times New Roman"/>
          <w:sz w:val="28"/>
          <w:szCs w:val="28"/>
          <w:lang w:val="ru-KZ" w:eastAsia="ru-KZ"/>
        </w:rPr>
        <w:t xml:space="preserve"> Applied studies report measurable operational gains in constrained settings. Navigation-focused twins that fuse roadside sensing with edge/cloud processing have shown reductions in travel time and faster incident response in experimental deployments (Wang et al., 2024). Adaptive signal control driven by a twin has produced lower average delays in corridor pilots compared with baseline strategies (Dasgupta et al., 2021). City-scale platforms enable planners to visualize complex interactions and stress-test policies across many scenarios, uncovering second-order effects that simpler tools might miss (Yeon et al., 2023). Yet these successes are often limited in spatial or temporal scope; few studies document the long-term maintenance burdens, organizational friction, or full lifecycle costs of operating a twin at metropolitan scale.</w:t>
      </w:r>
    </w:p>
    <w:p w14:paraId="5610EB62"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b/>
          <w:bCs/>
          <w:sz w:val="28"/>
          <w:szCs w:val="28"/>
          <w:lang w:val="ru-KZ" w:eastAsia="ru-KZ"/>
        </w:rPr>
        <w:lastRenderedPageBreak/>
        <w:t>Data integrity, resilience, and model fidelity:</w:t>
      </w:r>
      <w:r w:rsidRPr="00DF3F4D">
        <w:rPr>
          <w:rFonts w:ascii="Times New Roman" w:eastAsia="Times New Roman" w:hAnsi="Times New Roman" w:cs="Times New Roman"/>
          <w:sz w:val="28"/>
          <w:szCs w:val="28"/>
          <w:lang w:val="ru-KZ" w:eastAsia="ru-KZ"/>
        </w:rPr>
        <w:t xml:space="preserve"> Two technical threads recur across the literature: trust in data pipelines and ongoing model calibration. One strand, exemplified by Feng et al. (2023), proposes cryptographic provenance and distributed ledger techniques to secure telemetry and ensure auditable data use. Another, highlighted by Kušić et al. (2023), emphasizes continuous recalibration of simulation models using minute-level traffic streams so that predictions remain representative as conditions evolve. These approaches address complementary risks—one secures the origin and integrity of inputs, the other preserves model relevance—but combining them increases computational demands and architectural complexity. Practitioners therefore need to plan for scalable computing resources, robust monitoring, and clear operational procedures.</w:t>
      </w:r>
    </w:p>
    <w:p w14:paraId="6222E9A3"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b/>
          <w:bCs/>
          <w:sz w:val="28"/>
          <w:szCs w:val="28"/>
          <w:lang w:val="ru-KZ" w:eastAsia="ru-KZ"/>
        </w:rPr>
        <w:t>Human behavior, incentives, and equity considerations:</w:t>
      </w:r>
      <w:r w:rsidRPr="00DF3F4D">
        <w:rPr>
          <w:rFonts w:ascii="Times New Roman" w:eastAsia="Times New Roman" w:hAnsi="Times New Roman" w:cs="Times New Roman"/>
          <w:sz w:val="28"/>
          <w:szCs w:val="28"/>
          <w:lang w:val="ru-KZ" w:eastAsia="ru-KZ"/>
        </w:rPr>
        <w:t xml:space="preserve"> Technical performance alone does not guarantee public acceptance or equitable outcomes. Research that embeds behavioral incentives—token rewards, dynamic pricing, or personalized nudges—shows potential to shift traveler choices toward energy-efficient or system-friendly options (Araldo et al., 2019). However, incentive schemes can have uneven distributional effects: what motivates one demographic may disadvantage another. When incentive design is considered alongside infrastructure and interoperability constraints in public transit, it becomes evident that successful digital twins require socio-technical integration: co-design with users, equity impact assessments, and transparent communication about data use (Manandhar et al., 2025).</w:t>
      </w:r>
    </w:p>
    <w:p w14:paraId="706A06A7"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b/>
          <w:bCs/>
          <w:sz w:val="28"/>
          <w:szCs w:val="28"/>
          <w:lang w:val="ru-KZ" w:eastAsia="ru-KZ"/>
        </w:rPr>
        <w:t>Industry pilots, transparency, and reproducibility:</w:t>
      </w:r>
      <w:r w:rsidRPr="00DF3F4D">
        <w:rPr>
          <w:rFonts w:ascii="Times New Roman" w:eastAsia="Times New Roman" w:hAnsi="Times New Roman" w:cs="Times New Roman"/>
          <w:sz w:val="28"/>
          <w:szCs w:val="28"/>
          <w:lang w:val="ru-KZ" w:eastAsia="ru-KZ"/>
        </w:rPr>
        <w:t xml:space="preserve"> Industry reports and practitioner case studies document operational improvements—better scheduling, reduced downtime, and improved demand forecasting—when operators adopt partial twin capabilities (Habr, 2024). Yet these accounts frequently lack methodological detail and open datasets, which limits reproducibility and cross-case learning. The absence of standardized performance metrics and shared benchmarks slows the emergence of best practices and complicates comparisons across cities and vendors.</w:t>
      </w:r>
    </w:p>
    <w:p w14:paraId="1933DACE" w14:textId="5DE556F2" w:rsidR="00253CF6" w:rsidRDefault="00132A8B" w:rsidP="00132A8B">
      <w:pPr>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b/>
          <w:bCs/>
          <w:sz w:val="28"/>
          <w:szCs w:val="28"/>
          <w:lang w:val="ru-KZ" w:eastAsia="ru-KZ"/>
        </w:rPr>
        <w:t>Systemic gaps: economics, multimodality, and governance.</w:t>
      </w:r>
      <w:r w:rsidRPr="00DF3F4D">
        <w:rPr>
          <w:rFonts w:ascii="Times New Roman" w:eastAsia="Times New Roman" w:hAnsi="Times New Roman" w:cs="Times New Roman"/>
          <w:sz w:val="28"/>
          <w:szCs w:val="28"/>
          <w:lang w:val="ru-KZ" w:eastAsia="ru-KZ"/>
        </w:rPr>
        <w:t xml:space="preserve"> Comparative analysis highlights three persistent gaps. First, economic evaluation is underdeveloped: few studies provide rigorous capital and operating cost analyses or model return-on-investment across different city sizes and governance arrangements. Second, multimodal integration is limited: most digital twin implementations focus on a single mode (for example, road traffic) rather than coordinating buses, metro, micromobility, freight, and pedestrian flows. Third, legal and ethical frameworks for handling high-resolution mobility data are nascent, leaving privacy, accountability, and data-sharing rules unclear. Closing these gaps will require interdisciplinary collaboration among engineers, </w:t>
      </w:r>
      <w:r w:rsidRPr="00DF3F4D">
        <w:rPr>
          <w:rFonts w:ascii="Times New Roman" w:eastAsia="Times New Roman" w:hAnsi="Times New Roman" w:cs="Times New Roman"/>
          <w:sz w:val="28"/>
          <w:szCs w:val="28"/>
          <w:lang w:val="ru-KZ" w:eastAsia="ru-KZ"/>
        </w:rPr>
        <w:lastRenderedPageBreak/>
        <w:t>economists, legal scholars, and community stakeholders. The next sections will formulate the specific research questions arising from these gaps and outline the methodology for developing and evaluating the proposed digital twin system for public transport efficiency.</w:t>
      </w:r>
    </w:p>
    <w:p w14:paraId="7D4D6535" w14:textId="77777777" w:rsidR="00132A8B" w:rsidRPr="00DF3F4D" w:rsidRDefault="00132A8B" w:rsidP="00132A8B">
      <w:pPr>
        <w:spacing w:before="100" w:beforeAutospacing="1" w:after="100" w:afterAutospacing="1" w:line="240" w:lineRule="auto"/>
        <w:outlineLvl w:val="1"/>
        <w:rPr>
          <w:rFonts w:ascii="Times New Roman" w:eastAsia="Times New Roman" w:hAnsi="Times New Roman" w:cs="Times New Roman"/>
          <w:b/>
          <w:bCs/>
          <w:sz w:val="28"/>
          <w:szCs w:val="28"/>
          <w:lang w:val="ru-KZ" w:eastAsia="ru-KZ"/>
        </w:rPr>
      </w:pPr>
      <w:r w:rsidRPr="00DF3F4D">
        <w:rPr>
          <w:rFonts w:ascii="Times New Roman" w:eastAsia="Times New Roman" w:hAnsi="Times New Roman" w:cs="Times New Roman"/>
          <w:b/>
          <w:bCs/>
          <w:sz w:val="28"/>
          <w:szCs w:val="28"/>
          <w:lang w:val="ru-KZ" w:eastAsia="ru-KZ"/>
        </w:rPr>
        <w:t>References</w:t>
      </w:r>
    </w:p>
    <w:p w14:paraId="1D30A6F4"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Araldo, A., Gao, S., Seshadri, R., Lima Azevedo, C., Ghafourian, H., Sui, Y., Ayaz, S., Sukhin, D., &amp; Ben-Akiva, M. (2019). System-level optimization of multi-modal transportation networks. </w:t>
      </w:r>
      <w:r w:rsidRPr="00DF3F4D">
        <w:rPr>
          <w:rFonts w:ascii="Times New Roman" w:eastAsia="Times New Roman" w:hAnsi="Times New Roman" w:cs="Times New Roman"/>
          <w:i/>
          <w:iCs/>
          <w:sz w:val="28"/>
          <w:szCs w:val="28"/>
          <w:lang w:val="ru-KZ" w:eastAsia="ru-KZ"/>
        </w:rPr>
        <w:t>Tripod Project</w:t>
      </w:r>
      <w:r w:rsidRPr="00DF3F4D">
        <w:rPr>
          <w:rFonts w:ascii="Times New Roman" w:eastAsia="Times New Roman" w:hAnsi="Times New Roman" w:cs="Times New Roman"/>
          <w:sz w:val="28"/>
          <w:szCs w:val="28"/>
          <w:lang w:val="ru-KZ" w:eastAsia="ru-KZ"/>
        </w:rPr>
        <w:t>. https://doi.org/10.1177/0361198119864906</w:t>
      </w:r>
    </w:p>
    <w:p w14:paraId="6E81AC7D"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Dasgupta, S., Rahman, M., Lidbe, A., Lu, W., &amp; Jones, S. (2021). A transportation digital-twin approach for adaptive traffic control systems. </w:t>
      </w:r>
      <w:r w:rsidRPr="00DF3F4D">
        <w:rPr>
          <w:rFonts w:ascii="Times New Roman" w:eastAsia="Times New Roman" w:hAnsi="Times New Roman" w:cs="Times New Roman"/>
          <w:i/>
          <w:iCs/>
          <w:sz w:val="28"/>
          <w:szCs w:val="28"/>
          <w:lang w:val="ru-KZ" w:eastAsia="ru-KZ"/>
        </w:rPr>
        <w:t>Transportation Research Record</w:t>
      </w:r>
      <w:r w:rsidRPr="00DF3F4D">
        <w:rPr>
          <w:rFonts w:ascii="Times New Roman" w:eastAsia="Times New Roman" w:hAnsi="Times New Roman" w:cs="Times New Roman"/>
          <w:sz w:val="28"/>
          <w:szCs w:val="28"/>
          <w:lang w:val="ru-KZ" w:eastAsia="ru-KZ"/>
        </w:rPr>
        <w:t>. (Preprint available on arXiv). https://doi.org/10.48550/arXiv.2109.10863</w:t>
      </w:r>
    </w:p>
    <w:p w14:paraId="7FC32D0B"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Feng, H., Lv, H., &amp; Lv, Z. (2023). Resilience toward digital twins to improve adaptability of transportation systems. </w:t>
      </w:r>
      <w:r w:rsidRPr="00DF3F4D">
        <w:rPr>
          <w:rFonts w:ascii="Times New Roman" w:eastAsia="Times New Roman" w:hAnsi="Times New Roman" w:cs="Times New Roman"/>
          <w:i/>
          <w:iCs/>
          <w:sz w:val="28"/>
          <w:szCs w:val="28"/>
          <w:lang w:val="ru-KZ" w:eastAsia="ru-KZ"/>
        </w:rPr>
        <w:t>Transportation Research Part A: Policy and Practice, 173</w:t>
      </w:r>
      <w:r w:rsidRPr="00DF3F4D">
        <w:rPr>
          <w:rFonts w:ascii="Times New Roman" w:eastAsia="Times New Roman" w:hAnsi="Times New Roman" w:cs="Times New Roman"/>
          <w:sz w:val="28"/>
          <w:szCs w:val="28"/>
          <w:lang w:val="ru-KZ" w:eastAsia="ru-KZ"/>
        </w:rPr>
        <w:t>, 103686. https://doi.org/10.1016/j.tra.2023.103686</w:t>
      </w:r>
    </w:p>
    <w:p w14:paraId="7DA40617"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Grotto, A., Casas, P. F., Zubaryeva, A., &amp; Sparber, W. (2024). Formalizing sustainable urban mobility management: An innovative approach with digital twin and integrated modeling. </w:t>
      </w:r>
      <w:r w:rsidRPr="00DF3F4D">
        <w:rPr>
          <w:rFonts w:ascii="Times New Roman" w:eastAsia="Times New Roman" w:hAnsi="Times New Roman" w:cs="Times New Roman"/>
          <w:i/>
          <w:iCs/>
          <w:sz w:val="28"/>
          <w:szCs w:val="28"/>
          <w:lang w:val="ru-KZ" w:eastAsia="ru-KZ"/>
        </w:rPr>
        <w:t>Logistics, 8</w:t>
      </w:r>
      <w:r w:rsidRPr="00DF3F4D">
        <w:rPr>
          <w:rFonts w:ascii="Times New Roman" w:eastAsia="Times New Roman" w:hAnsi="Times New Roman" w:cs="Times New Roman"/>
          <w:sz w:val="28"/>
          <w:szCs w:val="28"/>
          <w:lang w:val="ru-KZ" w:eastAsia="ru-KZ"/>
        </w:rPr>
        <w:t>(4), 117. https://doi.org/10.3390/logistics8040117</w:t>
      </w:r>
    </w:p>
    <w:p w14:paraId="188A8D61"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Habr. (2024). </w:t>
      </w:r>
      <w:r w:rsidRPr="00DF3F4D">
        <w:rPr>
          <w:rFonts w:ascii="Times New Roman" w:eastAsia="Times New Roman" w:hAnsi="Times New Roman" w:cs="Times New Roman"/>
          <w:i/>
          <w:iCs/>
          <w:sz w:val="28"/>
          <w:szCs w:val="28"/>
          <w:lang w:val="ru-KZ" w:eastAsia="ru-KZ"/>
        </w:rPr>
        <w:t>Digital twins in transportation</w:t>
      </w:r>
      <w:r w:rsidRPr="00DF3F4D">
        <w:rPr>
          <w:rFonts w:ascii="Times New Roman" w:eastAsia="Times New Roman" w:hAnsi="Times New Roman" w:cs="Times New Roman"/>
          <w:sz w:val="28"/>
          <w:szCs w:val="28"/>
          <w:lang w:val="ru-KZ" w:eastAsia="ru-KZ"/>
        </w:rPr>
        <w:t>. Habr. Retrieved from https://habr.com/</w:t>
      </w:r>
    </w:p>
    <w:p w14:paraId="165E80CE"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Kajba, M., Jereb, B., &amp; Čvahte Ojsteršek, T. (2023). Exploring digital twins in the transport and energy fields: A bibliometrics and literature review approach. </w:t>
      </w:r>
      <w:r w:rsidRPr="00DF3F4D">
        <w:rPr>
          <w:rFonts w:ascii="Times New Roman" w:eastAsia="Times New Roman" w:hAnsi="Times New Roman" w:cs="Times New Roman"/>
          <w:i/>
          <w:iCs/>
          <w:sz w:val="28"/>
          <w:szCs w:val="28"/>
          <w:lang w:val="ru-KZ" w:eastAsia="ru-KZ"/>
        </w:rPr>
        <w:t>Energies, 16</w:t>
      </w:r>
      <w:r w:rsidRPr="00DF3F4D">
        <w:rPr>
          <w:rFonts w:ascii="Times New Roman" w:eastAsia="Times New Roman" w:hAnsi="Times New Roman" w:cs="Times New Roman"/>
          <w:sz w:val="28"/>
          <w:szCs w:val="28"/>
          <w:lang w:val="ru-KZ" w:eastAsia="ru-KZ"/>
        </w:rPr>
        <w:t>(9), 3922. https://doi.org/10.3390/en16093922</w:t>
      </w:r>
    </w:p>
    <w:p w14:paraId="42802C03"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Kukushkin, K., Ryabov, Y., &amp; Borovkov, A. (2022). Digital twins: A systematic literature review based on data analysis and topic modeling. </w:t>
      </w:r>
      <w:r w:rsidRPr="00DF3F4D">
        <w:rPr>
          <w:rFonts w:ascii="Times New Roman" w:eastAsia="Times New Roman" w:hAnsi="Times New Roman" w:cs="Times New Roman"/>
          <w:i/>
          <w:iCs/>
          <w:sz w:val="28"/>
          <w:szCs w:val="28"/>
          <w:lang w:val="ru-KZ" w:eastAsia="ru-KZ"/>
        </w:rPr>
        <w:t>Data, 7</w:t>
      </w:r>
      <w:r w:rsidRPr="00DF3F4D">
        <w:rPr>
          <w:rFonts w:ascii="Times New Roman" w:eastAsia="Times New Roman" w:hAnsi="Times New Roman" w:cs="Times New Roman"/>
          <w:sz w:val="28"/>
          <w:szCs w:val="28"/>
          <w:lang w:val="ru-KZ" w:eastAsia="ru-KZ"/>
        </w:rPr>
        <w:t>(12), 173. https://doi.org/10.3390/data7120173</w:t>
      </w:r>
    </w:p>
    <w:p w14:paraId="4A254C60"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Kušić, K., Schumann, R., &amp; Ivanjko, E. (2023). A digital twin in transportation: Real-time synergy of traffic data streams and simulation. </w:t>
      </w:r>
      <w:r w:rsidRPr="00DF3F4D">
        <w:rPr>
          <w:rFonts w:ascii="Times New Roman" w:eastAsia="Times New Roman" w:hAnsi="Times New Roman" w:cs="Times New Roman"/>
          <w:i/>
          <w:iCs/>
          <w:sz w:val="28"/>
          <w:szCs w:val="28"/>
          <w:lang w:val="ru-KZ" w:eastAsia="ru-KZ"/>
        </w:rPr>
        <w:t>Advanced Engineering Informatics, 55</w:t>
      </w:r>
      <w:r w:rsidRPr="00DF3F4D">
        <w:rPr>
          <w:rFonts w:ascii="Times New Roman" w:eastAsia="Times New Roman" w:hAnsi="Times New Roman" w:cs="Times New Roman"/>
          <w:sz w:val="28"/>
          <w:szCs w:val="28"/>
          <w:lang w:val="ru-KZ" w:eastAsia="ru-KZ"/>
        </w:rPr>
        <w:t>, 101858. https://doi.org/10.1016/j.aei.2022.101858</w:t>
      </w:r>
    </w:p>
    <w:p w14:paraId="13EFDE30"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Lis, M., &amp; Mądziel, M. (2026). Green transportation planning for smart cities: Digital twins and real-time traffic optimization in urban mobility networks. </w:t>
      </w:r>
      <w:r w:rsidRPr="00DF3F4D">
        <w:rPr>
          <w:rFonts w:ascii="Times New Roman" w:eastAsia="Times New Roman" w:hAnsi="Times New Roman" w:cs="Times New Roman"/>
          <w:i/>
          <w:iCs/>
          <w:sz w:val="28"/>
          <w:szCs w:val="28"/>
          <w:lang w:val="ru-KZ" w:eastAsia="ru-KZ"/>
        </w:rPr>
        <w:t>Applied Sciences, 16</w:t>
      </w:r>
      <w:r w:rsidRPr="00DF3F4D">
        <w:rPr>
          <w:rFonts w:ascii="Times New Roman" w:eastAsia="Times New Roman" w:hAnsi="Times New Roman" w:cs="Times New Roman"/>
          <w:sz w:val="28"/>
          <w:szCs w:val="28"/>
          <w:lang w:val="ru-KZ" w:eastAsia="ru-KZ"/>
        </w:rPr>
        <w:t>(2), 678. https://doi.org/10.3390/app16020678</w:t>
      </w:r>
    </w:p>
    <w:p w14:paraId="742B8CB5"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lastRenderedPageBreak/>
        <w:t xml:space="preserve">Llagostera-Brugarola, E., Corpas-Marco, E., Victorio-Vergel, C., Lopez-Aguilera, E., Vázquez-Gallego, F., &amp; Alonso-Zarate, J. (2025). A digital twin for intelligent transportation systems in interurban scenarios. </w:t>
      </w:r>
      <w:r w:rsidRPr="00DF3F4D">
        <w:rPr>
          <w:rFonts w:ascii="Times New Roman" w:eastAsia="Times New Roman" w:hAnsi="Times New Roman" w:cs="Times New Roman"/>
          <w:i/>
          <w:iCs/>
          <w:sz w:val="28"/>
          <w:szCs w:val="28"/>
          <w:lang w:val="ru-KZ" w:eastAsia="ru-KZ"/>
        </w:rPr>
        <w:t>Applied Sciences, 15</w:t>
      </w:r>
      <w:r w:rsidRPr="00DF3F4D">
        <w:rPr>
          <w:rFonts w:ascii="Times New Roman" w:eastAsia="Times New Roman" w:hAnsi="Times New Roman" w:cs="Times New Roman"/>
          <w:sz w:val="28"/>
          <w:szCs w:val="28"/>
          <w:lang w:val="ru-KZ" w:eastAsia="ru-KZ"/>
        </w:rPr>
        <w:t>(13), 7454. https://doi.org/10.3390/app15137454</w:t>
      </w:r>
    </w:p>
    <w:p w14:paraId="45C20193"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Long, K., Ma, C., Li, H., Li, Z., Huang, H., Shi, H., Huang, Z., Sheng, Z., Shi, L., Li, P., </w:t>
      </w:r>
      <w:r w:rsidRPr="00DF3F4D">
        <w:rPr>
          <w:rFonts w:ascii="Times New Roman" w:eastAsia="Times New Roman" w:hAnsi="Times New Roman" w:cs="Times New Roman"/>
          <w:i/>
          <w:iCs/>
          <w:sz w:val="28"/>
          <w:szCs w:val="28"/>
          <w:lang w:val="ru-KZ" w:eastAsia="ru-KZ"/>
        </w:rPr>
        <w:t>et al.</w:t>
      </w:r>
      <w:r w:rsidRPr="00DF3F4D">
        <w:rPr>
          <w:rFonts w:ascii="Times New Roman" w:eastAsia="Times New Roman" w:hAnsi="Times New Roman" w:cs="Times New Roman"/>
          <w:sz w:val="28"/>
          <w:szCs w:val="28"/>
          <w:lang w:val="ru-KZ" w:eastAsia="ru-KZ"/>
        </w:rPr>
        <w:t xml:space="preserve"> (2025). AI-enabled digital twin framework for safe and sustainable intelligent transportation. </w:t>
      </w:r>
      <w:r w:rsidRPr="00DF3F4D">
        <w:rPr>
          <w:rFonts w:ascii="Times New Roman" w:eastAsia="Times New Roman" w:hAnsi="Times New Roman" w:cs="Times New Roman"/>
          <w:i/>
          <w:iCs/>
          <w:sz w:val="28"/>
          <w:szCs w:val="28"/>
          <w:lang w:val="ru-KZ" w:eastAsia="ru-KZ"/>
        </w:rPr>
        <w:t>Sustainability, 17</w:t>
      </w:r>
      <w:r w:rsidRPr="00DF3F4D">
        <w:rPr>
          <w:rFonts w:ascii="Times New Roman" w:eastAsia="Times New Roman" w:hAnsi="Times New Roman" w:cs="Times New Roman"/>
          <w:sz w:val="28"/>
          <w:szCs w:val="28"/>
          <w:lang w:val="ru-KZ" w:eastAsia="ru-KZ"/>
        </w:rPr>
        <w:t>(10), 4391. https://doi.org/10.3390/su17104391</w:t>
      </w:r>
    </w:p>
    <w:p w14:paraId="3EC34E20"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Manandhar, B., Dunkel Vance, K., Rawat, D. B., &amp; Yilmaz, N. (2025). Leveraging digital twin technology for sustainable and efficient public transportation. </w:t>
      </w:r>
      <w:r w:rsidRPr="00DF3F4D">
        <w:rPr>
          <w:rFonts w:ascii="Times New Roman" w:eastAsia="Times New Roman" w:hAnsi="Times New Roman" w:cs="Times New Roman"/>
          <w:i/>
          <w:iCs/>
          <w:sz w:val="28"/>
          <w:szCs w:val="28"/>
          <w:lang w:val="ru-KZ" w:eastAsia="ru-KZ"/>
        </w:rPr>
        <w:t>Applied Sciences, 15</w:t>
      </w:r>
      <w:r w:rsidRPr="00DF3F4D">
        <w:rPr>
          <w:rFonts w:ascii="Times New Roman" w:eastAsia="Times New Roman" w:hAnsi="Times New Roman" w:cs="Times New Roman"/>
          <w:sz w:val="28"/>
          <w:szCs w:val="28"/>
          <w:lang w:val="ru-KZ" w:eastAsia="ru-KZ"/>
        </w:rPr>
        <w:t>(6), 2942. https://doi.org/10.3390/app15062942</w:t>
      </w:r>
    </w:p>
    <w:p w14:paraId="659906C7"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Ou, Y., Mihăiță, A.-S., Ellison, A., Mao, T., Lee, S., &amp; Chen, F. (2025). Rail digital twin and deep learning for passenger flow prediction using mobile data. </w:t>
      </w:r>
      <w:r w:rsidRPr="00DF3F4D">
        <w:rPr>
          <w:rFonts w:ascii="Times New Roman" w:eastAsia="Times New Roman" w:hAnsi="Times New Roman" w:cs="Times New Roman"/>
          <w:i/>
          <w:iCs/>
          <w:sz w:val="28"/>
          <w:szCs w:val="28"/>
          <w:lang w:val="ru-KZ" w:eastAsia="ru-KZ"/>
        </w:rPr>
        <w:t>Electronics, 14</w:t>
      </w:r>
      <w:r w:rsidRPr="00DF3F4D">
        <w:rPr>
          <w:rFonts w:ascii="Times New Roman" w:eastAsia="Times New Roman" w:hAnsi="Times New Roman" w:cs="Times New Roman"/>
          <w:sz w:val="28"/>
          <w:szCs w:val="28"/>
          <w:lang w:val="ru-KZ" w:eastAsia="ru-KZ"/>
        </w:rPr>
        <w:t>(12), 2359. https://doi.org/10.3390/electronics14122359</w:t>
      </w:r>
    </w:p>
    <w:p w14:paraId="3AA5E260"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Villani, L., Gugliermetti, L., Barucco, M. A., &amp; Cinquepalmi, F. (2025). A digital twin framework to improve urban sustainability and resiliency: The case study of Venice. </w:t>
      </w:r>
      <w:r w:rsidRPr="00DF3F4D">
        <w:rPr>
          <w:rFonts w:ascii="Times New Roman" w:eastAsia="Times New Roman" w:hAnsi="Times New Roman" w:cs="Times New Roman"/>
          <w:i/>
          <w:iCs/>
          <w:sz w:val="28"/>
          <w:szCs w:val="28"/>
          <w:lang w:val="ru-KZ" w:eastAsia="ru-KZ"/>
        </w:rPr>
        <w:t>Land, 14</w:t>
      </w:r>
      <w:r w:rsidRPr="00DF3F4D">
        <w:rPr>
          <w:rFonts w:ascii="Times New Roman" w:eastAsia="Times New Roman" w:hAnsi="Times New Roman" w:cs="Times New Roman"/>
          <w:sz w:val="28"/>
          <w:szCs w:val="28"/>
          <w:lang w:val="ru-KZ" w:eastAsia="ru-KZ"/>
        </w:rPr>
        <w:t>(1), 83. https://doi.org/10.3390/land14010083</w:t>
      </w:r>
    </w:p>
    <w:p w14:paraId="08EA4DCD"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Wang, K., Li, Z., Nonomura, K., Yu, T., Sakaguchi, K., Hashash, O., &amp; Saad, W. (2024). Smart mobility digital twin based automated vehicle navigation system. </w:t>
      </w:r>
      <w:r w:rsidRPr="00DF3F4D">
        <w:rPr>
          <w:rFonts w:ascii="Times New Roman" w:eastAsia="Times New Roman" w:hAnsi="Times New Roman" w:cs="Times New Roman"/>
          <w:i/>
          <w:iCs/>
          <w:sz w:val="28"/>
          <w:szCs w:val="28"/>
          <w:lang w:val="ru-KZ" w:eastAsia="ru-KZ"/>
        </w:rPr>
        <w:t>arXiv preprint arXiv:2402.12682</w:t>
      </w:r>
      <w:r w:rsidRPr="00DF3F4D">
        <w:rPr>
          <w:rFonts w:ascii="Times New Roman" w:eastAsia="Times New Roman" w:hAnsi="Times New Roman" w:cs="Times New Roman"/>
          <w:sz w:val="28"/>
          <w:szCs w:val="28"/>
          <w:lang w:val="ru-KZ" w:eastAsia="ru-KZ"/>
        </w:rPr>
        <w:t>. https://doi.org/10.48550/arXiv.2402.12682</w:t>
      </w:r>
    </w:p>
    <w:p w14:paraId="1FB76B8B"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Wu, D., Zheng, A., Yu, W., Cao, H., Ling, Q., Liu, J., Zhou, D. (2025). Digital twin technology in transportation infrastructure: A comprehensive survey of current applications, challenges, and future directions. </w:t>
      </w:r>
      <w:r w:rsidRPr="00DF3F4D">
        <w:rPr>
          <w:rFonts w:ascii="Times New Roman" w:eastAsia="Times New Roman" w:hAnsi="Times New Roman" w:cs="Times New Roman"/>
          <w:i/>
          <w:iCs/>
          <w:sz w:val="28"/>
          <w:szCs w:val="28"/>
          <w:lang w:val="ru-KZ" w:eastAsia="ru-KZ"/>
        </w:rPr>
        <w:t>Applied Sciences, 15</w:t>
      </w:r>
      <w:r w:rsidRPr="00DF3F4D">
        <w:rPr>
          <w:rFonts w:ascii="Times New Roman" w:eastAsia="Times New Roman" w:hAnsi="Times New Roman" w:cs="Times New Roman"/>
          <w:sz w:val="28"/>
          <w:szCs w:val="28"/>
          <w:lang w:val="ru-KZ" w:eastAsia="ru-KZ"/>
        </w:rPr>
        <w:t>(4), 1911. https://doi.org/10.3390/app15041911</w:t>
      </w:r>
    </w:p>
    <w:p w14:paraId="5AA58491"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 xml:space="preserve">Yeon, H., Eom, T., Jang, K., &amp; Yeo, J. (2023). OPEN DTUMOS: Digital twin for urban mobility operating system. </w:t>
      </w:r>
      <w:r w:rsidRPr="00DF3F4D">
        <w:rPr>
          <w:rFonts w:ascii="Times New Roman" w:eastAsia="Times New Roman" w:hAnsi="Times New Roman" w:cs="Times New Roman"/>
          <w:i/>
          <w:iCs/>
          <w:sz w:val="28"/>
          <w:szCs w:val="28"/>
          <w:lang w:val="ru-KZ" w:eastAsia="ru-KZ"/>
        </w:rPr>
        <w:t>Scientific Reports, 13</w:t>
      </w:r>
      <w:r w:rsidRPr="00DF3F4D">
        <w:rPr>
          <w:rFonts w:ascii="Times New Roman" w:eastAsia="Times New Roman" w:hAnsi="Times New Roman" w:cs="Times New Roman"/>
          <w:sz w:val="28"/>
          <w:szCs w:val="28"/>
          <w:lang w:val="ru-KZ" w:eastAsia="ru-KZ"/>
        </w:rPr>
        <w:t>(1), 5154. https://doi.org/10.1038/s41598-023-32326-9</w:t>
      </w:r>
    </w:p>
    <w:p w14:paraId="424572AE" w14:textId="77777777" w:rsidR="00132A8B" w:rsidRDefault="00132A8B" w:rsidP="00132A8B">
      <w:pPr>
        <w:rPr>
          <w:rFonts w:ascii="Times New Roman" w:eastAsia="Times New Roman" w:hAnsi="Times New Roman" w:cs="Times New Roman"/>
          <w:sz w:val="28"/>
          <w:szCs w:val="28"/>
          <w:lang w:val="ru-KZ" w:eastAsia="ru-KZ"/>
        </w:rPr>
      </w:pPr>
    </w:p>
    <w:p w14:paraId="7E102959" w14:textId="4D0F43A0" w:rsidR="00132A8B" w:rsidRDefault="00132A8B" w:rsidP="00132A8B">
      <w:pPr>
        <w:rPr>
          <w:rFonts w:ascii="Times New Roman" w:eastAsia="Times New Roman" w:hAnsi="Times New Roman" w:cs="Times New Roman"/>
          <w:sz w:val="28"/>
          <w:szCs w:val="28"/>
          <w:lang w:val="ru-KZ" w:eastAsia="ru-KZ"/>
        </w:rPr>
      </w:pPr>
    </w:p>
    <w:p w14:paraId="5DA23A8C" w14:textId="77777777" w:rsidR="00132A8B" w:rsidRDefault="00132A8B" w:rsidP="00132A8B"/>
    <w:sectPr w:rsidR="00132A8B" w:rsidSect="00FA2A8E">
      <w:pgSz w:w="11900" w:h="16840" w:code="9"/>
      <w:pgMar w:top="1134" w:right="1134" w:bottom="1134"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A8B"/>
    <w:rsid w:val="00132A8B"/>
    <w:rsid w:val="00253CF6"/>
    <w:rsid w:val="008E0ABB"/>
    <w:rsid w:val="009001BA"/>
    <w:rsid w:val="00FA2A8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5A89D"/>
  <w15:chartTrackingRefBased/>
  <w15:docId w15:val="{F68E6F63-D55B-4DD4-9012-4B824C19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4"/>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A8B"/>
    <w:rPr>
      <w:rFonts w:asciiTheme="minorHAnsi" w:hAnsiTheme="minorHAnsi"/>
      <w:noProof/>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001BA"/>
    <w:rPr>
      <w:b/>
      <w:bCs/>
    </w:rPr>
  </w:style>
  <w:style w:type="paragraph" w:styleId="ListParagraph">
    <w:name w:val="List Paragraph"/>
    <w:basedOn w:val="Normal"/>
    <w:uiPriority w:val="34"/>
    <w:qFormat/>
    <w:rsid w:val="009001BA"/>
    <w:pPr>
      <w:ind w:left="720"/>
      <w:contextualSpacing/>
    </w:pPr>
    <w:rPr>
      <w:rFonts w:ascii="Times New Roman" w:hAnsi="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6132</Words>
  <Characters>34958</Characters>
  <Application>Microsoft Office Word</Application>
  <DocSecurity>0</DocSecurity>
  <Lines>291</Lines>
  <Paragraphs>82</Paragraphs>
  <ScaleCrop>false</ScaleCrop>
  <Company/>
  <LinksUpToDate>false</LinksUpToDate>
  <CharactersWithSpaces>41008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Bauyrzhan Sansyzbaev</dc:creator>
  <cp:keywords/>
  <dc:description/>
  <cp:lastModifiedBy>Bauyrzhan Sansyzbaev</cp:lastModifiedBy>
  <cp:revision>1</cp:revision>
  <dcterms:created xsi:type="dcterms:W3CDTF">2026-04-24T15:04:00Z</dcterms:created>
  <dcterms:modified xsi:type="dcterms:W3CDTF">2026-04-24T15:05:00Z</dcterms:modified>
</cp:coreProperties>
</file>