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widowControl w:val="false"/>
        <w:numPr>
          <w:ilvl w:val="0"/>
          <w:numId w:val="2"/>
        </w:numPr>
        <w:spacing w:lineRule="auto" w:line="360" w:before="0" w:after="0"/>
        <w:contextualSpacing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Innovationsmanagement</w:t>
      </w:r>
    </w:p>
    <w:p>
      <w:pPr>
        <w:pStyle w:val="Normal"/>
        <w:widowControl w:val="false"/>
        <w:spacing w:lineRule="auto" w:line="360" w:before="0" w:after="0"/>
        <w:rPr>
          <w:rFonts w:ascii="Arial" w:hAnsi="Arial" w:cs="Arial"/>
          <w:sz w:val="20"/>
          <w:szCs w:val="20"/>
        </w:rPr>
      </w:pPr>
      <w:r>
        <w:rPr/>
        <w:drawing>
          <wp:inline distT="0" distB="0" distL="0" distR="0">
            <wp:extent cx="4143375" cy="2667000"/>
            <wp:effectExtent l="0" t="0" r="0" b="0"/>
            <wp:docPr id="1" name="Grafik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70"/>
        <w:gridCol w:w="7791"/>
      </w:tblGrid>
      <w:tr>
        <w:trPr/>
        <w:tc>
          <w:tcPr>
            <w:tcW w:w="127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Idee</w:t>
            </w:r>
          </w:p>
        </w:tc>
        <w:tc>
          <w:tcPr>
            <w:tcW w:w="779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  <w:t>Ist der Gedanke, der zu etwas Neuem (= Produkt/Dienstleistung) führen könnte</w:t>
            </w:r>
          </w:p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</w:r>
          </w:p>
        </w:tc>
      </w:tr>
      <w:tr>
        <w:trPr/>
        <w:tc>
          <w:tcPr>
            <w:tcW w:w="127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Innovation</w:t>
            </w:r>
          </w:p>
        </w:tc>
        <w:tc>
          <w:tcPr>
            <w:tcW w:w="779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  <w:t>Lat. Novus = neu</w:t>
            </w:r>
          </w:p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  <w:t>Ist eine Neuerung oder Erneuerung</w:t>
            </w:r>
          </w:p>
        </w:tc>
      </w:tr>
      <w:tr>
        <w:trPr/>
        <w:tc>
          <w:tcPr>
            <w:tcW w:w="127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Invention</w:t>
            </w:r>
          </w:p>
        </w:tc>
        <w:tc>
          <w:tcPr>
            <w:tcW w:w="779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  <w:t>Erfindung, die (noch) nicht erfolgreich unternehmerisch vermarktet wurde</w:t>
            </w:r>
          </w:p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</w:r>
          </w:p>
        </w:tc>
      </w:tr>
      <w:tr>
        <w:trPr/>
        <w:tc>
          <w:tcPr>
            <w:tcW w:w="127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Diffusion</w:t>
            </w:r>
          </w:p>
        </w:tc>
        <w:tc>
          <w:tcPr>
            <w:tcW w:w="779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  <w:t>Erfolgreiche Umsetzung am Markt</w:t>
            </w:r>
          </w:p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auto" w:line="36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36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Innovationsmanagement</w:t>
      </w:r>
      <w:r>
        <w:rPr>
          <w:rFonts w:cs="Arial" w:ascii="Arial" w:hAnsi="Arial"/>
          <w:sz w:val="20"/>
          <w:szCs w:val="20"/>
        </w:rPr>
        <w:t xml:space="preserve"> ist die Wahrnehmung aller Aufgaben und Handlungen, die zur Innovationsfähigkeit und somit zur Innovation führen -&gt; Eine Idee soll systematisch zu einer erfolgreichen Innovation umgesetzt und auf den Markt gebracht werden.</w:t>
      </w:r>
    </w:p>
    <w:p>
      <w:pPr>
        <w:pStyle w:val="Normal"/>
        <w:widowControl w:val="false"/>
        <w:spacing w:lineRule="auto" w:line="36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360" w:before="0" w:after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Ziele des Innovationsmanagements: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360" w:before="0" w:after="0"/>
        <w:contextualSpacing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Veränderte Kundenbedürfnisse besser und gezielter zu befriedigen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360" w:before="0" w:after="0"/>
        <w:contextualSpacing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Inventionen erfolgreich vermarkten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360" w:before="0" w:after="0"/>
        <w:contextualSpacing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Arbeitsplätze zu sichern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360" w:before="0" w:after="0"/>
        <w:contextualSpacing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Produktportfolio zu steuern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360" w:before="0" w:after="0"/>
        <w:contextualSpacing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Gewinn und Wachstum zu erzielen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360" w:before="0" w:after="0"/>
        <w:contextualSpacing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Gemeinwohl zu fördern und den Umweltschutz zu verbessern</w:t>
      </w:r>
    </w:p>
    <w:p>
      <w:pPr>
        <w:pStyle w:val="Normal"/>
        <w:widowControl w:val="false"/>
        <w:spacing w:lineRule="auto" w:line="36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360" w:before="0" w:after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Einflussfaktoren auf das Innovationsmanagement</w:t>
      </w:r>
    </w:p>
    <w:tbl>
      <w:tblPr>
        <w:tblStyle w:val="Tabellenraster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87"/>
        <w:gridCol w:w="8074"/>
      </w:tblGrid>
      <w:tr>
        <w:trPr/>
        <w:tc>
          <w:tcPr>
            <w:tcW w:w="987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Intern:</w:t>
            </w:r>
          </w:p>
        </w:tc>
        <w:tc>
          <w:tcPr>
            <w:tcW w:w="8074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  <w:t>Unternehmensstrategie und Kultur, sowie Motivation der Mitarbeiter</w:t>
            </w:r>
          </w:p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</w:r>
          </w:p>
        </w:tc>
      </w:tr>
      <w:tr>
        <w:trPr/>
        <w:tc>
          <w:tcPr>
            <w:tcW w:w="987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Extern:</w:t>
            </w:r>
          </w:p>
        </w:tc>
        <w:tc>
          <w:tcPr>
            <w:tcW w:w="8074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  <w:t>Qualitäts- und Projektmanagement, RnD</w:t>
            </w:r>
          </w:p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auto" w:line="36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360" w:before="0" w:after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Innovationsarten</w:t>
      </w:r>
    </w:p>
    <w:tbl>
      <w:tblPr>
        <w:tblStyle w:val="Tabellenraster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1"/>
        <w:gridCol w:w="4535"/>
        <w:gridCol w:w="1"/>
        <w:gridCol w:w="2405"/>
      </w:tblGrid>
      <w:tr>
        <w:trPr/>
        <w:tc>
          <w:tcPr>
            <w:tcW w:w="6657" w:type="dxa"/>
            <w:gridSpan w:val="3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Gegenstandbezogene Innovationen</w:t>
            </w:r>
          </w:p>
        </w:tc>
        <w:tc>
          <w:tcPr>
            <w:tcW w:w="240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</w:r>
          </w:p>
        </w:tc>
      </w:tr>
      <w:tr>
        <w:trPr/>
        <w:tc>
          <w:tcPr>
            <w:tcW w:w="212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Produkt- oder Dienst-leistungsbereich</w:t>
            </w:r>
          </w:p>
        </w:tc>
        <w:tc>
          <w:tcPr>
            <w:tcW w:w="453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</w:r>
          </w:p>
        </w:tc>
        <w:tc>
          <w:tcPr>
            <w:tcW w:w="2406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</w:r>
          </w:p>
        </w:tc>
      </w:tr>
      <w:tr>
        <w:trPr/>
        <w:tc>
          <w:tcPr>
            <w:tcW w:w="212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Prozesse und Abläufe </w:t>
            </w:r>
          </w:p>
        </w:tc>
        <w:tc>
          <w:tcPr>
            <w:tcW w:w="453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</w:r>
          </w:p>
        </w:tc>
        <w:tc>
          <w:tcPr>
            <w:tcW w:w="2406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</w:r>
          </w:p>
        </w:tc>
      </w:tr>
      <w:tr>
        <w:trPr/>
        <w:tc>
          <w:tcPr>
            <w:tcW w:w="212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Managementbereich</w:t>
            </w:r>
          </w:p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53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</w:r>
          </w:p>
        </w:tc>
        <w:tc>
          <w:tcPr>
            <w:tcW w:w="2406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</w:r>
          </w:p>
        </w:tc>
      </w:tr>
      <w:tr>
        <w:trPr/>
        <w:tc>
          <w:tcPr>
            <w:tcW w:w="212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Sozialbereich</w:t>
            </w:r>
          </w:p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53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</w:r>
          </w:p>
        </w:tc>
        <w:tc>
          <w:tcPr>
            <w:tcW w:w="2406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</w:r>
          </w:p>
        </w:tc>
      </w:tr>
      <w:tr>
        <w:trPr/>
        <w:tc>
          <w:tcPr>
            <w:tcW w:w="6657" w:type="dxa"/>
            <w:gridSpan w:val="3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Neuigkeitsbezogene Innovationen</w:t>
            </w:r>
          </w:p>
        </w:tc>
        <w:tc>
          <w:tcPr>
            <w:tcW w:w="240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</w:r>
          </w:p>
        </w:tc>
      </w:tr>
      <w:tr>
        <w:trPr/>
        <w:tc>
          <w:tcPr>
            <w:tcW w:w="212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Routine- und Standardbereich</w:t>
            </w:r>
          </w:p>
        </w:tc>
        <w:tc>
          <w:tcPr>
            <w:tcW w:w="453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</w:r>
          </w:p>
        </w:tc>
        <w:tc>
          <w:tcPr>
            <w:tcW w:w="2406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</w:r>
          </w:p>
        </w:tc>
      </w:tr>
      <w:tr>
        <w:trPr/>
        <w:tc>
          <w:tcPr>
            <w:tcW w:w="212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Verbesserungen und Weiterentwicklungen</w:t>
            </w:r>
          </w:p>
        </w:tc>
        <w:tc>
          <w:tcPr>
            <w:tcW w:w="453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</w:r>
          </w:p>
        </w:tc>
        <w:tc>
          <w:tcPr>
            <w:tcW w:w="2406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</w:r>
          </w:p>
        </w:tc>
      </w:tr>
      <w:tr>
        <w:trPr/>
        <w:tc>
          <w:tcPr>
            <w:tcW w:w="2121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Radikale Änderungen</w:t>
            </w:r>
          </w:p>
        </w:tc>
        <w:tc>
          <w:tcPr>
            <w:tcW w:w="453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</w:r>
          </w:p>
        </w:tc>
        <w:tc>
          <w:tcPr>
            <w:tcW w:w="2406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auto" w:line="36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360" w:before="0" w:after="0"/>
        <w:rPr>
          <w:rFonts w:ascii="Arial" w:hAnsi="Arial" w:cs="Arial"/>
          <w:sz w:val="20"/>
          <w:szCs w:val="20"/>
        </w:rPr>
      </w:pPr>
      <w:r>
        <w:rPr/>
        <w:drawing>
          <wp:inline distT="0" distB="0" distL="0" distR="0">
            <wp:extent cx="5410200" cy="1981200"/>
            <wp:effectExtent l="0" t="0" r="0" b="0"/>
            <wp:docPr id="2" name="Grafik 14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14" descr="Ein Bild, das Tisch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360" w:before="0" w:after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widowControl w:val="false"/>
        <w:spacing w:lineRule="auto" w:line="360" w:before="0" w:after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 xml:space="preserve">Kreativität </w:t>
      </w:r>
    </w:p>
    <w:p>
      <w:pPr>
        <w:pStyle w:val="Normal"/>
        <w:widowControl w:val="false"/>
        <w:spacing w:lineRule="auto" w:line="36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…</w:t>
      </w:r>
      <w:r>
        <w:rPr>
          <w:rFonts w:cs="Arial" w:ascii="Arial" w:hAnsi="Arial"/>
          <w:sz w:val="20"/>
          <w:szCs w:val="20"/>
        </w:rPr>
        <w:t>ist die Verbindung zwischen logischem Denken und Fantasie.</w:t>
      </w:r>
    </w:p>
    <w:p>
      <w:pPr>
        <w:pStyle w:val="Normal"/>
        <w:widowControl w:val="false"/>
        <w:spacing w:lineRule="auto" w:line="36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…</w:t>
      </w:r>
      <w:r>
        <w:rPr>
          <w:rFonts w:cs="Arial" w:ascii="Arial" w:hAnsi="Arial"/>
          <w:sz w:val="20"/>
          <w:szCs w:val="20"/>
        </w:rPr>
        <w:t>ist die Fähigkeit etwas zu erschaffen, das entweder neu und oder originell aber auch nützlich ist.</w:t>
      </w:r>
    </w:p>
    <w:p>
      <w:pPr>
        <w:pStyle w:val="Normal"/>
        <w:widowControl w:val="false"/>
        <w:spacing w:lineRule="auto" w:line="360" w:before="0" w:after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widowControl w:val="false"/>
        <w:spacing w:lineRule="auto" w:line="360" w:before="0" w:after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Diese 6 Schritte aus dem Buch ab S. 120-162 lernen und dabei folgende Methoden beachten:</w:t>
      </w:r>
    </w:p>
    <w:tbl>
      <w:tblPr>
        <w:tblStyle w:val="Tabellenraster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35"/>
        <w:gridCol w:w="1120"/>
        <w:gridCol w:w="4676"/>
        <w:gridCol w:w="1130"/>
      </w:tblGrid>
      <w:tr>
        <w:trPr/>
        <w:tc>
          <w:tcPr>
            <w:tcW w:w="213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SWOT Analyse </w:t>
            </w:r>
          </w:p>
        </w:tc>
        <w:tc>
          <w:tcPr>
            <w:tcW w:w="112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</w:r>
          </w:p>
        </w:tc>
        <w:tc>
          <w:tcPr>
            <w:tcW w:w="4676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Paarvergleich</w:t>
            </w:r>
          </w:p>
        </w:tc>
        <w:tc>
          <w:tcPr>
            <w:tcW w:w="113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</w:r>
          </w:p>
        </w:tc>
      </w:tr>
      <w:tr>
        <w:trPr/>
        <w:tc>
          <w:tcPr>
            <w:tcW w:w="213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Kundennutzenmatrix</w:t>
            </w:r>
          </w:p>
        </w:tc>
        <w:tc>
          <w:tcPr>
            <w:tcW w:w="112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</w:r>
          </w:p>
        </w:tc>
        <w:tc>
          <w:tcPr>
            <w:tcW w:w="4676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Ideenportfolio</w:t>
            </w:r>
          </w:p>
        </w:tc>
        <w:tc>
          <w:tcPr>
            <w:tcW w:w="113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</w:r>
          </w:p>
        </w:tc>
      </w:tr>
      <w:tr>
        <w:trPr/>
        <w:tc>
          <w:tcPr>
            <w:tcW w:w="213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Kreativitätstechniken</w:t>
            </w:r>
          </w:p>
        </w:tc>
        <w:tc>
          <w:tcPr>
            <w:tcW w:w="112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</w:r>
          </w:p>
        </w:tc>
        <w:tc>
          <w:tcPr>
            <w:tcW w:w="4676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QFD-Methode</w:t>
            </w:r>
          </w:p>
        </w:tc>
        <w:tc>
          <w:tcPr>
            <w:tcW w:w="113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</w:r>
          </w:p>
        </w:tc>
      </w:tr>
      <w:tr>
        <w:trPr/>
        <w:tc>
          <w:tcPr>
            <w:tcW w:w="213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Wertanalyse</w:t>
            </w:r>
          </w:p>
        </w:tc>
        <w:tc>
          <w:tcPr>
            <w:tcW w:w="112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</w:r>
          </w:p>
        </w:tc>
        <w:tc>
          <w:tcPr>
            <w:tcW w:w="4676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Morphologischer Kasten</w:t>
            </w:r>
          </w:p>
        </w:tc>
        <w:tc>
          <w:tcPr>
            <w:tcW w:w="113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</w:r>
          </w:p>
        </w:tc>
      </w:tr>
      <w:tr>
        <w:trPr/>
        <w:tc>
          <w:tcPr>
            <w:tcW w:w="213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TRIZ-Methode</w:t>
            </w:r>
          </w:p>
        </w:tc>
        <w:tc>
          <w:tcPr>
            <w:tcW w:w="112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</w:r>
          </w:p>
        </w:tc>
        <w:tc>
          <w:tcPr>
            <w:tcW w:w="4676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Projektmanagement mit Lasten- und Pflichtenheft</w:t>
            </w:r>
          </w:p>
        </w:tc>
        <w:tc>
          <w:tcPr>
            <w:tcW w:w="113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</w:r>
          </w:p>
        </w:tc>
      </w:tr>
      <w:tr>
        <w:trPr/>
        <w:tc>
          <w:tcPr>
            <w:tcW w:w="213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Punktebewertung</w:t>
            </w:r>
          </w:p>
        </w:tc>
        <w:tc>
          <w:tcPr>
            <w:tcW w:w="112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</w:r>
          </w:p>
        </w:tc>
        <w:tc>
          <w:tcPr>
            <w:tcW w:w="4676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V-Modell</w:t>
            </w:r>
          </w:p>
        </w:tc>
        <w:tc>
          <w:tcPr>
            <w:tcW w:w="113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color w:val="2A6099"/>
                <w:sz w:val="20"/>
                <w:szCs w:val="20"/>
              </w:rPr>
            </w:pPr>
            <w:r>
              <w:rPr>
                <w:rFonts w:cs="Arial" w:ascii="Arial" w:hAnsi="Arial"/>
                <w:color w:val="2A6099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auto" w:line="360" w:before="0" w:after="0"/>
        <w:rPr/>
      </w:pPr>
      <w:r>
        <w:rPr/>
      </w:r>
    </w:p>
    <w:sectPr>
      <w:footerReference w:type="default" r:id="rId4"/>
      <w:type w:val="nextPage"/>
      <w:pgSz w:w="11906" w:h="16838"/>
      <w:pgMar w:left="1417" w:right="1417" w:header="0" w:top="1417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 Light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rPr/>
    </w:pPr>
    <w:r>
      <mc:AlternateContent>
        <mc:Choice Requires="wps">
          <w:drawing>
            <wp:anchor behindDoc="1" distT="0" distB="0" distL="0" distR="0" simplePos="0" locked="0" layoutInCell="1" allowOverlap="1" relativeHeight="5" wp14:anchorId="248B737A">
              <wp:simplePos x="0" y="0"/>
              <wp:positionH relativeFrom="leftMargin">
                <wp:align>center</wp:align>
              </wp:positionH>
              <wp:positionV relativeFrom="paragraph">
                <wp:posOffset>635</wp:posOffset>
              </wp:positionV>
              <wp:extent cx="762635" cy="895985"/>
              <wp:effectExtent l="0" t="0" r="0" b="0"/>
              <wp:wrapNone/>
              <wp:docPr id="3" name="Rechteck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120" cy="8953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ahmeninhalt"/>
                            <w:spacing w:before="0" w:after="160"/>
                            <w:jc w:val="center"/>
                            <w:rPr>
                              <w:color w:val="auto"/>
                            </w:rPr>
                          </w:pPr>
                          <w:sdt>
                            <w:sdtPr>
                              <w:id w:val="729116786"/>
                            </w:sdtPr>
                            <w:sdtContent>
                              <w:r>
                                <w:rPr>
                                  <w:rFonts w:eastAsia="" w:cs="" w:ascii="Calibri Light" w:hAnsi="Calibri Light" w:asciiTheme="majorHAnsi" w:cstheme="majorBidi" w:eastAsiaTheme="majorEastAsia" w:hAnsiTheme="majorHAnsi"/>
                                  <w:color w:val="auto"/>
                                </w:rPr>
                                <w:fldChar w:fldCharType="begin"/>
                              </w:r>
                              <w:r>
                                <w:rPr>
                                  <w:rFonts w:eastAsia="" w:cs="" w:ascii="Calibri Light" w:hAnsi="Calibri Light"/>
                                </w:rPr>
                                <w:instrText> PAGE </w:instrText>
                              </w:r>
                              <w:r>
                                <w:rPr>
                                  <w:rFonts w:eastAsia="" w:cs="" w:ascii="Calibri Light" w:hAnsi="Calibri Light"/>
                                </w:rPr>
                                <w:fldChar w:fldCharType="separate"/>
                              </w:r>
                              <w:r>
                                <w:rPr>
                                  <w:rFonts w:eastAsia="" w:cs="" w:ascii="Calibri Light" w:hAnsi="Calibri Light"/>
                                </w:rPr>
                                <w:t>2</w:t>
                              </w:r>
                              <w:r>
                                <w:rPr>
                                  <w:rFonts w:eastAsia="" w:cs="" w:ascii="Calibri Light" w:hAnsi="Calibri Light"/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hteck 7" fillcolor="white" stroked="f" style="position:absolute;margin-left:5.4pt;margin-top:0pt;width:59.95pt;height:70.45pt;mso-position-horizontal:center;mso-position-horizontal-relative:page;mso-position-vertical:top" wp14:anchorId="248B737A">
              <w10:wrap type="squar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Rahmeninhalt"/>
                      <w:spacing w:before="0" w:after="160"/>
                      <w:jc w:val="center"/>
                      <w:rPr>
                        <w:color w:val="auto"/>
                      </w:rPr>
                    </w:pPr>
                    <w:sdt>
                      <w:sdtPr>
                        <w:id w:val="1611343469"/>
                      </w:sdtPr>
                      <w:sdtContent>
                        <w:r>
                          <w:rPr>
                            <w:rFonts w:eastAsia="" w:cs="" w:ascii="Calibri Light" w:hAnsi="Calibri Light" w:asciiTheme="majorHAnsi" w:cstheme="majorBidi" w:eastAsiaTheme="majorEastAsia" w:hAnsiTheme="majorHAnsi"/>
                            <w:color w:val="auto"/>
                          </w:rPr>
                          <w:fldChar w:fldCharType="begin"/>
                        </w:r>
                        <w:r>
                          <w:rPr>
                            <w:rFonts w:eastAsia="" w:cs="" w:ascii="Calibri Light" w:hAnsi="Calibri Light"/>
                          </w:rPr>
                          <w:instrText> PAGE </w:instrText>
                        </w:r>
                        <w:r>
                          <w:rPr>
                            <w:rFonts w:eastAsia="" w:cs="" w:ascii="Calibri Light" w:hAnsi="Calibri Light"/>
                          </w:rPr>
                          <w:fldChar w:fldCharType="separate"/>
                        </w:r>
                        <w:r>
                          <w:rPr>
                            <w:rFonts w:eastAsia="" w:cs="" w:ascii="Calibri Light" w:hAnsi="Calibri Light"/>
                          </w:rPr>
                          <w:t>2</w:t>
                        </w:r>
                        <w:r>
                          <w:rPr>
                            <w:rFonts w:eastAsia="" w:cs="" w:ascii="Calibri Light" w:hAnsi="Calibri Light"/>
                          </w:rPr>
                          <w:fldChar w:fldCharType="end"/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  <w:r>
      <w:rPr/>
      <w:tab/>
    </w:r>
    <w:r>
      <w:rPr/>
      <w:t>M.Reiterer</w:t>
      <w:tab/>
      <w:t>Entrepeneur 2021 22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Berschrift2">
    <w:name w:val="Heading 2"/>
    <w:basedOn w:val="Normal"/>
    <w:next w:val="Normal"/>
    <w:link w:val="berschrift2Zchn"/>
    <w:qFormat/>
    <w:rsid w:val="009e1b4c"/>
    <w:pPr>
      <w:keepNext w:val="true"/>
      <w:spacing w:lineRule="auto" w:line="360" w:before="0" w:after="0"/>
      <w:outlineLvl w:val="1"/>
    </w:pPr>
    <w:rPr>
      <w:rFonts w:ascii="Arial" w:hAnsi="Arial" w:eastAsia="Times New Roman" w:cs="Times New Roman"/>
      <w:b/>
      <w:sz w:val="20"/>
      <w:szCs w:val="20"/>
      <w:lang w:eastAsia="de-D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qFormat/>
    <w:rsid w:val="00fe6401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fe6401"/>
    <w:rPr/>
  </w:style>
  <w:style w:type="character" w:styleId="Berschrift2Zchn" w:customStyle="1">
    <w:name w:val="Überschrift 2 Zchn"/>
    <w:basedOn w:val="DefaultParagraphFont"/>
    <w:link w:val="berschrift2"/>
    <w:qFormat/>
    <w:rsid w:val="009e1b4c"/>
    <w:rPr>
      <w:rFonts w:ascii="Arial" w:hAnsi="Arial" w:eastAsia="Times New Roman" w:cs="Times New Roman"/>
      <w:b/>
      <w:sz w:val="20"/>
      <w:szCs w:val="20"/>
      <w:lang w:eastAsia="de-D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94727"/>
    <w:pPr>
      <w:spacing w:before="0" w:after="160"/>
      <w:ind w:left="720" w:hanging="0"/>
      <w:contextualSpacing/>
    </w:pPr>
    <w:rPr/>
  </w:style>
  <w:style w:type="paragraph" w:styleId="Kopfzeile">
    <w:name w:val="Header"/>
    <w:basedOn w:val="Normal"/>
    <w:link w:val="KopfzeileZchn"/>
    <w:unhideWhenUsed/>
    <w:rsid w:val="00fe6401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uzeile">
    <w:name w:val="Footer"/>
    <w:basedOn w:val="Normal"/>
    <w:link w:val="FuzeileZchn"/>
    <w:uiPriority w:val="99"/>
    <w:unhideWhenUsed/>
    <w:rsid w:val="00fe6401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Rahmeninhalt">
    <w:name w:val="Rahmeninhal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3120f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9B55D-F8F2-4967-9FCF-4B537A287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LibreOffice/6.2.4.2$Windows_X86_64 LibreOffice_project/2412653d852ce75f65fbfa83fb7e7b669a126d64</Application>
  <Pages>2</Pages>
  <Words>209</Words>
  <Characters>1555</Characters>
  <CharactersWithSpaces>1710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2021-12-19T20:42:00Z</dcterms:created>
  <dc:creator>Village Hausverwaltung Gesmbh</dc:creator>
  <dc:description/>
  <dc:language>de-DE</dc:language>
  <cp:lastModifiedBy/>
  <dcterms:modified xsi:type="dcterms:W3CDTF">2022-01-11T12:55:47Z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