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Lebensmittelhändler, Bäcker, Elektriker</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Markt, Umsatz, Gewinn abschätzbar</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pPr>
            <w:r>
              <w:rPr>
                <w:rFonts w:cs="Arial" w:ascii="Arial" w:hAnsi="Arial"/>
                <w:color w:val="2A6099"/>
                <w:sz w:val="20"/>
                <w:szCs w:val="20"/>
              </w:rPr>
              <w:t>Fachkenntnisse im Bereich Buchhaltung, Recht, Marketing, Vertriebsfähigkeiten, (Unternehmerprüfung)</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Teamfähigkeit, Konfliktfähigkeit, Führungsfähigkeit</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Projektmanagement, Marktkreativität, Kreativitätstechniken, Marktanalysen</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Motivation, Eigeninitiative, Risikobereitschaft</w:t>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0"/>
        <w:gridCol w:w="6521"/>
      </w:tblGrid>
      <w:tr>
        <w:trPr/>
        <w:tc>
          <w:tcPr>
            <w:tcW w:w="2540"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21"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Fertigungstechnik, Risiken, Technische Machbarkeit</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Identifikation der Marktchancen und Risiken</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Qualifikation des Managements und der Mitarbeiter und organisatorisches Management</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Finanzierungsmöglichkeiten, finanzielle Risiken, Kapitalbedarf, Finanzplan</w:t>
            </w:r>
          </w:p>
        </w:tc>
      </w:tr>
      <w:tr>
        <w:trPr/>
        <w:tc>
          <w:tcPr>
            <w:tcW w:w="2540"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21"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 xml:space="preserve">Standort, gesetzliche Rahmenbedingungen und Steuern, </w:t>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pPr>
      <w:r>
        <w:rPr>
          <w:rFonts w:cs="Arial" w:ascii="Arial" w:hAnsi="Arial"/>
          <w:sz w:val="20"/>
          <w:szCs w:val="20"/>
        </w:rPr>
        <w:t xml:space="preserve">Wahl der Rechtsform (UGB): </w:t>
      </w:r>
      <w:r>
        <w:rPr>
          <w:rFonts w:cs="Arial" w:ascii="Arial" w:hAnsi="Arial"/>
          <w:color w:val="2A6099"/>
          <w:sz w:val="20"/>
          <w:szCs w:val="20"/>
        </w:rPr>
        <w:t>Unternehmensgesetzbuch</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Ist ein öffentliches Register, das beim zuständigen Landesgericht geführt wird</w:t>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Gesellschaften (OG, KG, AG, GmbH), e.U. ab 700.000€ Jahresumsatz</w:t>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Eine Willenserklärung, die jemanden dazu ermächtigt, für ihn tätig zu werden.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Sie ermächtigt den Person vollmächtig zu werden, verpflichtet ihn aber nicht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Handlungsvollmacht</w:t>
            </w:r>
          </w:p>
          <w:p>
            <w:pPr>
              <w:pStyle w:val="Normal"/>
              <w:widowControl w:val="false"/>
              <w:spacing w:lineRule="auto" w:line="360" w:before="0" w:after="160"/>
              <w:contextualSpacing/>
              <w:rPr/>
            </w:pPr>
            <w:r>
              <w:rPr>
                <w:rFonts w:cs="Arial" w:ascii="Arial" w:hAnsi="Arial"/>
                <w:bCs/>
                <w:color w:val="2A6099"/>
                <w:sz w:val="20"/>
                <w:szCs w:val="20"/>
              </w:rPr>
              <w:t>Prokura (ist Spezialform von Vollmacht, muss ausdrücklich erteilt werden und ins Firmenbuch eingetragen werden, bevollmächtigt zu gewerbetypischen Geschäfte)</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Unternehmen: Rechtlicher Rahmen des Unternehmens nach außen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Betrieb: Ort der Leistungserstellung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Firma: Name des Unternehmens, sofern im Firmenbuch eingetragen</w:t>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t>Es dürfen keine Angaben enthalten sein, die über Art, Umfang oder Verhältnisse des Unternehmens täuschen könnten.</w:t>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t>Jede neue Firma muss sich am selben Ort (Gemeinde oder Stadt) von bereits bestehenden deutlich unterscheiden.</w:t>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t>Die Firmenbezeichnung darf nur gemeinsam mit dem Unternehmen übertragen werden.</w:t>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pPr>
      <w:r>
        <w:rPr>
          <w:rFonts w:cs="Arial" w:ascii="Arial" w:hAnsi="Arial"/>
          <w:iCs/>
          <w:sz w:val="20"/>
          <w:szCs w:val="20"/>
        </w:rPr>
        <w:t>Neben dem Firmennamen sind auch andere Geschäftsbezeichnungen nach dem UWG (</w:t>
      </w:r>
      <w:r>
        <w:rPr>
          <w:rFonts w:cs="Arial" w:ascii="Arial" w:hAnsi="Arial"/>
          <w:iCs/>
          <w:color w:val="2A6099"/>
          <w:sz w:val="20"/>
          <w:szCs w:val="20"/>
        </w:rPr>
        <w:t>Gesetz des unlauteren Wettbewerbs</w:t>
      </w:r>
      <w:r>
        <w:rPr>
          <w:rFonts w:cs="Arial" w:ascii="Arial" w:hAnsi="Arial"/>
          <w:iCs/>
          <w:sz w:val="20"/>
          <w:szCs w:val="20"/>
        </w:rPr>
        <w:t>)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Kapitalaufbringung</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Haftung</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Mitbegründer</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Gründungskosten</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Vertretungsbefugnis</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Publizitätspflicht</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Gewerbeberechtigungen</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t>Geschäftsführungsbefugnis</w:t>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Mitbestimmung</w:t>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Steuern</w:t>
            </w:r>
          </w:p>
        </w:tc>
      </w:tr>
      <w:tr>
        <w:trPr/>
        <w:tc>
          <w:tcPr>
            <w:tcW w:w="4531" w:type="dxa"/>
            <w:tcBorders>
              <w:top w:val="nil"/>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Treuepflicht</w:t>
            </w:r>
          </w:p>
        </w:tc>
        <w:tc>
          <w:tcPr>
            <w:tcW w:w="4530" w:type="dxa"/>
            <w:tcBorders>
              <w:top w:val="nil"/>
            </w:tcBorders>
            <w:shd w:fill="auto" w:val="clear"/>
          </w:tcPr>
          <w:p>
            <w:pPr>
              <w:pStyle w:val="Kopfzeile"/>
              <w:widowControl w:val="false"/>
              <w:tabs>
                <w:tab w:val="clear" w:pos="4536"/>
                <w:tab w:val="clear" w:pos="9072"/>
              </w:tabs>
              <w:spacing w:lineRule="auto" w:line="360" w:before="0" w:after="0"/>
              <w:contextualSpacing/>
              <w:rPr>
                <w:rFonts w:ascii="Arial" w:hAnsi="Arial" w:cs="Arial"/>
                <w:b/>
                <w:b/>
                <w:bCs/>
                <w:color w:val="2A6099"/>
                <w:sz w:val="20"/>
                <w:szCs w:val="20"/>
              </w:rPr>
            </w:pPr>
            <w:r>
              <w:rPr>
                <w:rFonts w:cs="Arial" w:ascii="Arial" w:hAnsi="Arial"/>
                <w:b/>
                <w:bCs/>
                <w:color w:val="2A6099"/>
                <w:sz w:val="20"/>
                <w:szCs w:val="20"/>
              </w:rPr>
              <w:t>Konkurrenzverbot</w:t>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
                <w:b/>
                <w:bCs/>
                <w:color w:val="2A6099"/>
                <w:sz w:val="20"/>
                <w:szCs w:val="20"/>
              </w:rPr>
            </w:pPr>
            <w:r>
              <w:rPr>
                <w:rFonts w:cs="Arial" w:ascii="Arial" w:hAnsi="Arial"/>
                <w:b/>
                <w:bCs/>
                <w:color w:val="2A6099"/>
                <w:sz w:val="20"/>
                <w:szCs w:val="20"/>
              </w:rPr>
              <w:t>Vollhaftung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
                <w:b/>
                <w:bCs/>
                <w:color w:val="2A6099"/>
                <w:sz w:val="20"/>
                <w:szCs w:val="20"/>
              </w:rPr>
            </w:pPr>
            <w:r>
              <w:rPr>
                <w:rFonts w:cs="Arial" w:ascii="Arial" w:hAnsi="Arial"/>
                <w:b/>
                <w:bCs/>
                <w:color w:val="2A6099"/>
                <w:sz w:val="20"/>
                <w:szCs w:val="20"/>
              </w:rPr>
              <w:t>Solidarische Haftung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
                <w:b/>
                <w:bCs/>
                <w:color w:val="2A6099"/>
                <w:sz w:val="20"/>
                <w:szCs w:val="20"/>
              </w:rPr>
            </w:pPr>
            <w:r>
              <w:rPr>
                <w:rFonts w:cs="Arial" w:ascii="Arial" w:hAnsi="Arial"/>
                <w:b/>
                <w:bCs/>
                <w:color w:val="2A6099"/>
                <w:sz w:val="20"/>
                <w:szCs w:val="20"/>
              </w:rPr>
              <w:t>Beschränkte Haftung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Bezirkshauptmannschaft oder Stadtmagistrat bei Städten mit eigenem Statut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Ist ein Bundesgesetz;</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Regelt: Zugang, Ausübung, Beendigung von Gewerben/gewerbliche Tätigkeiten</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Unternehmerdefinition: Selbstständig (Tätigkeit auf eigene Rechnung und eigene Gefahr), Regelmäßig (Wiederholungsabsicht genügt schon), Ertragserzielungsabsicht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Land- und Forstwirtschaftliche Tätigkeiten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Freiberufe (Rechtsanwälte, Steuerberater, Ärzte, Architekten, etc.)</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Neue Selbstständige (Physiotherapeuten, Künstler, Masseur, Vortragende, DJ‘s, etc.)</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Freie Gewerbe (</w:t>
            </w:r>
            <w:r>
              <w:rPr>
                <w:rFonts w:cs="Arial" w:ascii="Arial" w:hAnsi="Arial"/>
                <w:b/>
                <w:bCs/>
                <w:color w:val="2A6099"/>
                <w:sz w:val="20"/>
                <w:szCs w:val="20"/>
              </w:rPr>
              <w:t>Voll geschäftsfähig, keine hohen Finanzstrafen, nur einmal ein unverschuldeter Konkurs vorhanden sein</w:t>
            </w:r>
            <w:r>
              <w:rPr>
                <w:rFonts w:cs="Arial" w:ascii="Arial" w:hAnsi="Arial"/>
                <w:bCs/>
                <w:color w:val="2A6099"/>
                <w:sz w:val="20"/>
                <w:szCs w:val="20"/>
              </w:rPr>
              <w: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 xml:space="preserve">Reglementierte Gewerbe und Handwerk (Voraussetzung von Freie Gewerbe und </w:t>
            </w:r>
            <w:r>
              <w:rPr>
                <w:rFonts w:cs="Arial" w:ascii="Arial" w:hAnsi="Arial"/>
                <w:b/>
                <w:bCs/>
                <w:color w:val="2A6099"/>
                <w:sz w:val="20"/>
                <w:szCs w:val="20"/>
              </w:rPr>
              <w:t>zusätzlich</w:t>
            </w:r>
            <w:r>
              <w:rPr>
                <w:rFonts w:cs="Arial" w:ascii="Arial" w:hAnsi="Arial"/>
                <w:bCs/>
                <w:color w:val="2A6099"/>
                <w:sz w:val="20"/>
                <w:szCs w:val="20"/>
              </w:rPr>
              <w:t xml:space="preserve">: </w:t>
            </w:r>
            <w:r>
              <w:rPr>
                <w:rFonts w:cs="Arial" w:ascii="Arial" w:hAnsi="Arial"/>
                <w:b/>
                <w:bCs/>
                <w:color w:val="2A6099"/>
                <w:sz w:val="20"/>
                <w:szCs w:val="20"/>
              </w:rPr>
              <w:t>Unternehmerprüfung, Ausbilderprüfung, Befähigungsnachweis</w:t>
            </w:r>
            <w:r>
              <w:rPr>
                <w:rFonts w:cs="Arial" w:ascii="Arial" w:hAnsi="Arial"/>
                <w:bCs/>
                <w:color w:val="2A6099"/>
                <w:sz w:val="20"/>
                <w:szCs w:val="20"/>
              </w:rPr>
              <w: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 xml:space="preserve">Reglementierte Gewerbe mit Bewilligungspflicht (auch genannt: Rechtskraftgewerbe) (Voraussetzungen von Reglementierte Gewerbe und Handwerk und </w:t>
            </w:r>
            <w:r>
              <w:rPr>
                <w:rFonts w:cs="Arial" w:ascii="Arial" w:hAnsi="Arial"/>
                <w:b/>
                <w:bCs/>
                <w:color w:val="2A6099"/>
                <w:sz w:val="20"/>
                <w:szCs w:val="20"/>
              </w:rPr>
              <w:t>zusätzlich</w:t>
            </w:r>
            <w:r>
              <w:rPr>
                <w:rFonts w:cs="Arial" w:ascii="Arial" w:hAnsi="Arial"/>
                <w:bCs/>
                <w:color w:val="2A6099"/>
                <w:sz w:val="20"/>
                <w:szCs w:val="20"/>
              </w:rPr>
              <w:t xml:space="preserve">: </w:t>
            </w:r>
            <w:r>
              <w:rPr>
                <w:rFonts w:cs="Arial" w:ascii="Arial" w:hAnsi="Arial"/>
                <w:b/>
                <w:bCs/>
                <w:color w:val="2A6099"/>
                <w:sz w:val="20"/>
                <w:szCs w:val="20"/>
              </w:rPr>
              <w:t>Zuverlässigkeitsprüfung</w:t>
            </w:r>
            <w:r>
              <w:rPr>
                <w:rFonts w:cs="Arial" w:ascii="Arial" w:hAnsi="Arial"/>
                <w:bCs/>
                <w:color w:val="2A6099"/>
                <w:sz w:val="20"/>
                <w:szCs w:val="20"/>
              </w:rPr>
              <w: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Persönliche Voraussetzungen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Sachliche Voraussetzungen (muss der Betrieb erfüllen) (Betriebsanlagengenehmigung, geeigneter Standort für Gewerbeausübung, Sicherheitskonzept, Abfallwirtschaftskonzept)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pPr>
            <w:r>
              <w:rPr>
                <w:rFonts w:cs="Arial" w:ascii="Arial" w:hAnsi="Arial"/>
                <w:bCs/>
                <w:color w:val="2A6099"/>
                <w:sz w:val="20"/>
                <w:szCs w:val="20"/>
              </w:rPr>
              <w:t xml:space="preserve">Ausübung der gewerblichen Tätigkeit, Wiederkehrende Tätigkeit, nicht vorübergehender Standort </w:t>
            </w:r>
            <w:r>
              <w:rPr>
                <w:rFonts w:cs="Arial" w:ascii="Arial" w:hAnsi="Arial"/>
                <w:bCs/>
                <w:color w:val="2A6099"/>
                <w:sz w:val="20"/>
                <w:szCs w:val="20"/>
              </w:rPr>
              <w:t>wo die Tätigkeit ausgeführt wird</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Bei Gefährdung von Leben Gesundheit und/oder Eigentum</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Die Gefahren von Lärm, Geruch, Vibrationen, Erschütterungen, Staub</w:t>
            </w:r>
          </w:p>
        </w:tc>
      </w:tr>
      <w:tr>
        <w:trPr/>
        <w:tc>
          <w:tcPr>
            <w:tcW w:w="9062" w:type="dxa"/>
            <w:tcBorders/>
            <w:shd w:fill="auto" w:val="clear"/>
          </w:tcPr>
          <w:p>
            <w:pPr>
              <w:pStyle w:val="Normal"/>
              <w:widowControl w:val="false"/>
              <w:spacing w:lineRule="auto" w:line="360" w:before="0" w:after="160"/>
              <w:contextualSpacing/>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Vermeidung (jeder mit einer genehmigungspflichtigen Betriebsanlage),</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Verwertung,</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notfalls ordnungsgemäße Entsorgung?</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Betriebe, die gefährliche Stoffe verwenden, müssen ein Sicherheitskonzept erstellen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Potenziell gefährdete Einrichtungen (z.B. Schulen, Krankenhäuser, etc.) über Unfälle informieren</w:t>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pPr>
      <w:r>
        <w:rPr>
          <w:rFonts w:cs="Arial" w:ascii="Arial" w:hAnsi="Arial"/>
          <w:sz w:val="20"/>
          <w:szCs w:val="20"/>
        </w:rPr>
        <w:t xml:space="preserve">Das neu gegründete Unternehmen braucht Strukturen: </w:t>
      </w:r>
      <w:r>
        <w:rPr>
          <w:rFonts w:cs="Arial" w:ascii="Arial" w:hAnsi="Arial"/>
          <w:sz w:val="20"/>
          <w:szCs w:val="20"/>
        </w:rPr>
        <w:t xml:space="preserve">Es </w:t>
      </w:r>
      <w:r>
        <w:rPr>
          <w:rFonts w:cs="Arial" w:ascii="Arial" w:hAnsi="Arial"/>
          <w:sz w:val="20"/>
          <w:szCs w:val="20"/>
        </w:rPr>
        <w:t xml:space="preserve">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pPr>
      <w:r>
        <w:rPr>
          <w:rFonts w:cs="Arial" w:ascii="Arial" w:hAnsi="Arial"/>
          <w:b/>
          <w:color w:val="2A6099"/>
          <w:sz w:val="20"/>
          <w:szCs w:val="20"/>
        </w:rPr>
        <w:t>Aufbauorganisation (Balkendiagramm, Meilensteinplan, Arbeitsanweisungen, Organigram (Stabdiagramm, Matrixdiagramm))</w:t>
      </w:r>
    </w:p>
    <w:p>
      <w:pPr>
        <w:pStyle w:val="ListParagraph"/>
        <w:widowControl w:val="false"/>
        <w:numPr>
          <w:ilvl w:val="0"/>
          <w:numId w:val="14"/>
        </w:numPr>
        <w:spacing w:lineRule="auto" w:line="360" w:before="0" w:after="0"/>
        <w:contextualSpacing/>
        <w:rPr>
          <w:rFonts w:ascii="Arial" w:hAnsi="Arial" w:cs="Arial"/>
          <w:b/>
          <w:b/>
          <w:color w:val="2A6099"/>
          <w:sz w:val="20"/>
          <w:szCs w:val="20"/>
        </w:rPr>
      </w:pPr>
      <w:r>
        <w:rPr/>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pPr>
      <w:r>
        <w:rPr>
          <w:rFonts w:cs="Arial" w:ascii="Arial" w:hAnsi="Arial"/>
          <w:b/>
          <w:sz w:val="20"/>
          <w:szCs w:val="20"/>
        </w:rPr>
        <w:t>Executive Summary:</w:t>
      </w:r>
      <w:r>
        <w:rPr>
          <w:rFonts w:cs="Arial" w:ascii="Arial" w:hAnsi="Arial"/>
          <w:sz w:val="20"/>
          <w:szCs w:val="20"/>
        </w:rPr>
        <w:t xml:space="preserve"> </w:t>
      </w:r>
      <w:r>
        <w:rPr>
          <w:rFonts w:cs="Arial" w:ascii="Arial" w:hAnsi="Arial"/>
          <w:color w:val="2A6099"/>
          <w:sz w:val="20"/>
          <w:szCs w:val="20"/>
        </w:rPr>
        <w:t>Sollte 1 bis 2 Seiten umfassen, Thema umreißen, kurz und prägnant formuliert sein, den Adressaten zum Weiterlesen animieren.</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pPr>
      <w:r>
        <w:rPr>
          <w:rFonts w:cs="Arial" w:ascii="Arial" w:hAnsi="Arial"/>
          <w:color w:val="2A6099"/>
          <w:sz w:val="20"/>
          <w:szCs w:val="20"/>
        </w:rPr>
        <w:t>Alleinstellungsmerkmal / USP (Unique selling proposition/point)</w:t>
      </w:r>
    </w:p>
    <w:p>
      <w:pPr>
        <w:pStyle w:val="ListParagraph"/>
        <w:widowControl w:val="false"/>
        <w:numPr>
          <w:ilvl w:val="0"/>
          <w:numId w:val="9"/>
        </w:numPr>
        <w:spacing w:lineRule="auto" w:line="360" w:before="0" w:after="0"/>
        <w:contextualSpacing/>
        <w:rPr/>
      </w:pPr>
      <w:r>
        <w:rPr>
          <w:rFonts w:cs="Arial" w:ascii="Arial" w:hAnsi="Arial"/>
          <w:color w:val="2A6099"/>
          <w:sz w:val="20"/>
          <w:szCs w:val="20"/>
        </w:rPr>
        <w:t>Kundenbedürfnisse / Zielgruppe</w:t>
      </w:r>
    </w:p>
    <w:p>
      <w:pPr>
        <w:pStyle w:val="ListParagraph"/>
        <w:widowControl w:val="false"/>
        <w:numPr>
          <w:ilvl w:val="0"/>
          <w:numId w:val="9"/>
        </w:numPr>
        <w:spacing w:lineRule="auto" w:line="360" w:before="0" w:after="0"/>
        <w:contextualSpacing/>
        <w:rPr/>
      </w:pPr>
      <w:r>
        <w:rPr>
          <w:rFonts w:cs="Arial" w:ascii="Arial" w:hAnsi="Arial"/>
          <w:color w:val="2A6099"/>
          <w:sz w:val="20"/>
          <w:szCs w:val="20"/>
        </w:rPr>
        <w:t>Stärken / Schwächen</w:t>
      </w:r>
    </w:p>
    <w:p>
      <w:pPr>
        <w:pStyle w:val="ListParagraph"/>
        <w:widowControl w:val="false"/>
        <w:numPr>
          <w:ilvl w:val="0"/>
          <w:numId w:val="9"/>
        </w:numPr>
        <w:spacing w:lineRule="auto" w:line="360" w:before="0" w:after="0"/>
        <w:contextualSpacing/>
        <w:rPr/>
      </w:pPr>
      <w:r>
        <w:rPr>
          <w:rFonts w:cs="Arial" w:ascii="Arial" w:hAnsi="Arial"/>
          <w:color w:val="2A6099"/>
          <w:sz w:val="20"/>
          <w:szCs w:val="20"/>
        </w:rPr>
        <w:t>Konkurrenz</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color w:val="2A6099"/>
        </w:rPr>
      </w:pPr>
      <w:r>
        <w:rPr>
          <w:rFonts w:cs="Arial" w:ascii="Arial" w:hAnsi="Arial"/>
          <w:color w:val="2A6099"/>
          <w:sz w:val="20"/>
          <w:szCs w:val="20"/>
        </w:rPr>
        <w:t>Name des Unternehmens / des Produktes; Unterschied, Marke</w:t>
      </w:r>
    </w:p>
    <w:p>
      <w:pPr>
        <w:pStyle w:val="ListParagraph"/>
        <w:widowControl w:val="false"/>
        <w:numPr>
          <w:ilvl w:val="0"/>
          <w:numId w:val="10"/>
        </w:numPr>
        <w:spacing w:lineRule="auto" w:line="360" w:before="0" w:after="0"/>
        <w:contextualSpacing/>
        <w:rPr>
          <w:color w:val="2A6099"/>
        </w:rPr>
      </w:pPr>
      <w:r>
        <w:rPr>
          <w:rFonts w:cs="Arial" w:ascii="Arial" w:hAnsi="Arial"/>
          <w:color w:val="2A6099"/>
          <w:sz w:val="20"/>
          <w:szCs w:val="20"/>
        </w:rPr>
        <w:t>Unternehmensstandort</w:t>
      </w:r>
    </w:p>
    <w:p>
      <w:pPr>
        <w:pStyle w:val="ListParagraph"/>
        <w:widowControl w:val="false"/>
        <w:numPr>
          <w:ilvl w:val="0"/>
          <w:numId w:val="10"/>
        </w:numPr>
        <w:spacing w:lineRule="auto" w:line="360" w:before="0" w:after="0"/>
        <w:contextualSpacing/>
        <w:rPr>
          <w:color w:val="2A6099"/>
        </w:rPr>
      </w:pPr>
      <w:r>
        <w:rPr>
          <w:rFonts w:cs="Arial" w:ascii="Arial" w:hAnsi="Arial"/>
          <w:color w:val="2A6099"/>
          <w:sz w:val="20"/>
          <w:szCs w:val="20"/>
        </w:rPr>
        <w:t>Rechtsform</w:t>
      </w:r>
    </w:p>
    <w:p>
      <w:pPr>
        <w:pStyle w:val="ListParagraph"/>
        <w:widowControl w:val="false"/>
        <w:numPr>
          <w:ilvl w:val="0"/>
          <w:numId w:val="10"/>
        </w:numPr>
        <w:spacing w:lineRule="auto" w:line="360" w:before="0" w:after="0"/>
        <w:contextualSpacing/>
        <w:rPr>
          <w:color w:val="2A6099"/>
        </w:rPr>
      </w:pPr>
      <w:r>
        <w:rPr>
          <w:rFonts w:cs="Arial" w:ascii="Arial" w:hAnsi="Arial"/>
          <w:color w:val="2A6099"/>
          <w:sz w:val="20"/>
          <w:szCs w:val="20"/>
        </w:rPr>
        <w:t>Vorstellung des Gründers / Gründerteams (Erstgründung? Erfinder? Technische Ausbildung? Erfahrener Gründer?)</w:t>
      </w:r>
    </w:p>
    <w:p>
      <w:pPr>
        <w:pStyle w:val="ListParagraph"/>
        <w:widowControl w:val="false"/>
        <w:numPr>
          <w:ilvl w:val="0"/>
          <w:numId w:val="8"/>
        </w:numPr>
        <w:spacing w:lineRule="auto" w:line="360" w:before="0" w:after="0"/>
        <w:contextualSpacing/>
        <w:rPr/>
      </w:pPr>
      <w:r>
        <w:rPr>
          <w:rFonts w:cs="Arial" w:ascii="Arial" w:hAnsi="Arial"/>
          <w:b/>
          <w:sz w:val="20"/>
          <w:szCs w:val="20"/>
        </w:rPr>
        <w:t>Branche und Markt</w:t>
      </w:r>
      <w:r>
        <w:rPr>
          <w:rFonts w:cs="Arial" w:ascii="Arial" w:hAnsi="Arial"/>
          <w:sz w:val="20"/>
          <w:szCs w:val="20"/>
        </w:rPr>
        <w:t xml:space="preserve">: </w:t>
      </w:r>
      <w:r>
        <w:rPr>
          <w:rFonts w:cs="Arial" w:ascii="Arial" w:hAnsi="Arial"/>
          <w:color w:val="2A6099"/>
          <w:sz w:val="20"/>
          <w:szCs w:val="20"/>
        </w:rPr>
        <w:t>Marktanalyse (z.B. Potenzialanalyse), Zielgruppe, Mitbewerber</w:t>
      </w:r>
    </w:p>
    <w:p>
      <w:pPr>
        <w:pStyle w:val="ListParagraph"/>
        <w:widowControl w:val="false"/>
        <w:numPr>
          <w:ilvl w:val="0"/>
          <w:numId w:val="8"/>
        </w:numPr>
        <w:spacing w:lineRule="auto" w:line="360" w:before="0" w:after="0"/>
        <w:contextualSpacing/>
        <w:rPr/>
      </w:pPr>
      <w:r>
        <w:rPr>
          <w:rFonts w:cs="Arial" w:ascii="Arial" w:hAnsi="Arial"/>
          <w:b/>
          <w:sz w:val="20"/>
          <w:szCs w:val="20"/>
        </w:rPr>
        <w:t>Marketing:</w:t>
      </w:r>
      <w:r>
        <w:rPr>
          <w:rFonts w:cs="Arial" w:ascii="Arial" w:hAnsi="Arial"/>
          <w:sz w:val="20"/>
          <w:szCs w:val="20"/>
        </w:rPr>
        <w:t xml:space="preserve"> </w:t>
      </w:r>
      <w:r>
        <w:rPr>
          <w:rFonts w:cs="Arial" w:ascii="Arial" w:hAnsi="Arial"/>
          <w:color w:val="2A6099"/>
          <w:sz w:val="20"/>
          <w:szCs w:val="20"/>
        </w:rPr>
        <w:t>umfasst alle Tätigkeiten, um das Produkt nutzenbringend (viele Start-ups haben anfangs keinen Gewinn) zu vermarkten</w:t>
      </w:r>
      <w:r>
        <w:rPr>
          <w:rFonts w:cs="Arial" w:ascii="Arial" w:hAnsi="Arial"/>
          <w:sz w:val="20"/>
          <w:szCs w:val="20"/>
        </w:rPr>
        <w:t>.</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color w:val="2A6099"/>
        </w:rPr>
      </w:pPr>
      <w:r>
        <w:rPr>
          <w:rFonts w:cs="Arial" w:ascii="Arial" w:hAnsi="Arial"/>
          <w:color w:val="2A6099"/>
          <w:sz w:val="20"/>
          <w:szCs w:val="20"/>
        </w:rPr>
        <w:t>Welche Chancen und Risiken gibt es für das Projekt?</w:t>
      </w:r>
    </w:p>
    <w:p>
      <w:pPr>
        <w:pStyle w:val="ListParagraph"/>
        <w:widowControl w:val="false"/>
        <w:numPr>
          <w:ilvl w:val="0"/>
          <w:numId w:val="11"/>
        </w:numPr>
        <w:spacing w:lineRule="auto" w:line="360" w:before="0" w:after="0"/>
        <w:contextualSpacing/>
        <w:rPr>
          <w:color w:val="2A6099"/>
        </w:rPr>
      </w:pPr>
      <w:r>
        <w:rPr>
          <w:rFonts w:cs="Arial" w:ascii="Arial" w:hAnsi="Arial"/>
          <w:color w:val="2A6099"/>
          <w:sz w:val="20"/>
          <w:szCs w:val="20"/>
        </w:rPr>
        <w:t>Welche Maßnahmen der Risiken gibt es für das Projekt?</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color w:val="2A6099"/>
        </w:rPr>
      </w:pPr>
      <w:r>
        <w:rPr>
          <w:rFonts w:cs="Arial" w:ascii="Arial" w:hAnsi="Arial"/>
          <w:color w:val="2A6099"/>
          <w:sz w:val="20"/>
          <w:szCs w:val="20"/>
        </w:rPr>
        <w:t>Wie hoch sind meine Herstellerkosten?</w:t>
      </w:r>
    </w:p>
    <w:p>
      <w:pPr>
        <w:pStyle w:val="ListParagraph"/>
        <w:widowControl w:val="false"/>
        <w:numPr>
          <w:ilvl w:val="0"/>
          <w:numId w:val="12"/>
        </w:numPr>
        <w:spacing w:lineRule="auto" w:line="360" w:before="0" w:after="0"/>
        <w:contextualSpacing/>
        <w:rPr>
          <w:color w:val="2A6099"/>
        </w:rPr>
      </w:pPr>
      <w:r>
        <w:rPr>
          <w:rFonts w:cs="Arial" w:ascii="Arial" w:hAnsi="Arial"/>
          <w:color w:val="2A6099"/>
          <w:sz w:val="20"/>
          <w:szCs w:val="20"/>
        </w:rPr>
        <w:t>Wie sieht mein Investitionsplan aus? Investieren in Maschinen oder Zukaufen von Teilen</w:t>
      </w:r>
    </w:p>
    <w:p>
      <w:pPr>
        <w:pStyle w:val="ListParagraph"/>
        <w:widowControl w:val="false"/>
        <w:numPr>
          <w:ilvl w:val="0"/>
          <w:numId w:val="12"/>
        </w:numPr>
        <w:spacing w:lineRule="auto" w:line="360" w:before="0" w:after="0"/>
        <w:contextualSpacing/>
        <w:rPr>
          <w:color w:val="2A6099"/>
        </w:rPr>
      </w:pPr>
      <w:r>
        <w:rPr>
          <w:rFonts w:cs="Arial" w:ascii="Arial" w:hAnsi="Arial"/>
          <w:color w:val="2A6099"/>
          <w:sz w:val="20"/>
          <w:szCs w:val="20"/>
        </w:rPr>
        <w:t>Wie hoch ist der Finanzbedarf in der Gründungs-, bzw. Anlaufphase?</w:t>
      </w:r>
    </w:p>
    <w:p>
      <w:pPr>
        <w:pStyle w:val="ListParagraph"/>
        <w:widowControl w:val="false"/>
        <w:numPr>
          <w:ilvl w:val="0"/>
          <w:numId w:val="12"/>
        </w:numPr>
        <w:spacing w:lineRule="auto" w:line="360" w:before="0" w:after="0"/>
        <w:contextualSpacing/>
        <w:rPr>
          <w:color w:val="2A6099"/>
        </w:rPr>
      </w:pPr>
      <w:r>
        <w:rPr>
          <w:rFonts w:cs="Arial" w:ascii="Arial" w:hAnsi="Arial"/>
          <w:color w:val="2A6099"/>
          <w:sz w:val="20"/>
          <w:szCs w:val="20"/>
        </w:rPr>
        <w:t>Gibt es Förderungen?</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1" wp14:anchorId="248B737A">
              <wp:simplePos x="0" y="0"/>
              <wp:positionH relativeFrom="leftMargin">
                <wp:align>center</wp:align>
              </wp:positionH>
              <wp:positionV relativeFrom="paragraph">
                <wp:posOffset>635</wp:posOffset>
              </wp:positionV>
              <wp:extent cx="767080" cy="900430"/>
              <wp:effectExtent l="0" t="0" r="0" b="0"/>
              <wp:wrapNone/>
              <wp:docPr id="11" name="Rechteck 7"/>
              <a:graphic xmlns:a="http://schemas.openxmlformats.org/drawingml/2006/main">
                <a:graphicData uri="http://schemas.microsoft.com/office/word/2010/wordprocessingShape">
                  <wps:wsp>
                    <wps:cNvSpPr/>
                    <wps:spPr>
                      <a:xfrm>
                        <a:off x="0" y="0"/>
                        <a:ext cx="766440" cy="89964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000000"/>
                            </w:rPr>
                          </w:pPr>
                          <w:sdt>
                            <w:sdtPr>
                              <w:id w:val="1570398814"/>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10</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2pt;margin-top:0.05pt;width:60.3pt;height:70.8pt;mso-position-horizontal:center;mso-position-horizontal-relative:page" wp14:anchorId="248B737A">
              <w10:wrap type="square"/>
              <v:fill o:detectmouseclick="t" type="solid" color2="black"/>
              <v:stroke color="#3465a4" joinstyle="round" endcap="flat"/>
              <v:textbox>
                <w:txbxContent>
                  <w:p>
                    <w:pPr>
                      <w:pStyle w:val="Rahmeninhalt"/>
                      <w:spacing w:before="0" w:after="160"/>
                      <w:jc w:val="center"/>
                      <w:rPr>
                        <w:color w:val="000000"/>
                      </w:rPr>
                    </w:pPr>
                    <w:sdt>
                      <w:sdtPr>
                        <w:id w:val="1043564739"/>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10</w:t>
                        </w:r>
                        <w:r>
                          <w:rPr>
                            <w:rFonts w:eastAsia="" w:cs="" w:ascii="Calibri Light" w:hAnsi="Calibri Light"/>
                          </w:rPr>
                          <w:fldChar w:fldCharType="end"/>
                        </w:r>
                      </w:sdtContent>
                    </w:sdt>
                  </w:p>
                </w:txbxContent>
              </v:textbox>
            </v:rect>
          </w:pict>
        </mc:Fallback>
      </mc:AlternateContent>
    </w:r>
    <w:r>
      <w:rPr/>
      <w:tab/>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Arial" w:hAnsi="Arial" w:cs="Arial"/>
      <w:b/>
      <w:sz w:val="20"/>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Arial" w:hAnsi="Arial" w:cs="Symbol"/>
      <w:sz w:val="20"/>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Arial" w:hAnsi="Arial" w:cs="Symbol"/>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Arial" w:hAnsi="Arial"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Wingdings"/>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Wingdings"/>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b/>
      <w:sz w:val="20"/>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Arial"/>
      <w:b/>
      <w:sz w:val="20"/>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sz w:val="20"/>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Arial" w:hAnsi="Arial" w:cs="Symbol"/>
      <w:sz w:val="20"/>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Arial" w:hAnsi="Arial" w:cs="Symbol"/>
      <w:sz w:val="20"/>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Arial" w:hAnsi="Arial" w:cs="Symbol"/>
      <w:sz w:val="20"/>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Arial" w:hAnsi="Arial" w:cs="Wingdings"/>
      <w:sz w:val="2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Arial" w:hAnsi="Arial" w:cs="Wingdings"/>
      <w:sz w:val="20"/>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Arial" w:hAnsi="Arial" w:cs="Wingdings"/>
      <w:sz w:val="20"/>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Arial" w:hAnsi="Arial" w:cs="Wingdings"/>
      <w:sz w:val="20"/>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Arial" w:hAnsi="Arial"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Arial" w:hAnsi="Arial" w:cs="Symbol"/>
      <w:b/>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Arial" w:hAnsi="Arial" w:cs="Arial"/>
      <w:b/>
      <w:sz w:val="20"/>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Arial" w:hAnsi="Arial" w:cs="Symbol"/>
      <w:sz w:val="20"/>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Arial" w:hAnsi="Arial" w:cs="Symbol"/>
      <w:sz w:val="20"/>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Arial" w:hAnsi="Arial" w:cs="Symbol"/>
      <w:sz w:val="20"/>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Arial" w:hAnsi="Arial" w:cs="Symbol"/>
      <w:sz w:val="20"/>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Arial" w:hAnsi="Arial" w:cs="Symbol"/>
      <w:sz w:val="20"/>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Arial" w:hAnsi="Arial" w:cs="Wingdings"/>
      <w:sz w:val="20"/>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Arial" w:hAnsi="Arial" w:cs="Wingdings"/>
      <w:sz w:val="20"/>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Arial" w:hAnsi="Arial" w:cs="Wingdings"/>
      <w:sz w:val="20"/>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Arial" w:hAnsi="Arial" w:cs="Wingdings"/>
      <w:sz w:val="20"/>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ascii="Arial" w:hAnsi="Arial" w:cs="Symbol"/>
      <w:sz w:val="20"/>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Arial" w:hAnsi="Arial" w:cs="Symbol"/>
      <w:b/>
      <w:sz w:val="20"/>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Arial" w:hAnsi="Arial" w:cs="Arial"/>
      <w:b/>
      <w:sz w:val="20"/>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ascii="Arial" w:hAnsi="Arial" w:cs="Symbol"/>
      <w:sz w:val="20"/>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ascii="Arial" w:hAnsi="Arial" w:cs="Symbol"/>
      <w:sz w:val="20"/>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ascii="Arial" w:hAnsi="Arial" w:cs="Symbol"/>
      <w:sz w:val="20"/>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ascii="Arial" w:hAnsi="Arial" w:cs="Symbol"/>
      <w:sz w:val="20"/>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ascii="Arial" w:hAnsi="Arial" w:cs="Symbol"/>
      <w:sz w:val="20"/>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ascii="Arial" w:hAnsi="Arial" w:cs="Wingdings"/>
      <w:sz w:val="20"/>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ascii="Arial" w:hAnsi="Arial" w:cs="Wingdings"/>
      <w:sz w:val="20"/>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Arial" w:hAnsi="Arial" w:cs="Wingdings"/>
      <w:sz w:val="20"/>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ascii="Arial" w:hAnsi="Arial" w:cs="Wingdings"/>
      <w:sz w:val="20"/>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ascii="Arial" w:hAnsi="Arial" w:cs="Symbol"/>
      <w:sz w:val="20"/>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Arial" w:hAnsi="Arial" w:cs="Symbol"/>
      <w:b/>
      <w:sz w:val="20"/>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ascii="Arial" w:hAnsi="Arial" w:cs="Arial"/>
      <w:b/>
      <w:sz w:val="20"/>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ascii="Arial" w:hAnsi="Arial" w:cs="Symbol"/>
      <w:sz w:val="20"/>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ascii="Arial" w:hAnsi="Arial" w:cs="Symbol"/>
      <w:sz w:val="20"/>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ascii="Arial" w:hAnsi="Arial" w:cs="Symbol"/>
      <w:sz w:val="20"/>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ascii="Arial" w:hAnsi="Arial" w:cs="Symbol"/>
      <w:sz w:val="20"/>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ascii="Arial" w:hAnsi="Arial" w:cs="Symbol"/>
      <w:sz w:val="20"/>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ascii="Arial" w:hAnsi="Arial" w:cs="Wingdings"/>
      <w:sz w:val="20"/>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ascii="Arial" w:hAnsi="Arial" w:cs="Wingdings"/>
      <w:sz w:val="20"/>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Wingdings"/>
      <w:sz w:val="20"/>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Wingdings"/>
      <w:sz w:val="20"/>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ascii="Arial" w:hAnsi="Arial" w:cs="Symbol"/>
      <w:sz w:val="20"/>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ascii="Arial" w:hAnsi="Arial" w:cs="Symbol"/>
      <w:b/>
      <w:sz w:val="20"/>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ascii="Arial" w:hAnsi="Arial" w:cs="Arial"/>
      <w:b/>
      <w:sz w:val="20"/>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ascii="Arial" w:hAnsi="Arial" w:cs="Symbol"/>
      <w:sz w:val="20"/>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ascii="Arial" w:hAnsi="Arial" w:cs="Symbol"/>
      <w:sz w:val="20"/>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ascii="Arial" w:hAnsi="Arial" w:cs="Symbol"/>
      <w:sz w:val="20"/>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ascii="Arial" w:hAnsi="Arial" w:cs="Symbol"/>
      <w:sz w:val="20"/>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Arial" w:hAnsi="Arial" w:cs="Symbol"/>
      <w:sz w:val="20"/>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ascii="Arial" w:hAnsi="Arial" w:cs="Wingdings"/>
      <w:sz w:val="20"/>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ascii="Arial" w:hAnsi="Arial" w:cs="Wingdings"/>
      <w:sz w:val="20"/>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ascii="Arial" w:hAnsi="Arial" w:cs="Wingdings"/>
      <w:sz w:val="20"/>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ascii="Arial" w:hAnsi="Arial" w:cs="Wingdings"/>
      <w:sz w:val="20"/>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ascii="Arial" w:hAnsi="Arial" w:cs="Symbol"/>
      <w:sz w:val="20"/>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ascii="Arial" w:hAnsi="Arial" w:cs="Symbol"/>
      <w:b/>
      <w:sz w:val="20"/>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ascii="Arial" w:hAnsi="Arial" w:cs="Arial"/>
      <w:b/>
      <w:sz w:val="20"/>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ascii="Arial" w:hAnsi="Arial" w:cs="Symbol"/>
      <w:sz w:val="20"/>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ascii="Arial" w:hAnsi="Arial" w:cs="Symbol"/>
      <w:sz w:val="20"/>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ascii="Arial" w:hAnsi="Arial" w:cs="Symbol"/>
      <w:sz w:val="20"/>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ascii="Arial" w:hAnsi="Arial" w:cs="Symbol"/>
      <w:sz w:val="20"/>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ascii="Arial" w:hAnsi="Arial" w:cs="Symbol"/>
      <w:sz w:val="20"/>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ascii="Arial" w:hAnsi="Arial" w:cs="Wingdings"/>
      <w:sz w:val="20"/>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cs="Symbol"/>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ascii="Arial" w:hAnsi="Arial" w:cs="Wingdings"/>
      <w:sz w:val="20"/>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Symbol"/>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Symbol"/>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ascii="Arial" w:hAnsi="Arial" w:cs="Wingdings"/>
      <w:sz w:val="20"/>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ascii="Arial" w:hAnsi="Arial" w:cs="Wingdings"/>
      <w:sz w:val="20"/>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ascii="Arial" w:hAnsi="Arial" w:cs="Symbol"/>
      <w:sz w:val="20"/>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ascii="Arial" w:hAnsi="Arial" w:cs="Symbol"/>
      <w:b/>
      <w:sz w:val="20"/>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LibreOffice/6.2.4.2$Windows_X86_64 LibreOffice_project/2412653d852ce75f65fbfa83fb7e7b669a126d64</Application>
  <Pages>10</Pages>
  <Words>1571</Words>
  <Characters>11634</Characters>
  <CharactersWithSpaces>12981</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2021-12-21T14:59:24Z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