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w:t>
        <w:br/>
        <w:t>năm nhóm chức năng</w:t>
      </w:r>
    </w:p>
    <w:p>
      <w:pPr>
        <w:pStyle w:val="Subtitle"/>
      </w:pPr>
      <w:r>
        <w:t>Hệ thống Phở Nhà</w:t>
      </w:r>
    </w:p>
    <w:p>
      <w:r>
        <w:t>Tài liệu hướng dẫn mở đúng màn hình và thực hiện các thao tác về ưu đãi, hỗ trợ đơn, kho và giao nhận, gợi ý món, tài khoản và khách hàng thân thiết. Khách hàng theo dõi đơn và quyền lợi của mình; thu ngân và quản lý xử lý nghiệp vụ theo quyền được cấp.</w:t>
      </w:r>
    </w:p>
    <w:p>
      <w:r>
        <w:rPr>
          <w:b/>
        </w:rPr>
        <w:t>Cập nhật</w:t>
      </w:r>
      <w:r>
        <w:t xml:space="preserve"> ngày 27 tháng 10 năm 2026</w:t>
      </w:r>
    </w:p>
    <w:p>
      <w:pPr>
        <w:pStyle w:val="Heading2"/>
      </w:pPr>
      <w:r>
        <w:t>Mở hệ thống trên máy</w:t>
      </w:r>
    </w:p>
    <w:p>
      <w:r>
        <w:t>Trong thư mục C:\Users\HP\Quanlypho, kích hoạt môi trường dự án đã cấu hình rồi chạy:</w:t>
      </w:r>
    </w:p>
    <w:p>
      <w:r>
        <w:rPr>
          <w:rFonts w:ascii="Consolas" w:hAnsi="Consolas"/>
          <w:sz w:val="20"/>
        </w:rPr>
        <w:t>python manage.py runserver 127.0.0.1:8000</w:t>
      </w:r>
    </w:p>
    <w:p>
      <w:pPr>
        <w:spacing w:after="80"/>
      </w:pPr>
      <w:r>
        <w:rPr>
          <w:b/>
        </w:rPr>
        <w:t xml:space="preserve">Đăng nhập </w:t>
      </w:r>
      <w:hyperlink r:id="rId10">
        <w:r>
          <w:rPr>
            <w:color w:val="0563C1"/>
            <w:u w:val="single"/>
          </w:rPr>
          <w:t>/dang-nhap/</w:t>
        </w:r>
      </w:hyperlink>
    </w:p>
    <w:p>
      <w:r>
        <w:t>Các liên kết trong tài liệu dùng địa chỉ http://127.0.0.1:8000. Máy phải đang chạy dự án thì liên kết mới mở được. Khi triển khai lên máy chủ, thay phần địa chỉ này bằng tên miền của hệ thống; giữ nguyên đường dẫn phía sau. Repository GitHub là nơi lưu mã nguồn, không phải trang đang chạy ứng dụng.</w:t>
      </w:r>
    </w:p>
    <w:p>
      <w:pPr>
        <w:pStyle w:val="Heading2"/>
      </w:pPr>
      <w:r>
        <w:t>Danh mục đường dẫn chính</w:t>
      </w:r>
    </w:p>
    <w:tbl>
      <w:tblPr>
        <w:tblW w:type="auto" w:w="0"/>
        <w:jc w:val="center"/>
        <w:tblLayout w:type="fixed"/>
        <w:tblLook w:firstColumn="1" w:firstRow="1" w:lastColumn="0" w:lastRow="0" w:noHBand="0" w:noVBand="1" w:val="04A0"/>
      </w:tblPr>
      <w:tblGrid>
        <w:gridCol w:w="2948"/>
        <w:gridCol w:w="4535"/>
        <w:gridCol w:w="2154"/>
      </w:tblGrid>
      <w:tr>
        <w:trPr>
          <w:cantSplit/>
          <w:tblHeader/>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Phần</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Màn hình mở nhanh</w:t>
            </w:r>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Vai trò</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1 Khuyến mãi và voucher</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hyperlink r:id="rId11">
              <w:r>
                <w:rPr>
                  <w:color w:val="0563C1"/>
                  <w:u w:val="single"/>
                </w:rPr>
                <w:t>/tai-khoan/?tab=wallet</w:t>
              </w:r>
            </w:hyperlink>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Khách hàng</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2 Hủy đổi trả hoàn tiền</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hyperlink r:id="rId12">
              <w:r>
                <w:rPr>
                  <w:color w:val="0563C1"/>
                  <w:u w:val="single"/>
                </w:rPr>
                <w:t>/tai-khoan/?tab=my-orders</w:t>
              </w:r>
            </w:hyperlink>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Khách hàng</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3 Tồn kho và giao hàng</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hyperlink r:id="rId13">
              <w:r>
                <w:rPr>
                  <w:color w:val="0563C1"/>
                  <w:u w:val="single"/>
                </w:rPr>
                <w:t>/quan-ly/ton-kho/</w:t>
              </w:r>
            </w:hyperlink>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Quản lý</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4 Trợ lý và gợi ý món</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hyperlink r:id="rId14">
              <w:r>
                <w:rPr>
                  <w:color w:val="0563C1"/>
                  <w:u w:val="single"/>
                </w:rPr>
                <w:t>/thuc-don/</w:t>
              </w:r>
            </w:hyperlink>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Khách và khách hàng</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5 Tài khoản địa chỉ thành viên</w:t>
            </w:r>
          </w:p>
        </w:tc>
        <w:tc>
          <w:tcPr>
            <w:tcW w:type="dxa" w:w="45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hyperlink r:id="rId15">
              <w:r>
                <w:rPr>
                  <w:color w:val="0563C1"/>
                  <w:u w:val="single"/>
                </w:rPr>
                <w:t>/tai-khoan/</w:t>
              </w:r>
            </w:hyperlink>
          </w:p>
        </w:tc>
        <w:tc>
          <w:tcPr>
            <w:tcW w:type="dxa" w:w="215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Đã đăng nhập</w:t>
            </w:r>
          </w:p>
        </w:tc>
      </w:tr>
    </w:tbl>
    <w:p>
      <w:pPr>
        <w:spacing w:after="20"/>
      </w:pPr>
      <w:r/>
    </w:p>
    <w:p>
      <w:r>
        <w:t>Quản lý còn dùng trang Khuyến mãi; thu ngân và quản lý dùng trang Hỗ trợ đơn và Giao hàng. Các đường dẫn này nằm trong phần hướng dẫn tương ứng. Nếu thiếu quyền, đăng nhập đúng vai trò trước khi mở lại liên kết.</w:t>
      </w:r>
    </w:p>
    <w:p>
      <w:r>
        <w:t>Ký hiệu &lt;ID&gt; trong đường dẫn là số định danh của một bản ghi thật. Hãy mở đơn hoặc địa chỉ từ danh sách để hệ thống tạo đúng liên kết, không gõ nguyên ký hiệu này.</w:t>
      </w:r>
    </w:p>
    <w:p>
      <w:r>
        <w:br w:type="page"/>
      </w:r>
    </w:p>
    <w:p>
      <w:pPr>
        <w:pStyle w:val="Heading1"/>
      </w:pPr>
      <w:r>
        <w:t>1 Khuyến mãi và voucher</w:t>
      </w:r>
    </w:p>
    <w:p>
      <w:pPr>
        <w:spacing w:after="80"/>
      </w:pPr>
      <w:r>
        <w:rPr>
          <w:b/>
        </w:rPr>
        <w:t xml:space="preserve">Ví cá nhân </w:t>
      </w:r>
      <w:hyperlink r:id="rId11">
        <w:r>
          <w:rPr>
            <w:color w:val="0563C1"/>
            <w:u w:val="single"/>
          </w:rPr>
          <w:t>/tai-khoan/?tab=wallet</w:t>
        </w:r>
      </w:hyperlink>
    </w:p>
    <w:p>
      <w:pPr>
        <w:spacing w:after="80"/>
      </w:pPr>
      <w:r>
        <w:rPr>
          <w:b/>
        </w:rPr>
        <w:t xml:space="preserve">Dùng ưu đãi khi đặt món </w:t>
      </w:r>
      <w:hyperlink r:id="rId14">
        <w:r>
          <w:rPr>
            <w:color w:val="0563C1"/>
            <w:u w:val="single"/>
          </w:rPr>
          <w:t>/thuc-don/</w:t>
        </w:r>
      </w:hyperlink>
    </w:p>
    <w:p>
      <w:pPr>
        <w:spacing w:after="80"/>
      </w:pPr>
      <w:r>
        <w:rPr>
          <w:b/>
        </w:rPr>
        <w:t xml:space="preserve">Quản lý chương trình </w:t>
      </w:r>
      <w:hyperlink r:id="rId16">
        <w:r>
          <w:rPr>
            <w:color w:val="0563C1"/>
            <w:u w:val="single"/>
          </w:rPr>
          <w:t>/quan-ly/khuyen-mai/</w:t>
        </w:r>
      </w:hyperlink>
    </w:p>
    <w:p>
      <w:pPr>
        <w:pStyle w:val="Heading2"/>
      </w:pPr>
      <w:r>
        <w:t>Khách hàng áp dụng voucher</w:t>
      </w:r>
    </w:p>
    <w:p>
      <w:pPr>
        <w:spacing w:after="100"/>
        <w:ind w:left="312" w:hanging="312"/>
      </w:pPr>
      <w:r>
        <w:t>1. Đăng nhập tài khoản khách hàng, mở Ví voucher. Chọn tab Khả dụng, Đang giữ cho đơn, Đã dùng hoặc Hết hạn để xem trạng thái; có thể lọc thêm Giảm tiền món, Freeship, Quà lên hạng và Đổi từ điểm.</w:t>
      </w:r>
    </w:p>
    <w:p>
      <w:pPr>
        <w:spacing w:after="100"/>
        <w:ind w:left="312" w:hanging="312"/>
      </w:pPr>
      <w:r>
        <w:t>2. Đọc mức giảm, đơn tối thiểu, món áp dụng và hạn dùng. Nhấn Sử dụng để sang thực đơn với voucher được chọn sẵn, hoặc chọn món rồi nhập mã chiến dịch trong giỏ.</w:t>
      </w:r>
    </w:p>
    <w:p>
      <w:pPr>
        <w:spacing w:after="100"/>
        <w:ind w:left="312" w:hanging="312"/>
      </w:pPr>
      <w:r>
        <w:t>3. Trong giỏ, chọn hình thức nhận món và địa chỉ nếu giao hàng. Chọn một voucher trong ví hoặc nhập một mã khuyến mãi; có thể dùng thêm điểm khả dụng.</w:t>
      </w:r>
    </w:p>
    <w:p>
      <w:pPr>
        <w:spacing w:after="100"/>
        <w:ind w:left="312" w:hanging="312"/>
      </w:pPr>
      <w:r>
        <w:t>4. Kiểm tra tiền hàng, giảm theo hạng, giảm voucher, phí giao, giảm phí và số điểm dùng. Số phải trả do máy chủ tính lại; chỉ xác nhận khi các khoản hiển thị đúng.</w:t>
      </w:r>
    </w:p>
    <w:p>
      <w:pPr>
        <w:spacing w:after="100"/>
        <w:ind w:left="312" w:hanging="312"/>
      </w:pPr>
      <w:r>
        <w:t>5. Đặt món và thanh toán theo hướng dẫn của đơn. Voucher, điểm và nguyên liệu được giữ trong thời hạn của đơn; thanh toán thành công mới tiêu thụ ưu đãi.</w:t>
      </w:r>
    </w:p>
    <w:p>
      <w:pPr>
        <w:pStyle w:val="Heading2"/>
      </w:pPr>
      <w:r>
        <w:t>Quy tắc tính và giữ ưu đãi</w:t>
      </w:r>
    </w:p>
    <w:p>
      <w:r>
        <w:t>Một đơn dùng tối đa một voucher hoặc một mã chiến dịch. Chiết khấu hạng áp dụng tự động; ưu đãi miễn giao gần theo hạng không chiếm chỗ voucher. Điểm dùng sau ưu đãi, với 1 điểm = 100đ và tối đa 50% số tiền thanh toán còn lại. Điểm đã đổi lấy voucher không còn để dùng trực tiếp lần nữa.</w:t>
      </w:r>
    </w:p>
    <w:p>
      <w:r>
        <w:t>Ví dụ tính tiền: tiền món 55.000đ, giảm voucher 10.000đ và dùng 10 điểm tương đương 1.000đ thì phải trả 44.000đ, nếu không có phí giao hoặc ưu đãi khác. Đây là ví dụ minh họa, không phải một mã ưu đãi đang được phát.</w:t>
      </w:r>
    </w:p>
    <w:p>
      <w:r>
        <w:t>Thời gian giữ mặc định là 15 phút. Hủy trước thanh toán hoặc hết hạn sẽ giải phóng quyền lợi theo điều kiện còn hiệu lực. Hoàn sau thanh toán được xử lý ở phần 2. Mã sai, chưa đến hạn, hết lượt hoặc không đủ điều kiện phải đổi lại mã hoặc bỏ chọn trước khi đặt.</w:t>
      </w:r>
    </w:p>
    <w:p>
      <w:pPr>
        <w:pStyle w:val="Heading2"/>
      </w:pPr>
      <w:r>
        <w:t>Quản lý tạo và điều chỉnh chương trình</w:t>
      </w:r>
    </w:p>
    <w:p>
      <w:pPr>
        <w:spacing w:after="100"/>
        <w:ind w:left="312" w:hanging="312"/>
      </w:pPr>
      <w:r>
        <w:t>1. Mở Khuyến mãi và đổi điểm, chọn Mã chiến dịch rồi Tạo khuyến mãi. Điền mã, tên, loại và giá trị ưu đãi, mức trần, đơn tối thiểu, thời gian, hạn lượt và phạm vi áp dụng theo biểu mẫu.</w:t>
      </w:r>
    </w:p>
    <w:p>
      <w:pPr>
        <w:spacing w:after="100"/>
        <w:ind w:left="312" w:hanging="312"/>
      </w:pPr>
      <w:r>
        <w:t>2. Nhấn Lưu chương trình. Khi có lỗi, sửa các trường được báo rồi lưu lại; tìm kiếm và lọc trạng thái để kiểm tra mã vừa tạo.</w:t>
      </w:r>
    </w:p>
    <w:p>
      <w:pPr>
        <w:spacing w:after="100"/>
        <w:ind w:left="312" w:hanging="312"/>
      </w:pPr>
      <w:r>
        <w:t>3. Ở Quà đổi điểm, nhấn Thêm quà, chọn mẫu voucher và số điểm cần đổi, rồi Lưu quà đổi điểm. Ở Hạng thành viên, mở hạng cần sửa và Lưu quyền lợi.</w:t>
      </w:r>
    </w:p>
    <w:p>
      <w:r>
        <w:t>Kết quả cần thấy: mã hiện trong đúng danh sách và báo giá phản ánh đúng ưu đãi. Việc sửa chương trình không viết lại quyền lợi đã phát hoặc giá đã chụp trên đơn cũ.</w:t>
      </w:r>
    </w:p>
    <w:p>
      <w:r>
        <w:br w:type="page"/>
      </w:r>
    </w:p>
    <w:p>
      <w:pPr>
        <w:pStyle w:val="Heading1"/>
      </w:pPr>
      <w:r>
        <w:t>2 Hủy đơn đổi trả và hoàn tiền</w:t>
      </w:r>
    </w:p>
    <w:p>
      <w:pPr>
        <w:spacing w:after="80"/>
      </w:pPr>
      <w:r>
        <w:rPr>
          <w:b/>
        </w:rPr>
        <w:t xml:space="preserve">Tìm đơn của khách hàng </w:t>
      </w:r>
      <w:hyperlink r:id="rId12">
        <w:r>
          <w:rPr>
            <w:color w:val="0563C1"/>
            <w:u w:val="single"/>
          </w:rPr>
          <w:t>/tai-khoan/?tab=my-orders</w:t>
        </w:r>
      </w:hyperlink>
    </w:p>
    <w:p>
      <w:pPr>
        <w:spacing w:after="80"/>
      </w:pPr>
      <w:r>
        <w:rPr>
          <w:b/>
        </w:rPr>
        <w:t xml:space="preserve">Nhân viên xử lý hỗ trợ </w:t>
      </w:r>
      <w:hyperlink r:id="rId17">
        <w:r>
          <w:rPr>
            <w:color w:val="0563C1"/>
            <w:u w:val="single"/>
          </w:rPr>
          <w:t>/thu-ngan/ho-tro/</w:t>
        </w:r>
      </w:hyperlink>
    </w:p>
    <w:p>
      <w:r>
        <w:t>Màn hình của một đơn: /don/&lt;ID&gt;/ho-tro/. Từ chi tiết đơn, nhấn Yêu cầu hỗ trợ. Chủ tài khoản chỉ xem đơn của mình; khách vãng lai cần phiên trình duyệt đã tạo đơn đó.</w:t>
      </w:r>
    </w:p>
    <w:p>
      <w:pPr>
        <w:pStyle w:val="Heading2"/>
      </w:pPr>
      <w:r>
        <w:t>Khách hàng gửi yêu cầu</w:t>
      </w:r>
    </w:p>
    <w:p>
      <w:pPr>
        <w:spacing w:after="100"/>
        <w:ind w:left="312" w:hanging="312"/>
      </w:pPr>
      <w:r>
        <w:t>1. Mở đơn cần xử lý và kiểm tra trạng thái bếp, trạng thái thanh toán. Chọn Hủy toàn bộ đơn hoặc Món lỗi / giao thiếu / sự cố.</w:t>
      </w:r>
    </w:p>
    <w:p>
      <w:pPr>
        <w:spacing w:after="100"/>
        <w:ind w:left="312" w:hanging="312"/>
      </w:pPr>
      <w:r>
        <w:t>2. Nếu báo sự cố, chọn phương án Hoàn tiền hoặc Làm lại / giao bù và tích các phần món gặp vấn đề. Để trống phần chọn sẽ gửi toàn bộ phần chưa được xử lý; giao bù chỉ chọn món, không chọn phí giao.</w:t>
      </w:r>
    </w:p>
    <w:p>
      <w:pPr>
        <w:spacing w:after="100"/>
        <w:ind w:left="312" w:hanging="312"/>
      </w:pPr>
      <w:r>
        <w:t>3. Nhập lý do và thông tin hoặc liên kết bằng chứng, rồi nhấn Gửi yêu cầu hỗ trợ. Hủy luôn áp dụng toàn bộ đơn.</w:t>
      </w:r>
    </w:p>
    <w:p>
      <w:pPr>
        <w:spacing w:after="100"/>
        <w:ind w:left="312" w:hanging="312"/>
      </w:pPr>
      <w:r>
        <w:t>4. Xem Tiến độ yêu cầu và khoản hoàn đã xác nhận. Giá trị đang gửi xét duyệt chưa có nghĩa tiền đã được chuyển về.</w:t>
      </w:r>
    </w:p>
    <w:p>
      <w:pPr>
        <w:pStyle w:val="Heading2"/>
      </w:pPr>
      <w:r>
        <w:t>Điều kiện xử lý</w:t>
      </w:r>
    </w:p>
    <w:tbl>
      <w:tblPr>
        <w:tblW w:type="auto" w:w="0"/>
        <w:jc w:val="center"/>
        <w:tblLayout w:type="fixed"/>
        <w:tblLook w:firstColumn="1" w:firstRow="1" w:lastColumn="0" w:lastRow="0" w:noHBand="0" w:noVBand="1" w:val="04A0"/>
      </w:tblPr>
      <w:tblGrid>
        <w:gridCol w:w="2948"/>
        <w:gridCol w:w="6690"/>
      </w:tblGrid>
      <w:tr>
        <w:trPr>
          <w:cantSplit/>
          <w:tblHeader/>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Tình huống</w:t>
            </w:r>
          </w:p>
        </w:tc>
        <w:tc>
          <w:tcPr>
            <w:tcW w:type="dxa" w:w="669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Cách hệ thống xử lý</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Chưa chế biến</w:t>
            </w:r>
          </w:p>
        </w:tc>
        <w:tc>
          <w:tcPr>
            <w:tcW w:type="dxa" w:w="669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Yêu cầu hủy ở CART hoặc PENDING_KITCHEN được tự động xét duyệt. Chưa thanh toán thì giải phóng phần đang giữ; đã thanh toán thì tạo nghĩa vụ hoàn.</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Đang chế biến hoặc đang giao</w:t>
            </w:r>
          </w:p>
        </w:tc>
        <w:tc>
          <w:tcPr>
            <w:tcW w:type="dxa" w:w="669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Quản lý xem xét lý do, tình trạng món và bằng chứng trước khi duyệt hoặc từ chối.</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Món lỗi hoặc giao thiếu sau hoàn tất</w:t>
            </w:r>
          </w:p>
        </w:tc>
        <w:tc>
          <w:tcPr>
            <w:tcW w:type="dxa" w:w="669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Thời hạn gửi tự động mặc định là 2 giờ. Quá hạn, liên hệ cửa hàng để quản lý xem xét ngoại lệ.</w:t>
            </w:r>
          </w:p>
        </w:tc>
      </w:tr>
      <w:tr>
        <w:trPr>
          <w:cantSplit/>
        </w:trPr>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Phần món đã có yêu cầu</w:t>
            </w:r>
          </w:p>
        </w:tc>
        <w:tc>
          <w:tcPr>
            <w:tcW w:type="dxa" w:w="669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Không gửi lại cùng phần để vừa nhận hoàn vừa nhận giao bù. Với món ăn, xử lý qua món lỗi và giao bù, không có luồng trả hàng nguyên kiện.</w:t>
            </w:r>
          </w:p>
        </w:tc>
      </w:tr>
    </w:tbl>
    <w:p>
      <w:pPr>
        <w:spacing w:after="20"/>
      </w:pPr>
      <w:r/>
    </w:p>
    <w:p>
      <w:pPr>
        <w:pStyle w:val="Heading2"/>
      </w:pPr>
      <w:r>
        <w:t>Quản lý và thu ngân hoàn tất yêu cầu</w:t>
      </w:r>
    </w:p>
    <w:p>
      <w:pPr>
        <w:spacing w:after="100"/>
        <w:ind w:left="312" w:hanging="312"/>
      </w:pPr>
      <w:r>
        <w:t>1. Mở Hỗ trợ đơn, lọc Chờ duyệt và mở yêu cầu. Quản lý ghi nhận quyết định, nhấn Duyệt yêu cầu hoặc Từ chối. Nếu đã duyệt làm lại, dùng Tạo đơn giao bù.</w:t>
      </w:r>
    </w:p>
    <w:p>
      <w:pPr>
        <w:spacing w:after="100"/>
        <w:ind w:left="312" w:hanging="312"/>
      </w:pPr>
      <w:r>
        <w:t>2. Nếu hoàn tiền, kiểm tra kế hoạch hoàn theo phiếu thu và số thực trả đã phân bổ. Hoàn chuyển khoản do quản lý thực hiện tại ngân hàng; hoàn tiền mặt theo phiếu chi tại cửa hàng.</w:t>
      </w:r>
    </w:p>
    <w:p>
      <w:pPr>
        <w:spacing w:after="100"/>
        <w:ind w:left="312" w:hanging="312"/>
      </w:pPr>
      <w:r>
        <w:t>3. Sau khi đã thực hiện lệnh chi, chọn Ghi lệnh hoàn đã thực hiện và nhập mã chứng từ. Dùng Xác nhận kết quả kèm bằng chứng: Đã chi thành công, Chưa rõ kết quả hoặc Đã xác minh thất bại cuối cùng.</w:t>
      </w:r>
    </w:p>
    <w:p>
      <w:r>
        <w:t>Chưa rõ kết quả sẽ giữ ngân sách và chặn lệnh chi tiếp theo. Chỉ sau khi xác nhận khoản hoàn thành công, hệ thống xử lý hoàn điểm, voucher đủ điều kiện và điều chỉnh tích lũy. Đơn giao bù có số phải trả bằng 0 và không tích điểm lần hai. Chứng từ thu cũ chưa đủ phải đối soát trước khi duyệt hoàn.</w:t>
      </w:r>
    </w:p>
    <w:p>
      <w:r>
        <w:br w:type="page"/>
      </w:r>
    </w:p>
    <w:p>
      <w:pPr>
        <w:pStyle w:val="Heading1"/>
      </w:pPr>
      <w:r>
        <w:t>3 Tồn kho và giao hàng</w:t>
      </w:r>
    </w:p>
    <w:p>
      <w:pPr>
        <w:spacing w:after="80"/>
      </w:pPr>
      <w:r>
        <w:rPr>
          <w:b/>
        </w:rPr>
        <w:t xml:space="preserve">Quản lý tồn kho </w:t>
      </w:r>
      <w:hyperlink r:id="rId13">
        <w:r>
          <w:rPr>
            <w:color w:val="0563C1"/>
            <w:u w:val="single"/>
          </w:rPr>
          <w:t>/quan-ly/ton-kho/</w:t>
        </w:r>
      </w:hyperlink>
    </w:p>
    <w:p>
      <w:r>
        <w:t>Vai trò: quản lý cấu hình nguyên liệu, định lượng và xử lý kho. Khách hàng chỉ thấy khả năng phục vụ món; dữ liệu kho nội bộ không xuất hiện trong tài khoản khách.</w:t>
      </w:r>
    </w:p>
    <w:p>
      <w:pPr>
        <w:pStyle w:val="Heading2"/>
      </w:pPr>
      <w:r>
        <w:t>Theo dõi tồn và nhập nguyên liệu</w:t>
      </w:r>
    </w:p>
    <w:p>
      <w:pPr>
        <w:spacing w:after="100"/>
        <w:ind w:left="312" w:hanging="312"/>
      </w:pPr>
      <w:r>
        <w:t>1. Mở Quản lý tồn kho. Đọc ba số của từng nguyên liệu: tồn theo sổ, đang giữ cho đơn và khả dụng. Khả dụng là phần còn có thể nhận cho đơn mới.</w:t>
      </w:r>
    </w:p>
    <w:p>
      <w:pPr>
        <w:spacing w:after="100"/>
        <w:ind w:left="312" w:hanging="312"/>
      </w:pPr>
      <w:r>
        <w:t>2. Nếu cần nguyên liệu mới, dùng chức năng thêm nguyên liệu và khai báo đúng tên, đơn vị, ngưỡng cảnh báo. Nguyên liệu đã có công thức hoặc lịch sử phải giữ đơn vị gốc.</w:t>
      </w:r>
    </w:p>
    <w:p>
      <w:pPr>
        <w:spacing w:after="100"/>
        <w:ind w:left="312" w:hanging="312"/>
      </w:pPr>
      <w:r>
        <w:t>3. Chọn Nhập kho tại nguyên liệu cần nhập. Điền số lượng, đơn vị nhập và thông tin của biểu mẫu rồi xác nhận; hệ thống cập nhật tồn và lưu nhật ký.</w:t>
      </w:r>
    </w:p>
    <w:p>
      <w:pPr>
        <w:spacing w:after="100"/>
        <w:ind w:left="312" w:hanging="312"/>
      </w:pPr>
      <w:r>
        <w:t>4. Mở tab định lượng để thêm công thức cho món hoặc topping. Chọn đúng đối tượng, nguyên liệu và lượng cần cho một phần; chỉ đánh dấu không theo dõi kho khi cửa hàng thực sự không quản lý nguyên liệu đó.</w:t>
      </w:r>
    </w:p>
    <w:p>
      <w:pPr>
        <w:spacing w:after="100"/>
        <w:ind w:left="312" w:hanging="312"/>
      </w:pPr>
      <w:r>
        <w:t>5. Kiểm tra tab Lịch sử, các đơn đang giữ và tab sự cố để xác nhận thay đổi. Nhập g hoặc ml có thể quy đổi sang kg hoặc l theo quy tắc hỗ trợ; không tự đổi thể tích sang khối lượng.</w:t>
      </w:r>
    </w:p>
    <w:p>
      <w:pPr>
        <w:pStyle w:val="Heading2"/>
      </w:pPr>
      <w:r>
        <w:t>Kho thay đổi cùng vòng đời đơn</w:t>
      </w:r>
    </w:p>
    <w:tbl>
      <w:tblPr>
        <w:tblW w:type="auto" w:w="0"/>
        <w:jc w:val="center"/>
        <w:tblLayout w:type="fixed"/>
        <w:tblLook w:firstColumn="1" w:firstRow="1" w:lastColumn="0" w:lastRow="0" w:noHBand="0" w:noVBand="1" w:val="04A0"/>
      </w:tblPr>
      <w:tblGrid>
        <w:gridCol w:w="3288"/>
        <w:gridCol w:w="6350"/>
      </w:tblGrid>
      <w:tr>
        <w:trPr>
          <w:cantSplit/>
          <w:tblHeader/>
        </w:trPr>
        <w:tc>
          <w:tcPr>
            <w:tcW w:type="dxa" w:w="32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Mốc nghiệp vụ</w:t>
            </w:r>
          </w:p>
        </w:tc>
        <w:tc>
          <w:tcPr>
            <w:tcW w:type="dxa" w:w="635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Tác động đến kho</w:t>
            </w:r>
          </w:p>
        </w:tc>
      </w:tr>
      <w:tr>
        <w:trPr>
          <w:cantSplit/>
        </w:trPr>
        <w:tc>
          <w:tcPr>
            <w:tcW w:type="dxa" w:w="32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Đặt đơn hợp lệ</w:t>
            </w:r>
          </w:p>
        </w:tc>
        <w:tc>
          <w:tcPr>
            <w:tcW w:type="dxa" w:w="635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Giữ lượng nguyên liệu theo định lượng đã chụp; giảm khả dụng, chưa giảm tồn sổ. Mặc định giữ 15 phút.</w:t>
            </w:r>
          </w:p>
        </w:tc>
      </w:tr>
      <w:tr>
        <w:trPr>
          <w:cantSplit/>
        </w:trPr>
        <w:tc>
          <w:tcPr>
            <w:tcW w:type="dxa" w:w="32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Thanh toán thành công</w:t>
            </w:r>
          </w:p>
        </w:tc>
        <w:tc>
          <w:tcPr>
            <w:tcW w:type="dxa" w:w="635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Chuyển giữ sang xuất kho. Cơ chế PAID xử lý một lần; callback lặp không trừ kho lại.</w:t>
            </w:r>
          </w:p>
        </w:tc>
      </w:tr>
      <w:tr>
        <w:trPr>
          <w:cantSplit/>
        </w:trPr>
        <w:tc>
          <w:tcPr>
            <w:tcW w:type="dxa" w:w="32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Chưa thanh toán rồi hủy hoặc hết hạn</w:t>
            </w:r>
          </w:p>
        </w:tc>
        <w:tc>
          <w:tcPr>
            <w:tcW w:type="dxa" w:w="635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Giải phóng lượng đang giữ. Không ghi thêm một phiếu nhập cho phần chưa từng xuất.</w:t>
            </w:r>
          </w:p>
        </w:tc>
      </w:tr>
      <w:tr>
        <w:trPr>
          <w:cantSplit/>
        </w:trPr>
        <w:tc>
          <w:tcPr>
            <w:tcW w:type="dxa" w:w="32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Đã xuất nhưng còn nguyên liệu chưa dùng</w:t>
            </w:r>
          </w:p>
        </w:tc>
        <w:tc>
          <w:tcPr>
            <w:tcW w:type="dxa" w:w="635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Quản lý kiểm tra thực tế rồi ghi hoàn nguyên liệu; phần đã chế biến hoặc hỏng phải theo dõi hao hụt.</w:t>
            </w:r>
          </w:p>
        </w:tc>
      </w:tr>
    </w:tbl>
    <w:p>
      <w:pPr>
        <w:spacing w:after="20"/>
      </w:pPr>
      <w:r/>
    </w:p>
    <w:p>
      <w:pPr>
        <w:pStyle w:val="Heading2"/>
      </w:pPr>
      <w:r>
        <w:t>Hoàn nguyên liệu và ghi nhận hao hụt</w:t>
      </w:r>
    </w:p>
    <w:p>
      <w:r>
        <w:t>Trong khu thao tác kho, chọn đơn có phiếu xuất, nguyên liệu, số lượng và bằng chứng. Dùng hoàn kho cho nguyên liệu đã xuất nhưng còn có thể sử dụng. Dùng hao hụt cho phần hỏng hoặc mất; lưu lý do để tra cứu. Hoàn tiền cho khách không tự chứng minh nguyên liệu có thể nhập lại kho.</w:t>
      </w:r>
    </w:p>
    <w:p>
      <w:r>
        <w:t>Khi kiểm kê thấp hơn lượng đã cam kết, xem các đơn liên quan, ghi kết quả xử lý sự cố rồi mới mở lại nguyên liệu. Nếu báo thiếu công thức hoặc thiếu tồn, bổ sung công thức hoặc nhập kho thực tế; không bỏ qua cảnh báo để nhận đơn vượt khả dụng.</w:t>
      </w:r>
    </w:p>
    <w:p>
      <w:r>
        <w:t>Kết quả cần thấy: số tồn, lượng giữ và lịch sử phù hợp thao tác thực tế; sửa công thức sau này không làm thay đổi lượng nguyên liệu của đơn đã giữ trước đó.</w:t>
      </w:r>
    </w:p>
    <w:p>
      <w:r>
        <w:br w:type="page"/>
      </w:r>
    </w:p>
    <w:p>
      <w:pPr>
        <w:pStyle w:val="Heading1"/>
      </w:pPr>
      <w:r>
        <w:t>3 Hướng dẫn thao tác giao hàng</w:t>
      </w:r>
    </w:p>
    <w:p>
      <w:pPr>
        <w:spacing w:after="80"/>
      </w:pPr>
      <w:r>
        <w:rPr>
          <w:b/>
        </w:rPr>
        <w:t xml:space="preserve">Khách đặt giao hàng </w:t>
      </w:r>
      <w:hyperlink r:id="rId14">
        <w:r>
          <w:rPr>
            <w:color w:val="0563C1"/>
            <w:u w:val="single"/>
          </w:rPr>
          <w:t>/thuc-don/</w:t>
        </w:r>
      </w:hyperlink>
    </w:p>
    <w:p>
      <w:pPr>
        <w:spacing w:after="80"/>
      </w:pPr>
      <w:r>
        <w:rPr>
          <w:b/>
        </w:rPr>
        <w:t xml:space="preserve">Sổ địa chỉ </w:t>
      </w:r>
      <w:hyperlink r:id="rId18">
        <w:r>
          <w:rPr>
            <w:color w:val="0563C1"/>
            <w:u w:val="single"/>
          </w:rPr>
          <w:t>/tai-khoan/?tab=addresses</w:t>
        </w:r>
      </w:hyperlink>
    </w:p>
    <w:p>
      <w:pPr>
        <w:spacing w:after="80"/>
      </w:pPr>
      <w:r>
        <w:rPr>
          <w:b/>
        </w:rPr>
        <w:t xml:space="preserve">Thu ngân và quản lý điều phối </w:t>
      </w:r>
      <w:hyperlink r:id="rId19">
        <w:r>
          <w:rPr>
            <w:color w:val="0563C1"/>
            <w:u w:val="single"/>
          </w:rPr>
          <w:t>/thu-ngan/giao-nhan/</w:t>
        </w:r>
      </w:hyperlink>
    </w:p>
    <w:p>
      <w:pPr>
        <w:pStyle w:val="Heading2"/>
      </w:pPr>
      <w:r>
        <w:t>Khách hàng chọn nơi nhận món</w:t>
      </w:r>
    </w:p>
    <w:p>
      <w:pPr>
        <w:spacing w:after="100"/>
        <w:ind w:left="312" w:hanging="312"/>
      </w:pPr>
      <w:r>
        <w:t>1. Trong giỏ, chọn hình thức Giao hàng và một địa chỉ đã lưu hoặc nhập địa chỉ mới. Kiểm tra tên người nhận, số điện thoại, địa chỉ chi tiết và ghi chú.</w:t>
      </w:r>
    </w:p>
    <w:p>
      <w:pPr>
        <w:spacing w:after="100"/>
        <w:ind w:left="312" w:hanging="312"/>
      </w:pPr>
      <w:r>
        <w:t>2. Xác định vị trí bằng GPS, ghim bản đồ hoặc nhập đủ vĩ độ và kinh độ. Nếu không cấp quyền GPS, dùng cách còn lại. Chỉ nhập địa chỉ chữ chưa đủ để hệ thống xác định quãng đường.</w:t>
      </w:r>
    </w:p>
    <w:p>
      <w:pPr>
        <w:spacing w:after="100"/>
        <w:ind w:left="312" w:hanging="312"/>
      </w:pPr>
      <w:r>
        <w:t>3. Chờ máy chủ tính khoảng cách, phí và ưu đãi giao hàng. Nếu ngoài phạm vi phục vụ hoặc vị trí thiếu, chỉnh lại địa chỉ trước khi đặt; số phí dự tính không được dùng để vượt kiểm tra này.</w:t>
      </w:r>
    </w:p>
    <w:p>
      <w:pPr>
        <w:spacing w:after="100"/>
        <w:ind w:left="312" w:hanging="312"/>
      </w:pPr>
      <w:r>
        <w:t>4. Xác nhận và thanh toán đơn. Chi tiết đơn giữ bản chụp người nhận, vị trí và mức phí; sửa địa chỉ trong tài khoản về sau không đổi địa chỉ của đơn đã tạo.</w:t>
      </w:r>
    </w:p>
    <w:p>
      <w:pPr>
        <w:pStyle w:val="Heading2"/>
      </w:pPr>
      <w:r>
        <w:t>Nhân viên cập nhật từng lượt giao</w:t>
      </w:r>
    </w:p>
    <w:p>
      <w:pPr>
        <w:spacing w:after="100"/>
        <w:ind w:left="312" w:hanging="312"/>
      </w:pPr>
      <w:r>
        <w:t>1. Mở Giao hàng, tìm mã đơn hoặc người nhận; lọc Chờ bàn giao, Đang giao, Sự cố hoặc Hoàn tất. Danh sách vận hành có các đơn giao đã thanh toán và tới bước đủ điều kiện.</w:t>
      </w:r>
    </w:p>
    <w:p>
      <w:pPr>
        <w:spacing w:after="100"/>
        <w:ind w:left="312" w:hanging="312"/>
      </w:pPr>
      <w:r>
        <w:t>2. Khi món sẵn sàng, mở Cập nhật giao nhận, chọn Bàn giao cho người giao. Nhập thông tin người giao và bằng chứng bàn giao, rồi lưu cập nhật.</w:t>
      </w:r>
    </w:p>
    <w:p>
      <w:pPr>
        <w:spacing w:after="100"/>
        <w:ind w:left="312" w:hanging="312"/>
      </w:pPr>
      <w:r>
        <w:t>3. Sau khi người nhận thực sự nhận món, chọn Người nhận đã nhận món và ghi bằng chứng. Đơn chuyển COMPLETED; lúc này mới kích hoạt hoàn tất và tích điểm.</w:t>
      </w:r>
    </w:p>
    <w:p>
      <w:pPr>
        <w:spacing w:after="100"/>
        <w:ind w:left="312" w:hanging="312"/>
      </w:pPr>
      <w:r>
        <w:t>4. Nếu không giao được, chọn Ghi nhận giao thất bại kèm lý do. Khi điều phối lại, dùng Tạo lượt giao lại; nếu món đã về quán, ghi Đã mang về cửa hàng. Kiểm tra Lịch sử lượt giao để biết từng lần xử lý.</w:t>
      </w:r>
    </w:p>
    <w:p>
      <w:pPr>
        <w:pStyle w:val="Heading2"/>
      </w:pPr>
      <w:r>
        <w:t>Quyền lợi freeship mặc định</w:t>
      </w:r>
    </w:p>
    <w:tbl>
      <w:tblPr>
        <w:tblW w:type="auto" w:w="0"/>
        <w:jc w:val="center"/>
        <w:tblLayout w:type="fixed"/>
        <w:tblLook w:firstColumn="1" w:firstRow="1" w:lastColumn="0" w:lastRow="0" w:noHBand="0" w:noVBand="1" w:val="04A0"/>
      </w:tblPr>
      <w:tblGrid>
        <w:gridCol w:w="1984"/>
        <w:gridCol w:w="3628"/>
        <w:gridCol w:w="4025"/>
      </w:tblGrid>
      <w:tr>
        <w:trPr>
          <w:cantSplit/>
          <w:tblHeader/>
        </w:trPr>
        <w:tc>
          <w:tcPr>
            <w:tcW w:type="dxa" w:w="1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Hạng</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Giao gần đến 5 km</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Mã freeship hằng tháng</w:t>
            </w:r>
          </w:p>
        </w:tc>
      </w:tr>
      <w:tr>
        <w:trPr>
          <w:cantSplit/>
        </w:trPr>
        <w:tc>
          <w:tcPr>
            <w:tcW w:type="dxa" w:w="1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Bạc</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Theo voucher phù hợp</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2 mã</w:t>
            </w:r>
          </w:p>
        </w:tc>
      </w:tr>
      <w:tr>
        <w:trPr>
          <w:cantSplit/>
        </w:trPr>
        <w:tc>
          <w:tcPr>
            <w:tcW w:type="dxa" w:w="1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Vàng</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Tự động miễn phí giao</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3 mã cho khoảng cách trên 5 km</w:t>
            </w:r>
          </w:p>
        </w:tc>
      </w:tr>
      <w:tr>
        <w:trPr>
          <w:cantSplit/>
        </w:trPr>
        <w:tc>
          <w:tcPr>
            <w:tcW w:type="dxa" w:w="1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Kim Cương</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Tự động miễn phí giao</w:t>
            </w:r>
          </w:p>
        </w:tc>
        <w:tc>
          <w:tcPr>
            <w:tcW w:type="dxa" w:w="402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10 mã cho khoảng cách trên 5 km</w:t>
            </w:r>
          </w:p>
        </w:tc>
      </w:tr>
    </w:tbl>
    <w:p>
      <w:pPr>
        <w:spacing w:after="20"/>
      </w:pPr>
      <w:r/>
    </w:p>
    <w:p>
      <w:r>
        <w:t>Đúng 5 km thuộc vùng gần theo mặc định triển khai. Phân loại dựa trên khoảng cách gốc của máy chủ, không dựa vào số đã làm tròn trên màn hình. Điều kiện và hạn cụ thể của từng voucher nằm trong ví; nâng hạng trong tháng chỉ phát bù tới quyền lợi hạng mới.</w:t>
      </w:r>
    </w:p>
    <w:p>
      <w:r>
        <w:t>Bàn giao không đồng nghĩa giao thành công. Giao thất bại chưa tự hủy hoặc hoàn tiền; dùng hỗ trợ đơn khi cần xử lý tiếp. Hệ thống chưa có bản đồ GPS trực tiếp của tài xế.</w:t>
      </w:r>
    </w:p>
    <w:p>
      <w:r>
        <w:br w:type="page"/>
      </w:r>
    </w:p>
    <w:p>
      <w:pPr>
        <w:pStyle w:val="Heading1"/>
      </w:pPr>
      <w:r>
        <w:t>4 Trợ lý và gợi ý sản phẩm</w:t>
      </w:r>
    </w:p>
    <w:p>
      <w:pPr>
        <w:spacing w:after="80"/>
      </w:pPr>
      <w:r>
        <w:rPr>
          <w:b/>
        </w:rPr>
        <w:t xml:space="preserve">Mở thực đơn và trợ lý </w:t>
      </w:r>
      <w:hyperlink r:id="rId14">
        <w:r>
          <w:rPr>
            <w:color w:val="0563C1"/>
            <w:u w:val="single"/>
          </w:rPr>
          <w:t>/thuc-don/</w:t>
        </w:r>
      </w:hyperlink>
    </w:p>
    <w:p>
      <w:r>
        <w:t>Vai trò: khách vãng lai và tài khoản khách hàng. Nhấn nút nổi Trợ lý AI trên không gian khách hàng để mở panel hội thoại. Trên điện thoại, panel mở toàn màn hình; không cần tìm một trang chat riêng.</w:t>
      </w:r>
    </w:p>
    <w:p>
      <w:pPr>
        <w:pStyle w:val="Heading2"/>
      </w:pPr>
      <w:r>
        <w:t>Gợi ý theo ngân sách</w:t>
      </w:r>
    </w:p>
    <w:p>
      <w:pPr>
        <w:spacing w:after="100"/>
        <w:ind w:left="312" w:hanging="312"/>
      </w:pPr>
      <w:r>
        <w:t>1. Nhấn Trợ lý AI và chọn câu hỏi gợi ý, chẳng hạn Chọn theo ngân sách hoặc Món còn phục vụ. Có thể nhập trực tiếp: “Gợi ý phở cho 2 người trong 150.000đ”.</w:t>
      </w:r>
    </w:p>
    <w:p>
      <w:pPr>
        <w:spacing w:after="100"/>
        <w:ind w:left="312" w:hanging="312"/>
      </w:pPr>
      <w:r>
        <w:t>2. Mở Ngân sách và số người để chỉnh nhu cầu. Hệ thống nhận từ 1 đến 8 người và ngân sách tiền món từ 1.000đ đến 10.000.000đ; câu hỏi tối đa 1.000 ký tự.</w:t>
      </w:r>
    </w:p>
    <w:p>
      <w:pPr>
        <w:spacing w:after="100"/>
        <w:ind w:left="312" w:hanging="312"/>
      </w:pPr>
      <w:r>
        <w:t>3. Nếu đã đăng nhập và muốn tham khảo món từng mua, chủ động bật lựa chọn dùng lịch sử. Mặc định không dùng lịch sử; khi bật chỉ đọc các đơn hoàn tất của chính tài khoản.</w:t>
      </w:r>
    </w:p>
    <w:p>
      <w:pPr>
        <w:spacing w:after="100"/>
        <w:ind w:left="312" w:hanging="312"/>
      </w:pPr>
      <w:r>
        <w:t>4. Đọc phản hồi và thẻ món: tên, giá hiện tại, số phần, tổng dự tính và thời điểm kiểm tra dữ liệu. Trợ lý kiểm tra cả nguyên liệu dùng chung giữa các món.</w:t>
      </w:r>
    </w:p>
    <w:p>
      <w:pPr>
        <w:spacing w:after="100"/>
        <w:ind w:left="312" w:hanging="312"/>
      </w:pPr>
      <w:r>
        <w:t>5. Nhấn Chọn món để mở bước tùy chỉnh thông thường. Chọn topping hoặc khẩu vị, xác nhận thêm món; sau đó Mở giỏ để xem phí giao và số phải trả.</w:t>
      </w:r>
    </w:p>
    <w:p>
      <w:pPr>
        <w:spacing w:after="100"/>
        <w:ind w:left="312" w:hanging="312"/>
      </w:pPr>
      <w:r>
        <w:t>6. Nếu không có lựa chọn phù hợp, tăng ngân sách, giảm số người hoặc xem thực đơn. Khi mất kết nối, dùng Thử lại; chọn Hội thoại mới khi muốn xóa cuộc trao đổi đang mở.</w:t>
      </w:r>
    </w:p>
    <w:p>
      <w:pPr>
        <w:pStyle w:val="Heading2"/>
      </w:pPr>
      <w:r>
        <w:t>Các nội dung có thể hỏi</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Nhu cầu</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Phản hồi và hành động tiếp theo</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Chọn món hoặc đồ uống</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Đề xuất từ danh mục đang hoạt động, giá và lượng còn phục vụ. Tổng gợi ý chỉ tính tiền món, chưa gồm topping và phí giao.</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Voucher hoặc khuyến mãi</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Giải thích cách dùng một mã, ưu đãi hạng và điểm; cung cấp liên kết tới ví hoặc đăng nhập.</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Quyền lợi hoặc tích điểm</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Giải thích hạng, nguồn tích điểm và miễn phí giao; dẫn tới khu Thành viên và điểm.</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Hủy đơn hoặc hoàn tiền</w:t>
            </w:r>
          </w:p>
        </w:tc>
        <w:tc>
          <w:tcPr>
            <w:tcW w:type="dxa" w:w="680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Hướng dẫn mở đúng đơn và Yêu cầu hỗ trợ. Việc xử lý do nghiệp vụ hỗ trợ và nhân viên thực hiện.</w:t>
            </w:r>
          </w:p>
        </w:tc>
      </w:tr>
    </w:tbl>
    <w:p>
      <w:pPr>
        <w:spacing w:after="20"/>
      </w:pPr>
      <w:r/>
    </w:p>
    <w:p>
      <w:pPr>
        <w:pStyle w:val="Heading2"/>
      </w:pPr>
      <w:r>
        <w:t>Giới hạn cần biết</w:t>
      </w:r>
    </w:p>
    <w:p>
      <w:r>
        <w:t>Trợ lý hiện hoạt động ở chế độ gợi ý theo quy tắc từ dữ liệu Phở Nhà, chưa kết nối mô hình AI bên ngoài. Câu hỏi ngoài nhóm hỗ trợ có thể được hướng dẫn về thực đơn, voucher hoặc thành viên. Hội thoại không lưu trong localStorage.</w:t>
      </w:r>
    </w:p>
    <w:p>
      <w:r>
        <w:t>Gợi ý chưa giữ món hay chốt giá. Máy chủ vẫn kiểm tra lại khi đặt. Trợ lý không tự tạo đơn, áp mã, dùng điểm, gửi yêu cầu hoàn hoặc xác nhận chuyển tiền. Thông tin dị ứng chưa được cửa hàng xác nhận phải hỏi trực tiếp cửa hàng trước khi chọn món.</w:t>
      </w:r>
    </w:p>
    <w:p>
      <w:r>
        <w:t>Đường dẫn /tro-ly/goi-y/ là API POST phục vụ panel, không phải trang để mở trực tiếp bằng thanh địa chỉ trình duyệt.</w:t>
      </w:r>
    </w:p>
    <w:p>
      <w:r>
        <w:br w:type="page"/>
      </w:r>
    </w:p>
    <w:p>
      <w:pPr>
        <w:pStyle w:val="Heading1"/>
      </w:pPr>
      <w:r>
        <w:t>5 Tài khoản và sổ địa chỉ</w:t>
      </w:r>
    </w:p>
    <w:p>
      <w:pPr>
        <w:spacing w:after="80"/>
      </w:pPr>
      <w:r>
        <w:rPr>
          <w:b/>
        </w:rPr>
        <w:t xml:space="preserve">Hồ sơ cá nhân </w:t>
      </w:r>
      <w:hyperlink r:id="rId20">
        <w:r>
          <w:rPr>
            <w:color w:val="0563C1"/>
            <w:u w:val="single"/>
          </w:rPr>
          <w:t>/tai-khoan/?tab=profile</w:t>
        </w:r>
      </w:hyperlink>
    </w:p>
    <w:p>
      <w:pPr>
        <w:spacing w:after="80"/>
      </w:pPr>
      <w:r>
        <w:rPr>
          <w:b/>
        </w:rPr>
        <w:t xml:space="preserve">Sổ địa chỉ </w:t>
      </w:r>
      <w:hyperlink r:id="rId18">
        <w:r>
          <w:rPr>
            <w:color w:val="0563C1"/>
            <w:u w:val="single"/>
          </w:rPr>
          <w:t>/tai-khoan/?tab=addresses</w:t>
        </w:r>
      </w:hyperlink>
    </w:p>
    <w:p>
      <w:pPr>
        <w:spacing w:after="80"/>
      </w:pPr>
      <w:r>
        <w:rPr>
          <w:b/>
        </w:rPr>
        <w:t xml:space="preserve">Thêm địa chỉ </w:t>
      </w:r>
      <w:hyperlink r:id="rId21">
        <w:r>
          <w:rPr>
            <w:color w:val="0563C1"/>
            <w:u w:val="single"/>
          </w:rPr>
          <w:t>/tai-khoan/dia-chi/them/</w:t>
        </w:r>
      </w:hyperlink>
    </w:p>
    <w:p>
      <w:pPr>
        <w:spacing w:after="80"/>
      </w:pPr>
      <w:r>
        <w:rPr>
          <w:b/>
        </w:rPr>
        <w:t xml:space="preserve">Thêm tài khoản trên trình duyệt </w:t>
      </w:r>
      <w:hyperlink r:id="rId22">
        <w:r>
          <w:rPr>
            <w:color w:val="0563C1"/>
            <w:u w:val="single"/>
          </w:rPr>
          <w:t>/dang-nhap/?switch=1</w:t>
        </w:r>
      </w:hyperlink>
    </w:p>
    <w:p>
      <w:pPr>
        <w:pStyle w:val="Heading2"/>
      </w:pPr>
      <w:r>
        <w:t>Lưu hồ sơ và đổi mật khẩu</w:t>
      </w:r>
    </w:p>
    <w:p>
      <w:pPr>
        <w:spacing w:after="100"/>
        <w:ind w:left="312" w:hanging="312"/>
      </w:pPr>
      <w:r>
        <w:t>1. Đăng nhập và mở Hồ sơ cá nhân. Kiểm tra họ tên, điện thoại, email, ngày sinh và giới tính, sửa các trường cần thay đổi rồi lưu hồ sơ.</w:t>
      </w:r>
    </w:p>
    <w:p>
      <w:pPr>
        <w:spacing w:after="100"/>
        <w:ind w:left="312" w:hanging="312"/>
      </w:pPr>
      <w:r>
        <w:t>2. Chọn ảnh JPG, PNG hoặc WEBP tối đa 5 MB, xem trước ảnh rồi lưu. Nếu tệp không hợp lệ, chọn ảnh khác theo thông báo. Ngày sinh không được ở tương lai.</w:t>
      </w:r>
    </w:p>
    <w:p>
      <w:pPr>
        <w:spacing w:after="100"/>
        <w:ind w:left="312" w:hanging="312"/>
      </w:pPr>
      <w:r>
        <w:t>3. Tại khu đổi mật khẩu, nhập mật khẩu hiện tại, mật khẩu mới và xác nhận. Sau khi đổi thành công, các phiên cũ của tài khoản đó bị thu hồi.</w:t>
      </w:r>
    </w:p>
    <w:p>
      <w:pPr>
        <w:pStyle w:val="Heading2"/>
      </w:pPr>
      <w:r>
        <w:t>Thêm và sử dụng địa chỉ nhận món</w:t>
      </w:r>
    </w:p>
    <w:p>
      <w:pPr>
        <w:spacing w:after="100"/>
        <w:ind w:left="312" w:hanging="312"/>
      </w:pPr>
      <w:r>
        <w:t>1. Mở Sổ địa chỉ rồi thêm địa chỉ. Nhập người nhận, số điện thoại, số nhà và đường, phường hoặc xã, tỉnh hoặc thành phố; quận hoặc huyện điền nếu có. Chọn nhãn và thêm ghi chú.</w:t>
      </w:r>
    </w:p>
    <w:p>
      <w:pPr>
        <w:spacing w:after="100"/>
        <w:ind w:left="312" w:hanging="312"/>
      </w:pPr>
      <w:r>
        <w:t>2. Lưu vị trí bằng GPS, ghim bản đồ hoặc nhập đủ cặp vĩ độ và kinh độ. Có thể lưu địa chỉ chưa có vị trí, nhưng cần cập nhật vị trí trước khi tính phí giao hoặc đặt giao hàng.</w:t>
      </w:r>
    </w:p>
    <w:p>
      <w:pPr>
        <w:spacing w:after="100"/>
        <w:ind w:left="312" w:hanging="312"/>
      </w:pPr>
      <w:r>
        <w:t>3. Đánh dấu mặc định nếu muốn giỏ chọn sẵn địa chỉ đó. Mỗi tài khoản chỉ có một địa chỉ mặc định; khi có nhiều địa chỉ, phải chọn mặc định khác trước khi xóa địa chỉ đang mặc định.</w:t>
      </w:r>
    </w:p>
    <w:p>
      <w:pPr>
        <w:spacing w:after="100"/>
        <w:ind w:left="312" w:hanging="312"/>
      </w:pPr>
      <w:r>
        <w:t>4. Chọn Xem phí giao để so sánh mức phí theo vị trí đã lưu. Dùng liên kết đặt món ở khu so sánh để chuyển sang giỏ với địa chỉ đã chọn; kiểm tra lại báo giá trước khi xác nhận.</w:t>
      </w:r>
    </w:p>
    <w:p>
      <w:pPr>
        <w:pStyle w:val="Heading2"/>
      </w:pPr>
      <w:r>
        <w:t>Chuyển nhanh giữa các tài khoản</w:t>
      </w:r>
    </w:p>
    <w:p>
      <w:r>
        <w:t>Mở menu tài khoản ở đầu trang, thêm tài khoản bằng màn hình đăng nhập hoặc chọn một phiên đã xác thực còn hạn. Mật khẩu không được lưu để tự chuyển; thời hạn phiên lưu mặc định là 7 ngày từ lần xác thực mật khẩu. Đăng xuất kết thúc phiên tài khoản đang dùng.</w:t>
      </w:r>
    </w:p>
    <w:p>
      <w:r>
        <w:t>Các tab trình duyệt dùng chung tài khoản đang hoạt động. Sau khi chuyển, tải lại tab cũ trước khi tiếp tục; hệ thống chặn biểu mẫu gửi từ ngữ cảnh tài khoản cũ. Giỏ và dữ liệu theo quyền tài khoản đang chọn; việc chuyển tài khoản không cấp quyền xem đơn của người khác.</w:t>
      </w:r>
    </w:p>
    <w:p>
      <w:pPr>
        <w:pStyle w:val="Heading2"/>
      </w:pPr>
      <w:r>
        <w:t>Kiểm tra sau khi lưu</w:t>
      </w:r>
    </w:p>
    <w:p>
      <w:r>
        <w:t>Mở lại tab vừa sửa để xác nhận thông tin, ảnh hoặc địa chỉ mặc định đã đúng. Nếu báo dữ liệu đã thay đổi trên tab khác, tải lại rồi sửa trên bản mới. Địa chỉ trên đơn đã đặt được giữ nguyên dù sổ địa chỉ được cập nhật về sau.</w:t>
      </w:r>
    </w:p>
    <w:p>
      <w:r>
        <w:br w:type="page"/>
      </w:r>
    </w:p>
    <w:p>
      <w:pPr>
        <w:pStyle w:val="Heading1"/>
      </w:pPr>
      <w:r>
        <w:t>5 Khách hàng thân thiết và tích điểm</w:t>
      </w:r>
    </w:p>
    <w:p>
      <w:pPr>
        <w:spacing w:after="80"/>
      </w:pPr>
      <w:r>
        <w:rPr>
          <w:b/>
        </w:rPr>
        <w:t xml:space="preserve">Quyền lợi và tích điểm </w:t>
      </w:r>
      <w:hyperlink r:id="rId23">
        <w:r>
          <w:rPr>
            <w:color w:val="0563C1"/>
            <w:u w:val="single"/>
          </w:rPr>
          <w:t>/tai-khoan/?tab=membership</w:t>
        </w:r>
      </w:hyperlink>
    </w:p>
    <w:p>
      <w:pPr>
        <w:spacing w:after="80"/>
      </w:pPr>
      <w:r>
        <w:rPr>
          <w:b/>
        </w:rPr>
        <w:t xml:space="preserve">Đổi điểm lấy voucher </w:t>
      </w:r>
      <w:hyperlink r:id="rId24">
        <w:r>
          <w:rPr>
            <w:color w:val="0563C1"/>
            <w:u w:val="single"/>
          </w:rPr>
          <w:t>/tai-khoan/?tab=membership&amp;member=rewards</w:t>
        </w:r>
      </w:hyperlink>
    </w:p>
    <w:p>
      <w:pPr>
        <w:spacing w:after="80"/>
      </w:pPr>
      <w:r>
        <w:rPr>
          <w:b/>
        </w:rPr>
        <w:t xml:space="preserve">Lịch sử điểm </w:t>
      </w:r>
      <w:hyperlink r:id="rId25">
        <w:r>
          <w:rPr>
            <w:color w:val="0563C1"/>
            <w:u w:val="single"/>
          </w:rPr>
          <w:t>/tai-khoan/?tab=membership&amp;member=history</w:t>
        </w:r>
      </w:hyperlink>
    </w:p>
    <w:p>
      <w:pPr>
        <w:pStyle w:val="Heading2"/>
      </w:pPr>
      <w:r>
        <w:t>Theo dõi hạng và quyền lợi</w:t>
      </w:r>
    </w:p>
    <w:p>
      <w:r>
        <w:t>Thẻ thành viên hiển thị riêng tổng chi tiêu xét hạng và điểm khả dụng. Dùng điểm không giảm chi tiêu; hoàn tiền có thể điều chỉnh tích lũy. Xem số tiền và số đánh giá tốt còn thiếu để lên hạng.</w:t>
      </w:r>
    </w:p>
    <w:tbl>
      <w:tblPr>
        <w:tblW w:type="auto" w:w="0"/>
        <w:jc w:val="center"/>
        <w:tblLayout w:type="fixed"/>
        <w:tblLook w:firstColumn="1" w:firstRow="1" w:lastColumn="0" w:lastRow="0" w:noHBand="0" w:noVBand="1" w:val="04A0"/>
      </w:tblPr>
      <w:tblGrid>
        <w:gridCol w:w="1871"/>
        <w:gridCol w:w="2268"/>
        <w:gridCol w:w="2041"/>
        <w:gridCol w:w="3458"/>
      </w:tblGrid>
      <w:tr>
        <w:trPr>
          <w:cantSplit/>
          <w:tblHeader/>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Hạng</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Chi tiêu từ</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Giảm tiền món</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84A"/>
          </w:tcPr>
          <w:p>
            <w:pPr>
              <w:spacing w:after="20" w:line="252" w:lineRule="auto"/>
            </w:pPr>
            <w:r>
              <w:rPr>
                <w:b/>
                <w:color w:val="FFFFFF"/>
                <w:sz w:val="20"/>
              </w:rPr>
              <w:t>Giá trị gói lên hạng tối đa</w:t>
            </w:r>
          </w:p>
        </w:tc>
      </w:tr>
      <w:tr>
        <w:trPr>
          <w:cantSplit/>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Thành viên</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0đ</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0%</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Không có gói</w:t>
            </w:r>
          </w:p>
        </w:tc>
      </w:tr>
      <w:tr>
        <w:trPr>
          <w:cantSplit/>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Đồng</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500.000đ</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2%</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100.000đ</w:t>
            </w:r>
          </w:p>
        </w:tc>
      </w:tr>
      <w:tr>
        <w:trPr>
          <w:cantSplit/>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Bạc</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2.000.000đ</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5%</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300.000đ</w:t>
            </w:r>
          </w:p>
        </w:tc>
      </w:tr>
      <w:tr>
        <w:trPr>
          <w:cantSplit/>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Vàng</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5.000.000đ</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7%</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20" w:line="252" w:lineRule="auto"/>
            </w:pPr>
            <w:r>
              <w:rPr>
                <w:sz w:val="20"/>
              </w:rPr>
              <w:t>400.000đ</w:t>
            </w:r>
          </w:p>
        </w:tc>
      </w:tr>
      <w:tr>
        <w:trPr>
          <w:cantSplit/>
        </w:trPr>
        <w:tc>
          <w:tcPr>
            <w:tcW w:type="dxa" w:w="187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Kim Cương</w:t>
            </w:r>
          </w:p>
        </w:tc>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12.000.000đ</w:t>
            </w:r>
          </w:p>
        </w:tc>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10%</w:t>
            </w:r>
          </w:p>
        </w:tc>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sz w:val="20"/>
              </w:rPr>
              <w:t>950.000đ</w:t>
            </w:r>
          </w:p>
        </w:tc>
      </w:tr>
    </w:tbl>
    <w:p>
      <w:pPr>
        <w:spacing w:after="20"/>
      </w:pPr>
      <w:r/>
    </w:p>
    <w:p>
      <w:r>
        <w:t>Bảng là cấu hình mặc định. Từ Đồng cần 2 đánh giá tốt trên các đơn hoàn tất đủ điều kiện: từ 4 sao, ít nhất 20 ký tự và đã xuất bản; mỗi đơn tính tối đa một đánh giá tốt. Gói lên hạng là voucher có điều kiện, không phải tiền mặt; không phát lại cùng gói khi quay về hạng cũ.</w:t>
      </w:r>
    </w:p>
    <w:p>
      <w:pPr>
        <w:pStyle w:val="Heading2"/>
      </w:pPr>
      <w:r>
        <w:t>Tích điểm từ hoạt động hợp lệ</w:t>
      </w:r>
    </w:p>
    <w:p>
      <w:pPr>
        <w:pStyle w:val="ListBullet"/>
      </w:pPr>
      <w:r>
        <w:t>Mua hàng: mỗi 10.000đ thực trả tiền món sau ưu đãi được 1 điểm khi đơn COMPLETED; làm tròn xuống theo đơn và không cộng trên phí giao.</w:t>
      </w:r>
    </w:p>
    <w:p>
      <w:pPr>
        <w:pStyle w:val="ListBullet"/>
      </w:pPr>
      <w:r>
        <w:t>Đánh giá đơn đủ điều kiện: mặc định 5 điểm, không phụ thuộc số sao. Tiêu chí đánh giá tốt để xét hạng được tính riêng.</w:t>
      </w:r>
    </w:p>
    <w:p>
      <w:pPr>
        <w:pStyle w:val="ListBullet"/>
      </w:pPr>
      <w:r>
        <w:t>Điểm danh hằng ngày: mặc định 1 điểm; ngày thứ bảy liên tiếp nhận gấp đôi mức ngày thường.</w:t>
      </w:r>
    </w:p>
    <w:p>
      <w:pPr>
        <w:pStyle w:val="ListBullet"/>
      </w:pPr>
      <w:r>
        <w:t>Giới thiệu: người mới nhập mã của bạn khi đăng ký tại /dang-ky/. Khi họ hoàn tất đơn đầu hợp lệ, cả hai mặc định nhận 50 điểm mỗi người.</w:t>
      </w:r>
    </w:p>
    <w:p>
      <w:pPr>
        <w:pStyle w:val="Heading2"/>
      </w:pPr>
      <w:r>
        <w:t>Đổi điểm lấy voucher và dùng tại giỏ</w:t>
      </w:r>
    </w:p>
    <w:p>
      <w:pPr>
        <w:spacing w:after="100"/>
        <w:ind w:left="312" w:hanging="312"/>
      </w:pPr>
      <w:r>
        <w:t>1. Trong Đổi điểm lấy voucher, xem chi phí điểm, giá trị, hạn và điều kiện quà. Nhấn Đổi voucher khi đủ điểm và không có điểm cần bù.</w:t>
      </w:r>
    </w:p>
    <w:p>
      <w:pPr>
        <w:spacing w:after="100"/>
        <w:ind w:left="312" w:hanging="312"/>
      </w:pPr>
      <w:r>
        <w:t>2. Kiểm tra điểm đã trừ và mã mới trong Ví voucher. Nhấn Sử dụng để đặt món theo phần 1. Số điểm đổi từng quà do quản lý cấu hình.</w:t>
      </w:r>
    </w:p>
    <w:p>
      <w:pPr>
        <w:spacing w:after="100"/>
        <w:ind w:left="312" w:hanging="312"/>
      </w:pPr>
      <w:r>
        <w:t>3. Hoặc dùng điểm trực tiếp tại giỏ: 1 điểm = 100đ, tối đa 50% số còn thanh toán. Mở Lịch sử điểm để xem tích, giữ, sử dụng, hoàn, hết hạn hoặc điều chỉnh.</w:t>
      </w:r>
    </w:p>
    <w:p>
      <w:r>
        <w:t>Điểm hết hạn sau 12 tháng, lô tích trước dùng trước; điểm đang giữ cho đơn chưa thể dùng lần nữa. Khi nguồn thưởng bị đảo, điểm cần bù có thể chặn đổi quà. Freeship xem phần 3; quà sinh nhật và hotline VIP cần cửa hàng cấu hình thông tin thật.</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127.0.0.1:8000/dang-nhap/" TargetMode="External"/><Relationship Id="rId11" Type="http://schemas.openxmlformats.org/officeDocument/2006/relationships/hyperlink" Target="http://127.0.0.1:8000/tai-khoan/?tab=wallet" TargetMode="External"/><Relationship Id="rId12" Type="http://schemas.openxmlformats.org/officeDocument/2006/relationships/hyperlink" Target="http://127.0.0.1:8000/tai-khoan/?tab=my-orders" TargetMode="External"/><Relationship Id="rId13" Type="http://schemas.openxmlformats.org/officeDocument/2006/relationships/hyperlink" Target="http://127.0.0.1:8000/quan-ly/ton-kho/" TargetMode="External"/><Relationship Id="rId14" Type="http://schemas.openxmlformats.org/officeDocument/2006/relationships/hyperlink" Target="http://127.0.0.1:8000/thuc-don/" TargetMode="External"/><Relationship Id="rId15" Type="http://schemas.openxmlformats.org/officeDocument/2006/relationships/hyperlink" Target="http://127.0.0.1:8000/tai-khoan/" TargetMode="External"/><Relationship Id="rId16" Type="http://schemas.openxmlformats.org/officeDocument/2006/relationships/hyperlink" Target="http://127.0.0.1:8000/quan-ly/khuyen-mai/" TargetMode="External"/><Relationship Id="rId17" Type="http://schemas.openxmlformats.org/officeDocument/2006/relationships/hyperlink" Target="http://127.0.0.1:8000/thu-ngan/ho-tro/" TargetMode="External"/><Relationship Id="rId18" Type="http://schemas.openxmlformats.org/officeDocument/2006/relationships/hyperlink" Target="http://127.0.0.1:8000/tai-khoan/?tab=addresses" TargetMode="External"/><Relationship Id="rId19" Type="http://schemas.openxmlformats.org/officeDocument/2006/relationships/hyperlink" Target="http://127.0.0.1:8000/thu-ngan/giao-nhan/" TargetMode="External"/><Relationship Id="rId20" Type="http://schemas.openxmlformats.org/officeDocument/2006/relationships/hyperlink" Target="http://127.0.0.1:8000/tai-khoan/?tab=profile" TargetMode="External"/><Relationship Id="rId21" Type="http://schemas.openxmlformats.org/officeDocument/2006/relationships/hyperlink" Target="http://127.0.0.1:8000/tai-khoan/dia-chi/them/" TargetMode="External"/><Relationship Id="rId22" Type="http://schemas.openxmlformats.org/officeDocument/2006/relationships/hyperlink" Target="http://127.0.0.1:8000/dang-nhap/?switch=1" TargetMode="External"/><Relationship Id="rId23" Type="http://schemas.openxmlformats.org/officeDocument/2006/relationships/hyperlink" Target="http://127.0.0.1:8000/tai-khoan/?tab=membership" TargetMode="External"/><Relationship Id="rId24" Type="http://schemas.openxmlformats.org/officeDocument/2006/relationships/hyperlink" Target="http://127.0.0.1:8000/tai-khoan/?tab=membership&amp;member=rewards" TargetMode="External"/><Relationship Id="rId25" Type="http://schemas.openxmlformats.org/officeDocument/2006/relationships/hyperlink" Target="http://127.0.0.1:8000/tai-khoan/?tab=membership&amp;member=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năm nhóm chức năng Phở Nhà</dc:title>
  <dc:subject>Đường dẫn truy cập và thao tác cho khách hàng, thu ngân và quản lý</dc:subject>
  <dc:creator>Phở Nhà</dc:creator>
  <cp:keywords>voucher, hoàn tiền, tồn kho, giao hàng, trợ lý, tài khoản, thành viên</cp:keywords>
  <dc:description>generated by python-docx</dc:description>
  <cp:lastModifiedBy/>
  <cp:revision>1</cp:revision>
  <dcterms:created xsi:type="dcterms:W3CDTF">2013-12-23T23:15:00Z</dcterms:created>
  <dcterms:modified xsi:type="dcterms:W3CDTF">2013-12-23T23:15:00Z</dcterms:modified>
  <cp:category/>
</cp:coreProperties>
</file>