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5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5ff1808313b79bd111be7703ca32846674bae8e"/>
    <w:p>
      <w:pPr>
        <w:pStyle w:val="Heading1"/>
      </w:pPr>
      <w:r>
        <w:t xml:space="preserve">Informe de Resolución Completa — Partes A y B: Complementos de Análisis Matemático y Estadística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Matemática IV — 2026</w:t>
      </w:r>
      <w:r>
        <w:br/>
      </w:r>
      <w:r>
        <w:rPr>
          <w:b/>
          <w:bCs/>
        </w:rPr>
        <w:t xml:space="preserve">Conjunto A:</w:t>
      </w:r>
      <w:r>
        <w:t xml:space="preserve"> </w:t>
      </w:r>
      <w:r>
        <w:t xml:space="preserve">Consumo eléctrico de una planta siderúrgica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Steel Industry Energy Consumption (UCI ML Repository)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25 de octubre de 2026</w:t>
      </w:r>
    </w:p>
    <w:p>
      <w:r>
        <w:pict>
          <v:rect style="width:0;height:1.5pt" o:hralign="center" o:hrstd="t" o:hr="t"/>
        </w:pict>
      </w:r>
    </w:p>
    <w:bookmarkStart w:id="9" w:name="introducción-y-planteo-general"/>
    <w:p>
      <w:pPr>
        <w:pStyle w:val="Heading2"/>
      </w:pPr>
      <w:r>
        <w:t xml:space="preserve">1. Introducción y Planteo General</w:t>
      </w:r>
    </w:p>
    <w:p>
      <w:pPr>
        <w:pStyle w:val="FirstParagraph"/>
      </w:pPr>
      <w:r>
        <w:t xml:space="preserve">Se analiza el consumo eléctrico de una planta siderúrgica (DAEWOO Steel Co. Ltd, Gwangyang, Corea del Sur) medido en intervalos de 15 minutos durante todo el año 2018. El dataset contiene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</m:t>
        </m:r>
        <m:r>
          <m:t> </m:t>
        </m:r>
        <m:r>
          <m:t>040</m:t>
        </m:r>
      </m:oMath>
      <w:r>
        <w:t xml:space="preserve"> </w:t>
      </w:r>
      <w:r>
        <w:t xml:space="preserve">observaciones y 11 variables.</w:t>
      </w:r>
    </w:p>
    <w:p>
      <w:pPr>
        <w:pStyle w:val="BodyText"/>
      </w:pPr>
      <w:r>
        <w:rPr>
          <w:b/>
          <w:bCs/>
        </w:rPr>
        <w:t xml:space="preserve">Validación del dataset:</w:t>
      </w:r>
      <w:r>
        <w:t xml:space="preserve"> </w:t>
      </w:r>
      <w:r>
        <w:t xml:space="preserve">- Filas: 35 040 ✓ | Columnas: 11 ✓ | Valores nulos: 0 ✓</w:t>
      </w:r>
      <w:r>
        <w:t xml:space="preserve"> </w:t>
      </w:r>
      <w:r>
        <w:t xml:space="preserve">- Rango NSM: [0, 85 500] segundos (00:00:00 a 23:45:00)</w:t>
      </w:r>
      <w:r>
        <w:t xml:space="preserve"> </w:t>
      </w:r>
      <w:r>
        <w:t xml:space="preserve">- Rango Usage_kWh: [0, 157,18] kWh</w:t>
      </w:r>
    </w:p>
    <w:p>
      <w:pPr>
        <w:pStyle w:val="BodyText"/>
      </w:pPr>
      <w:r>
        <w:rPr>
          <w:b/>
          <w:bCs/>
        </w:rPr>
        <w:t xml:space="preserve">Variable respuesta (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Usage_kWh</w:t>
      </w:r>
      <w:r>
        <w:t xml:space="preserve"> </w:t>
      </w:r>
      <w:r>
        <w:t xml:space="preserve">— consumo eléctrico del intervalo en kWh.</w:t>
      </w:r>
      <w:r>
        <w:br/>
      </w:r>
      <w:r>
        <w:rPr>
          <w:b/>
          <w:bCs/>
        </w:rPr>
        <w:t xml:space="preserve">Variables predictoras relevantes:</w:t>
      </w:r>
      <w:r>
        <w:t xml:space="preserve"> </w:t>
      </w:r>
      <w:r>
        <w:rPr>
          <w:rStyle w:val="VerbatimChar"/>
        </w:rPr>
        <w:t xml:space="preserve">NSM</w:t>
      </w:r>
      <w:r>
        <w:t xml:space="preserve"> </w:t>
      </w:r>
      <w:r>
        <w:t xml:space="preserve">(segundos desde medianoche),</w:t>
      </w:r>
      <w:r>
        <w:t xml:space="preserve"> </w:t>
      </w:r>
      <w:r>
        <w:rPr>
          <w:rStyle w:val="VerbatimChar"/>
        </w:rPr>
        <w:t xml:space="preserve">Lagging_Current_Reactive.Power_kVarh</w:t>
      </w:r>
      <w:r>
        <w:t xml:space="preserve"> </w:t>
      </w:r>
      <w:r>
        <w:t xml:space="preserve">(potencia reactiva inductiva),</w:t>
      </w:r>
      <w:r>
        <w:t xml:space="preserve"> </w:t>
      </w:r>
      <w:r>
        <w:rPr>
          <w:rStyle w:val="VerbatimChar"/>
        </w:rPr>
        <w:t xml:space="preserve">Leading_Current_Reactive_Power_kVarh</w:t>
      </w:r>
      <w:r>
        <w:t xml:space="preserve"> </w:t>
      </w:r>
      <w:r>
        <w:t xml:space="preserve">(potencia reactiva capacitiva),</w:t>
      </w:r>
      <w:r>
        <w:t xml:space="preserve"> </w:t>
      </w:r>
      <w:r>
        <w:rPr>
          <w:rStyle w:val="VerbatimChar"/>
        </w:rPr>
        <w:t xml:space="preserve">Lagging_Current_Power_Factor</w:t>
      </w:r>
      <w:r>
        <w:t xml:space="preserve"> </w:t>
      </w:r>
      <w:r>
        <w:t xml:space="preserve">(factor de potencia inductivo).</w:t>
      </w:r>
    </w:p>
    <w:p>
      <w:pPr>
        <w:pStyle w:val="BlockText"/>
      </w:pPr>
      <w:r>
        <w:rPr>
          <w:b/>
          <w:bCs/>
        </w:rPr>
        <w:t xml:space="preserve">Restricción:</w:t>
      </w:r>
      <w:r>
        <w:t xml:space="preserve"> </w:t>
      </w:r>
      <w:r>
        <w:t xml:space="preserve">Queda terminantemente prohibido usar</w:t>
      </w:r>
      <w:r>
        <w:t xml:space="preserve"> </w:t>
      </w:r>
      <w:r>
        <w:rPr>
          <w:rStyle w:val="VerbatimChar"/>
        </w:rPr>
        <w:t xml:space="preserve">CO2(tCO2)</w:t>
      </w:r>
      <w:r>
        <w:t xml:space="preserve"> </w:t>
      </w:r>
      <w:r>
        <w:t xml:space="preserve">como predictora (se calcula multiplicando el consumo por un factor fijo, correlación 0,988 con Usage_kWh).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7" w:name="parte-a.1-derivación"/>
    <w:p>
      <w:pPr>
        <w:pStyle w:val="Heading1"/>
      </w:pPr>
      <w:r>
        <w:t xml:space="preserve">PARTE A.1 — DERIVACIÓN</w:t>
      </w:r>
    </w:p>
    <w:bookmarkStart w:id="13" w:name="Xefe542505f5b231dcffcfcd4f0c2ae8cc891c2a"/>
    <w:p>
      <w:pPr>
        <w:pStyle w:val="Heading2"/>
      </w:pPr>
      <w:r>
        <w:t xml:space="preserve">2. Ajuste del Modelo Cuadrático: Usage_kWh vs NSM</w:t>
      </w:r>
    </w:p>
    <w:bookmarkStart w:id="11" w:name="formulación-matemática"/>
    <w:p>
      <w:pPr>
        <w:pStyle w:val="Heading3"/>
      </w:pPr>
      <w:r>
        <w:t xml:space="preserve">2.1 Formulación Matemática</w:t>
      </w:r>
    </w:p>
    <w:p>
      <w:pPr>
        <w:pStyle w:val="FirstParagraph"/>
      </w:pPr>
      <w:r>
        <w:t xml:space="preserve">Modelo cuadrático propuesto: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NSM</m:t>
        </m:r>
      </m:oMath>
      <w:r>
        <w:t xml:space="preserve"> </w:t>
      </w:r>
      <w:r>
        <w:t xml:space="preserve">(segundos desde medianoche) 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Usage_kWh</m:t>
        </m:r>
      </m:oMath>
      <w:r>
        <w:t xml:space="preserve"> </w:t>
      </w:r>
      <w:r>
        <w:t xml:space="preserve">(kWh).</w:t>
      </w:r>
    </w:p>
    <w:p>
      <w:pPr>
        <w:pStyle w:val="BodyText"/>
      </w:pPr>
      <w:r>
        <w:t xml:space="preserve">Matriz de diseño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con columnas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. Los estimadores de mínimos cuadrados ordinarios se obtienen como: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i"/>
                </m:rPr>
                <m:t>β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BlockText"/>
      </w:pPr>
      <w:r>
        <w:rPr>
          <w:b/>
          <w:bCs/>
        </w:rPr>
        <w:t xml:space="preserve">Justificación de la transpuesta:</w:t>
      </w:r>
      <w:r>
        <w:t xml:space="preserve"> </w:t>
      </w:r>
      <w:r>
        <w:t xml:space="preserve">se escribe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porque el sistema normal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β</m:t>
            </m:r>
          </m:e>
        </m:acc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involucra una matriz cuadrada de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(una fila/columna por cada parámetro a estimar); solo un sistema así es compatible determinado y admite matriz inversa, de modo que se pueden despejar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explícitamente.</w:t>
      </w:r>
    </w:p>
    <w:bookmarkEnd w:id="11"/>
    <w:bookmarkStart w:id="12" w:name="X9be10eb1c4afcbe9fcba0d989f48cd001826fd5"/>
    <w:p>
      <w:pPr>
        <w:pStyle w:val="Heading3"/>
      </w:pPr>
      <w:r>
        <w:t xml:space="preserve">2.2 Resultados Numéricos (Python + NumPy, validado con Statsmodels)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Notación científica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-16,420996</w:t>
            </w:r>
          </w:p>
        </w:tc>
        <w:tc>
          <w:tcPr/>
          <w:p>
            <w:pPr>
              <w:pStyle w:val="Compact"/>
            </w:pPr>
            <w:r>
              <w:t xml:space="preserve">-1,6421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0,002467693</w:t>
            </w:r>
          </w:p>
        </w:tc>
        <w:tc>
          <w:tcPr/>
          <w:p>
            <w:pPr>
              <w:pStyle w:val="Compact"/>
            </w:pPr>
            <w:r>
              <w:t xml:space="preserve">2,4677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-0,00000002518233</w:t>
            </w:r>
          </w:p>
        </w:tc>
        <w:tc>
          <w:tcPr/>
          <w:p>
            <w:pPr>
              <w:pStyle w:val="Compact"/>
            </w:pPr>
            <w:r>
              <w:t xml:space="preserve">-2,5182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Ecuación ajustada: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,</m:t>
              </m:r>
              <m:r>
                <m:t>4210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4677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5182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t xml:space="preserve">Validación cruzada: discrepancia máxima con Statsmodels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✓</w:t>
      </w:r>
    </w:p>
    <w:bookmarkEnd w:id="12"/>
    <w:bookmarkEnd w:id="13"/>
    <w:bookmarkStart w:id="16" w:name="derivada-primera-del-modelo-cuadrático"/>
    <w:p>
      <w:pPr>
        <w:pStyle w:val="Heading2"/>
      </w:pPr>
      <w:r>
        <w:t xml:space="preserve">3. Derivada Primera del Modelo Cuadrático</w:t>
      </w:r>
    </w:p>
    <w:bookmarkStart w:id="14" w:name="desarrollo-analítico"/>
    <w:p>
      <w:pPr>
        <w:pStyle w:val="Heading3"/>
      </w:pPr>
      <w:r>
        <w:t xml:space="preserve">3.1 Desarrollo Analítico</w:t>
      </w:r>
    </w:p>
    <w:p>
      <w:pPr>
        <w:pStyle w:val="FirstParagraph"/>
      </w:pPr>
      <w:r>
        <w:t xml:space="preserve">La derivada primera representa la tasa instantánea de variación del consumo: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2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2</m:t>
              </m:r>
            </m:sub>
          </m:sSub>
          <m:r>
            <m:t>x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kWh/s</m:t>
              </m:r>
            </m:e>
          </m:d>
        </m:oMath>
      </m:oMathPara>
    </w:p>
    <w:p>
      <w:pPr>
        <w:pStyle w:val="FirstParagraph"/>
      </w:pPr>
      <w:r>
        <w:t xml:space="preserve">Sustituyendo valores: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4677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0365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 </m:t>
          </m:r>
          <m:r>
            <m:t>x</m:t>
          </m:r>
          <m:r>
            <m:t> </m:t>
          </m:r>
          <m:r>
            <m:rPr>
              <m:nor/>
              <m:sty m:val="p"/>
            </m:rPr>
            <m:t>(kWh/s)</m:t>
          </m:r>
        </m:oMath>
      </m:oMathPara>
    </w:p>
    <w:p>
      <w:pPr>
        <w:pStyle w:val="FirstParagraph"/>
      </w:pPr>
      <w:r>
        <w:t xml:space="preserve">Para evaluar la tasa en términos horarios (</w:t>
      </w:r>
      <m:oMath>
        <m:r>
          <m:rPr>
            <m:nor/>
            <m:sty m:val="p"/>
          </m:rPr>
          <m:t>kWh/h</m:t>
        </m:r>
      </m:oMath>
      <w:r>
        <w:t xml:space="preserve">), se aplica la conversión de unidades: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rPr>
                  <m:nor/>
                  <m:sty m:val="p"/>
                </m:rPr>
                <m:t>hora</m:t>
              </m:r>
            </m:sub>
          </m:sSub>
          <m:r>
            <m:rPr>
              <m:sty m:val="p"/>
            </m:rPr>
            <m:t>=</m:t>
          </m:r>
          <m:r>
            <m:t>3600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)</m:t>
          </m:r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kWh/h</m:t>
              </m:r>
            </m:e>
          </m:d>
        </m:oMath>
      </m:oMathPara>
    </w:p>
    <w:bookmarkEnd w:id="14"/>
    <w:bookmarkStart w:id="15" w:name="evaluación-en-puntos-representativos"/>
    <w:p>
      <w:pPr>
        <w:pStyle w:val="Heading3"/>
      </w:pPr>
      <w:r>
        <w:t xml:space="preserve">3.2 Evaluación en Puntos Representativos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4"/>
        <w:gridCol w:w="828"/>
        <w:gridCol w:w="552"/>
        <w:gridCol w:w="2026"/>
        <w:gridCol w:w="2394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(kWh/s)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(kWh/hora)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14 400</w:t>
            </w:r>
          </w:p>
        </w:tc>
        <w:tc>
          <w:tcPr/>
          <w:p>
            <w:pPr>
              <w:pStyle w:val="Compact"/>
            </w:pPr>
            <w:r>
              <w:t xml:space="preserve">04:00:00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7424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+6,27</w:t>
            </w:r>
          </w:p>
        </w:tc>
        <w:tc>
          <w:tcPr/>
          <w:p>
            <w:pPr>
              <w:pStyle w:val="Compact"/>
            </w:pPr>
            <w:r>
              <w:t xml:space="preserve">Arranque matutino: consumo crece 6,27 kWh/h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64 800</w:t>
            </w:r>
          </w:p>
        </w:tc>
        <w:tc>
          <w:tcPr/>
          <w:p>
            <w:pPr>
              <w:pStyle w:val="Compact"/>
            </w:pPr>
            <w:r>
              <w:t xml:space="preserve">18:00:00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9594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-2,87</w:t>
            </w:r>
          </w:p>
        </w:tc>
        <w:tc>
          <w:tcPr/>
          <w:p>
            <w:pPr>
              <w:pStyle w:val="Compact"/>
            </w:pPr>
            <w:r>
              <w:t xml:space="preserve">Parada vespertina: consumo cae 2,87 kWh/h</w:t>
            </w:r>
          </w:p>
        </w:tc>
      </w:tr>
    </w:tbl>
    <w:p>
      <w:pPr>
        <w:pStyle w:val="BlockText"/>
      </w:pPr>
      <w:r>
        <w:rPr>
          <w:b/>
          <w:bCs/>
        </w:rPr>
        <w:t xml:space="preserve">Unidades:</w:t>
      </w:r>
      <w:r>
        <w:t xml:space="preserve"> </w:t>
      </w:r>
      <w:r>
        <w:t xml:space="preserve">La derivada tiene unidades</w:t>
      </w:r>
      <w:r>
        <w:t xml:space="preserve"> </w:t>
      </w:r>
      <m:oMath>
        <m:r>
          <m:rPr>
            <m:nor/>
            <m:sty m:val="p"/>
          </m:rPr>
          <m:t>kWh</m:t>
        </m:r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t xml:space="preserve">. Para interpretación ingenieril, se multiplica por 3600 s/h obteniendo</w:t>
      </w:r>
      <w:r>
        <w:t xml:space="preserve"> </w:t>
      </w:r>
      <m:oMath>
        <m:r>
          <m:rPr>
            <m:nor/>
            <m:sty m:val="p"/>
          </m:rPr>
          <m:t>kWh</m:t>
        </m:r>
        <m:r>
          <m:rPr>
            <m:sty m:val="p"/>
          </m:rPr>
          <m:t>/</m:t>
        </m:r>
        <m:r>
          <m:rPr>
            <m:nor/>
            <m:sty m:val="p"/>
          </m:rPr>
          <m:t>hora</m:t>
        </m:r>
      </m:oMath>
      <w:r>
        <w:t xml:space="preserve">.</w:t>
      </w:r>
    </w:p>
    <w:bookmarkEnd w:id="15"/>
    <w:bookmarkEnd w:id="16"/>
    <w:bookmarkStart w:id="22" w:name="modelo-lineal-ajuste-y-comparación"/>
    <w:p>
      <w:pPr>
        <w:pStyle w:val="Heading2"/>
      </w:pPr>
      <w:r>
        <w:t xml:space="preserve">4. Modelo Lineal: Ajuste y Comparación</w:t>
      </w:r>
    </w:p>
    <w:bookmarkStart w:id="17" w:name="modelo-lineal-ajustado"/>
    <w:p>
      <w:pPr>
        <w:pStyle w:val="Heading3"/>
      </w:pPr>
      <w:r>
        <w:t xml:space="preserve">4.1 Modelo Lineal Ajustado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nor/>
                  <m:sty m:val="p"/>
                </m:rPr>
                <m:t>lin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,</m:t>
          </m:r>
          <m:r>
            <m:t>9376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1460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Derivada constante: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lin</m:t>
                  </m:r>
                </m:sub>
              </m:sSub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cte.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1460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kWh/s</m:t>
          </m:r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nor/>
                  <m:sty m:val="p"/>
                </m:rPr>
                <m:t> kWh/hora</m:t>
              </m:r>
            </m:e>
          </m:borderBox>
        </m:oMath>
      </m:oMathPara>
    </w:p>
    <w:p>
      <w:pPr>
        <w:pStyle w:val="BlockText"/>
      </w:pPr>
      <w:r>
        <w:t xml:space="preserve">A diferencia del modelo cuadrático, el modelo lineal asume una tasa de cambio constante a lo largo de todo el día: no importa la hora, el consumo siempre crece (o decrece) al mismo ritmo.</w:t>
      </w:r>
    </w:p>
    <w:bookmarkEnd w:id="17"/>
    <w:bookmarkStart w:id="21" w:name="comparación-de-supuestos-estructurales"/>
    <w:p>
      <w:pPr>
        <w:pStyle w:val="Heading3"/>
      </w:pPr>
      <w:r>
        <w:t xml:space="preserve">4.2 Comparación de Supuestos Estructurales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762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Modelo Lineal</w:t>
            </w:r>
          </w:p>
        </w:tc>
        <w:tc>
          <w:tcPr/>
          <w:p>
            <w:pPr>
              <w:pStyle w:val="Compact"/>
            </w:pPr>
            <w:r>
              <w:t xml:space="preserve">Modelo Cuadrático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Derivada</w:t>
            </w:r>
          </w:p>
        </w:tc>
        <w:tc>
          <w:tcPr/>
          <w:p>
            <w:pPr>
              <w:pStyle w:val="Compact"/>
            </w:pPr>
            <w:r>
              <w:t xml:space="preserve">Constante: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Variable: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Tasa de cambio</w:t>
            </w:r>
          </w:p>
        </w:tc>
        <w:tc>
          <w:tcPr/>
          <w:p>
            <w:pPr>
              <w:pStyle w:val="Compact"/>
            </w:pPr>
            <w:r>
              <w:t xml:space="preserve">Uniforme (1,13 kWh/hora)</w:t>
            </w:r>
          </w:p>
        </w:tc>
        <w:tc>
          <w:tcPr/>
          <w:p>
            <w:pPr>
              <w:pStyle w:val="Compact"/>
            </w:pPr>
            <w:r>
              <w:t xml:space="preserve">Cambia con la hora: acelera y frena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Supuesto</w:t>
            </w:r>
          </w:p>
        </w:tc>
        <w:tc>
          <w:tcPr/>
          <w:p>
            <w:pPr>
              <w:pStyle w:val="Compact"/>
            </w:pPr>
            <w:r>
              <w:t xml:space="preserve">Ritmo constante, ignora ciclos</w:t>
            </w:r>
          </w:p>
        </w:tc>
        <w:tc>
          <w:tcPr/>
          <w:p>
            <w:pPr>
              <w:pStyle w:val="Compact"/>
            </w:pPr>
            <w:r>
              <w:t xml:space="preserve">Captura ciclos: arranque, pico, parada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Flexibilidad</w:t>
            </w:r>
          </w:p>
        </w:tc>
        <w:tc>
          <w:tcPr/>
          <w:p>
            <w:pPr>
              <w:pStyle w:val="Compact"/>
            </w:pPr>
            <w:r>
              <w:t xml:space="preserve">2 parámetros</w:t>
            </w:r>
          </w:p>
        </w:tc>
        <w:tc>
          <w:tcPr/>
          <w:p>
            <w:pPr>
              <w:pStyle w:val="Compact"/>
            </w:pPr>
            <w:r>
              <w:t xml:space="preserve">3 parámetros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modelo lineal es físicamente inadecuado para una acería con turnos definidos. El modelo cuadrático captura la no linealidad horaria intrínseca del proceso productivo.</w:t>
      </w:r>
    </w:p>
    <w:p>
      <w:pPr>
        <w:pStyle w:val="CaptionedFigure"/>
      </w:pPr>
      <w:r>
        <w:drawing>
          <wp:inline>
            <wp:extent cx="5334000" cy="1876943"/>
            <wp:effectExtent b="0" l="0" r="0" t="0"/>
            <wp:docPr descr="Comparación de los modelos lineal y cuadrático ajustados sobre Usage_kWh vs NSM." title="" id="19" name="Picture"/>
            <a:graphic>
              <a:graphicData uri="http://schemas.openxmlformats.org/drawingml/2006/picture">
                <pic:pic>
                  <pic:nvPicPr>
                    <pic:cNvPr descr="figures/A1_modelos_comparac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Comparación de los modelos lineal y cuadrático ajustados sobre Usage_kWh vs NSM.</w:t>
      </w:r>
    </w:p>
    <w:bookmarkEnd w:id="21"/>
    <w:bookmarkEnd w:id="22"/>
    <w:bookmarkStart w:id="26" w:name="punto-crítico-del-modelo-cuadrático"/>
    <w:p>
      <w:pPr>
        <w:pStyle w:val="Heading2"/>
      </w:pPr>
      <w:r>
        <w:t xml:space="preserve">5. Punto Crítico del Modelo Cuadrático</w:t>
      </w:r>
    </w:p>
    <w:bookmarkStart w:id="23" w:name="cálculo-y-clasificación"/>
    <w:p>
      <w:pPr>
        <w:pStyle w:val="Heading3"/>
      </w:pPr>
      <w:r>
        <w:t xml:space="preserve">5.1 Cálculo y Clasificación</w:t>
      </w:r>
    </w:p>
    <w:p>
      <w:pPr>
        <w:pStyle w:val="FirstParagraph"/>
      </w:pPr>
      <w:r>
        <w:t xml:space="preserve">El punto crítico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del modelo cuadrático se halla resolviendo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4677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5182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48</m:t>
          </m:r>
          <m:r>
            <m:t> </m:t>
          </m:r>
          <m:r>
            <m:t>996</m:t>
          </m:r>
          <m:r>
            <m:rPr>
              <m:sty m:val="p"/>
            </m:rPr>
            <m:t>,</m:t>
          </m:r>
          <m:r>
            <m:t>53</m:t>
          </m:r>
          <m:r>
            <m:rPr>
              <m:nor/>
              <m:sty m:val="p"/>
            </m:rPr>
            <m:t> s</m:t>
          </m:r>
        </m:oMath>
      </m:oMathPara>
    </w:p>
    <w:p>
      <w:pPr>
        <w:pStyle w:val="FirstParagraph"/>
      </w:pPr>
      <w:r>
        <w:t xml:space="preserve">Su naturaleza se determina mediante la derivada segunda: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,</m:t>
          </m:r>
          <m:r>
            <m:t>0365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&lt;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b"/>
            </m:rPr>
            <m:t>Máximo absoluto</m:t>
          </m:r>
          <m:r>
            <m:rPr>
              <m:nor/>
              <m:sty m:val="p"/>
            </m:rPr>
            <m:t> (parábola cóncava).</m:t>
          </m:r>
        </m:oMath>
      </m:oMathPara>
    </w:p>
    <w:bookmarkEnd w:id="23"/>
    <w:bookmarkStart w:id="24" w:name="verificación-y-conversión-horaria"/>
    <w:p>
      <w:pPr>
        <w:pStyle w:val="Heading3"/>
      </w:pPr>
      <w:r>
        <w:t xml:space="preserve">5.2 Verificación y Conversión Horaria</w:t>
      </w:r>
    </w:p>
    <w:p>
      <w:pPr>
        <w:pStyle w:val="FirstParagraph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48</m:t>
          </m:r>
          <m:r>
            <m:t> </m:t>
          </m:r>
          <m:r>
            <m:t>996</m:t>
          </m:r>
          <m:r>
            <m:rPr>
              <m:sty m:val="p"/>
            </m:rPr>
            <m:t>,</m:t>
          </m:r>
          <m:r>
            <m:t>53</m:t>
          </m:r>
          <m:r>
            <m:rPr>
              <m:sty m:val="p"/>
            </m:rPr>
            <m:t>≤</m:t>
          </m:r>
          <m:r>
            <m:t>85</m:t>
          </m:r>
          <m:r>
            <m:t> </m:t>
          </m:r>
          <m:r>
            <m:t>500</m:t>
          </m:r>
          <m:r>
            <m:t> </m:t>
          </m:r>
          <m:r>
            <m:rPr>
              <m:sty m:val="p"/>
            </m:rPr>
            <m:t>✓</m:t>
          </m:r>
          <m:r>
            <m:rPr>
              <m:nor/>
              <m:sty m:val="p"/>
            </m:rPr>
            <m:t> DENTRO del rango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48</m:t>
          </m:r>
          <m:r>
            <m:t> </m:t>
          </m:r>
          <m:r>
            <m:t>996</m:t>
          </m:r>
          <m:r>
            <m:rPr>
              <m:sty m:val="p"/>
            </m:rPr>
            <m:t>,</m:t>
          </m:r>
          <m:r>
            <m:t>53</m:t>
          </m:r>
          <m:r>
            <m:rPr>
              <m:nor/>
              <m:sty m:val="p"/>
            </m:rPr>
            <m:t> s</m:t>
          </m:r>
          <m:r>
            <m:rPr>
              <m:sty m:val="p"/>
            </m:rPr>
            <m:t>=</m:t>
          </m:r>
          <m:borderBox>
            <m:e>
              <m:r>
                <m:t>13</m:t>
              </m:r>
              <m:r>
                <m:rPr>
                  <m:sty m:val="p"/>
                </m:rPr>
                <m:t>:</m:t>
              </m:r>
              <m:r>
                <m:t>36</m:t>
              </m:r>
              <m:r>
                <m:rPr>
                  <m:sty m:val="p"/>
                </m:rPr>
                <m:t>:</m:t>
              </m:r>
              <m:r>
                <m:t>36</m:t>
              </m:r>
            </m:e>
          </m:borderBox>
        </m:oMath>
      </m:oMathPara>
    </w:p>
    <w:p>
      <w:pPr>
        <w:pStyle w:val="FirstParagraph"/>
      </w:pPr>
      <w:r>
        <w:t xml:space="preserve">Consumo en el máximo: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,</m:t>
        </m:r>
        <m:r>
          <m:t>03</m:t>
        </m:r>
        <m:r>
          <m:rPr>
            <m:nor/>
            <m:sty m:val="p"/>
          </m:rPr>
          <m:t> kWh</m:t>
        </m:r>
      </m:oMath>
      <w:r>
        <w:t xml:space="preserve"> </w:t>
      </w:r>
      <w:r>
        <w:t xml:space="preserve">(por intervalo de 15 min).</w:t>
      </w:r>
    </w:p>
    <w:bookmarkEnd w:id="24"/>
    <w:bookmarkStart w:id="25" w:name="interpretación-industrial"/>
    <w:p>
      <w:pPr>
        <w:pStyle w:val="Heading3"/>
      </w:pPr>
      <w:r>
        <w:t xml:space="preserve">5.3 Interpretación Industrial</w:t>
      </w:r>
    </w:p>
    <w:p>
      <w:pPr>
        <w:pStyle w:val="BlockText"/>
      </w:pPr>
      <w:r>
        <w:rPr>
          <w:b/>
          <w:bCs/>
        </w:rPr>
        <w:t xml:space="preserve">A las 13:36:36, el consumo eléctrico promedio alcanza su máximo diario de ~44 kWh/15min (176 kW promedio).</w:t>
      </w:r>
      <w:r>
        <w:t xml:space="preserve"> </w:t>
      </w:r>
      <w:r>
        <w:t xml:space="preserve">Coincide con el pico productivo del turno central (hornos de arco y laminadores a máxima carga). Antes de las 13:36 la derivada es positiva (ramp-up); después se vuelve negativa (parada programada).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9" w:name="Xb319a0af8b302d184ba5557a39d12e90b8c823b"/>
    <w:p>
      <w:pPr>
        <w:pStyle w:val="Heading1"/>
      </w:pPr>
      <w:r>
        <w:t xml:space="preserve">PARTE A.2 — DERIVADAS PARCIALES Y ECUACIONES NORMALES</w:t>
      </w:r>
    </w:p>
    <w:bookmarkStart w:id="33" w:name="desarrollo-analítico-completo"/>
    <w:p>
      <w:pPr>
        <w:pStyle w:val="Heading2"/>
      </w:pPr>
      <w:r>
        <w:t xml:space="preserve">6. Desarrollo Analítico Completo</w:t>
      </w:r>
    </w:p>
    <w:bookmarkStart w:id="28" w:name="planteo-de-la-función-objetivo"/>
    <w:p>
      <w:pPr>
        <w:pStyle w:val="Heading3"/>
      </w:pPr>
      <w:r>
        <w:t xml:space="preserve">6.1 Planteo de la Función Objetivo</w:t>
      </w:r>
    </w:p>
    <w:p>
      <w:pPr>
        <w:pStyle w:val="FirstParagraph"/>
      </w:pPr>
      <w:r>
        <w:t xml:space="preserve">Para la regresión lineal simple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Usage_kWh</w:t>
      </w:r>
      <w:r>
        <w:t xml:space="preserve">) sobre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Lagging_Current_Reactive.Power_kVarh</w:t>
      </w:r>
      <w:r>
        <w:t xml:space="preserve">), la función de suma de residuos al cuadrado (SCE) a minimizar en función de los parámetros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28"/>
    <w:bookmarkStart w:id="29" w:name="derivada-parcial-respecto-a-b_0"/>
    <w:p>
      <w:pPr>
        <w:pStyle w:val="Heading3"/>
      </w:pPr>
      <w:r>
        <w:t xml:space="preserve">6.2 Derivada Parcial respecto a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Aplicando la propiedad de linealidad del operador sumatoria y la regla de la cadena: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nary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2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Puesto que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2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bookmarkEnd w:id="29"/>
    <w:bookmarkStart w:id="30" w:name="derivada-parcial-respecto-a-b_1"/>
    <w:p>
      <w:pPr>
        <w:pStyle w:val="Heading3"/>
      </w:pPr>
      <w:r>
        <w:t xml:space="preserve">6.3 Derivada Parcial respecto a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De manera análoga, aplicando la regla de la cadena: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nary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2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2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bookmarkEnd w:id="30"/>
    <w:bookmarkStart w:id="31" w:name="Xe0a530e194ec9609e4734e5c9f91965e93bd4d5"/>
    <w:p>
      <w:pPr>
        <w:pStyle w:val="Heading3"/>
      </w:pPr>
      <w:r>
        <w:t xml:space="preserve">6.4 Planteo del Sistema de Ecuaciones Normales</w:t>
      </w:r>
    </w:p>
    <w:p>
      <w:pPr>
        <w:pStyle w:val="FirstParagraph"/>
      </w:pPr>
      <w:r>
        <w:t xml:space="preserve">Igualando ambas derivadas parciales a cero para llegar al punto crítico minimizante:</w:t>
      </w:r>
    </w:p>
    <w:p>
      <w:pPr>
        <w:pStyle w:val="BodyText"/>
      </w:pPr>
      <w:r>
        <w:rPr>
          <w:b/>
          <w:bCs/>
        </w:rPr>
        <w:t xml:space="preserve">1. Primera ecuación: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 </m:t>
          </m:r>
          <m:r>
            <m:rPr>
              <m:nor/>
              <m:sty m:val="p"/>
            </m:rPr>
            <m:t>(1ª Ecuación Normal)</m:t>
          </m:r>
        </m:oMath>
      </m:oMathPara>
    </w:p>
    <w:p>
      <w:pPr>
        <w:pStyle w:val="FirstParagraph"/>
      </w:pPr>
      <w:r>
        <w:rPr>
          <w:b/>
          <w:bCs/>
        </w:rPr>
        <w:t xml:space="preserve">2. Segunda ecuación: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(2ª Ecuación Normal)</m:t>
          </m:r>
        </m:oMath>
      </m:oMathPara>
    </w:p>
    <w:p>
      <w:pPr>
        <w:pStyle w:val="FirstParagraph"/>
      </w:pPr>
      <w:r>
        <w:t xml:space="preserve">Organizado en formato de sistema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31"/>
    <w:bookmarkStart w:id="32" w:name="X1b68a77119414ffab3c201803cf7c5963fa8bdb"/>
    <w:p>
      <w:pPr>
        <w:pStyle w:val="Heading3"/>
      </w:pPr>
      <w:r>
        <w:t xml:space="preserve">6.5 Despeje Analítico Completo de los Estimadores MCO</w:t>
      </w:r>
    </w:p>
    <w:p>
      <w:pPr>
        <w:pStyle w:val="FirstParagraph"/>
      </w:pPr>
      <w:r>
        <w:rPr>
          <w:b/>
          <w:bCs/>
        </w:rPr>
        <w:t xml:space="preserve">1. Despeje de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 la 1ª Ecuación Normal: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rPr>
          <w:b/>
          <w:bCs/>
        </w:rPr>
        <w:t xml:space="preserve">2. Sustitución de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en la 2ª Ecuación Normal: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3. Uso de las relaciones muestrales centradas en la media:</w:t>
      </w:r>
    </w:p>
    <w:p>
      <w:pPr>
        <w:pStyle w:val="BodyText"/>
      </w:pPr>
      <w:r>
        <w:t xml:space="preserve">Recordando que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4. Expresiones finales de los estimadores MCO: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borderBox>
        </m:oMath>
      </m:oMathPara>
    </w:p>
    <w:p>
      <w:pPr>
        <w:pStyle w:val="FirstParagraph"/>
      </w:pPr>
      <w:r>
        <w:t xml:space="preserve">Donde: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álculo-numérico-sobre-los-datos"/>
    <w:p>
      <w:pPr>
        <w:pStyle w:val="Heading2"/>
      </w:pPr>
      <w:r>
        <w:t xml:space="preserve">7. Cálculo Numérico sobre los Datos</w:t>
      </w:r>
    </w:p>
    <w:bookmarkStart w:id="34" w:name="estadísticos-básicos-n-35040"/>
    <w:p>
      <w:pPr>
        <w:pStyle w:val="Heading3"/>
      </w:pPr>
      <w:r>
        <w:t xml:space="preserve">7.1 Estadísticos Básicos (</w:t>
      </w:r>
      <m:oMath>
        <m:r>
          <m:t>n</m:t>
        </m:r>
        <m:r>
          <m:rPr>
            <m:sty m:val="p"/>
          </m:rPr>
          <m:t>=</m:t>
        </m:r>
        <m:r>
          <m:t>35</m:t>
        </m:r>
        <m:r>
          <m:t> </m:t>
        </m:r>
        <m:r>
          <m:t>040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Estadístico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(media de Lagging_Current_Reactive.Power_kVarh)</w:t>
            </w:r>
          </w:p>
        </w:tc>
        <w:tc>
          <w:tcPr/>
          <w:p>
            <w:pPr>
              <w:pStyle w:val="Compact"/>
            </w:pPr>
            <w:r>
              <w:t xml:space="preserve">13,035384 kVarh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(media de Usage_kWh)</w:t>
            </w:r>
          </w:p>
        </w:tc>
        <w:tc>
          <w:tcPr/>
          <w:p>
            <w:pPr>
              <w:pStyle w:val="Compact"/>
            </w:pPr>
            <w:r>
              <w:t xml:space="preserve">27,386892 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9 316 366,769045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17 123 910,410316</w:t>
            </w:r>
          </w:p>
        </w:tc>
      </w:tr>
    </w:tbl>
    <w:bookmarkEnd w:id="34"/>
    <w:bookmarkStart w:id="35" w:name="estimadores-mco-fórmulas-analíticas"/>
    <w:p>
      <w:pPr>
        <w:pStyle w:val="Heading3"/>
      </w:pPr>
      <w:r>
        <w:t xml:space="preserve">7.2 Estimadores MCO (Fórmulas Analíticas)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</m:t>
              </m:r>
              <m:r>
                <m:t> </m:t>
              </m:r>
              <m:r>
                <m:t>123</m:t>
              </m:r>
              <m:r>
                <m:t> </m:t>
              </m:r>
              <m:r>
                <m:t>910</m:t>
              </m:r>
              <m:r>
                <m:rPr>
                  <m:sty m:val="p"/>
                </m:rPr>
                <m:t>,</m:t>
              </m:r>
              <m:r>
                <m:t>410316</m:t>
              </m:r>
            </m:num>
            <m:den>
              <m:r>
                <m:t>9</m:t>
              </m:r>
              <m:r>
                <m:t> </m:t>
              </m:r>
              <m:r>
                <m:t>316</m:t>
              </m:r>
              <m:r>
                <m:t> </m:t>
              </m:r>
              <m:r>
                <m:t>366</m:t>
              </m:r>
              <m:r>
                <m:rPr>
                  <m:sty m:val="p"/>
                </m:rPr>
                <m:t>,</m:t>
              </m:r>
              <m:r>
                <m:t>769045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83804597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,</m:t>
          </m:r>
          <m:r>
            <m:t>386892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83804597</m:t>
          </m:r>
          <m:r>
            <m:rPr>
              <m:sty m:val="p"/>
            </m:rPr>
            <m:t>×</m:t>
          </m:r>
          <m:r>
            <m:t>13</m:t>
          </m:r>
          <m:r>
            <m:rPr>
              <m:sty m:val="p"/>
            </m:rPr>
            <m:t>,</m:t>
          </m:r>
          <m:r>
            <m:t>035384</m:t>
          </m:r>
          <m:r>
            <m:rPr>
              <m:sty m:val="p"/>
            </m:rPr>
            <m:t>=</m:t>
          </m:r>
          <m:borderBox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42725816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Recta de regresión ajustada: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427258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838046</m:t>
              </m:r>
              <m:r>
                <m:t> </m:t>
              </m:r>
              <m:r>
                <m:t>x</m:t>
              </m:r>
            </m:e>
          </m:borderBox>
        </m:oMath>
      </m:oMathPara>
    </w:p>
    <w:bookmarkEnd w:id="35"/>
    <w:bookmarkStart w:id="36" w:name="validación-cruzada-tabla-comparativa"/>
    <w:p>
      <w:pPr>
        <w:pStyle w:val="Heading3"/>
      </w:pPr>
      <w:r>
        <w:t xml:space="preserve">7.3 Validación Cruzada (Tabla Comparativa)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Fórmulas analíticas (NumPy)</w:t>
            </w:r>
          </w:p>
        </w:tc>
        <w:tc>
          <w:tcPr/>
          <w:p>
            <w:pPr>
              <w:pStyle w:val="Compact"/>
            </w:pPr>
            <w:r>
              <w:t xml:space="preserve">3,42725816</w:t>
            </w:r>
          </w:p>
        </w:tc>
        <w:tc>
          <w:tcPr/>
          <w:p>
            <w:pPr>
              <w:pStyle w:val="Compact"/>
            </w:pPr>
            <w:r>
              <w:t xml:space="preserve">1,83804597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statsmodels OLS</w:t>
            </w:r>
          </w:p>
        </w:tc>
        <w:tc>
          <w:tcPr/>
          <w:p>
            <w:pPr>
              <w:pStyle w:val="Compact"/>
            </w:pPr>
            <w:r>
              <w:t xml:space="preserve">3,42725816</w:t>
            </w:r>
          </w:p>
        </w:tc>
        <w:tc>
          <w:tcPr/>
          <w:p>
            <w:pPr>
              <w:pStyle w:val="Compact"/>
            </w:pPr>
            <w:r>
              <w:t xml:space="preserve">1,83804597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scipy.stats.linregress</w:t>
            </w:r>
          </w:p>
        </w:tc>
        <w:tc>
          <w:tcPr/>
          <w:p>
            <w:pPr>
              <w:pStyle w:val="Compact"/>
            </w:pPr>
            <w:r>
              <w:t xml:space="preserve">3,42725816</w:t>
            </w:r>
          </w:p>
        </w:tc>
        <w:tc>
          <w:tcPr/>
          <w:p>
            <w:pPr>
              <w:pStyle w:val="Compact"/>
            </w:pPr>
            <w:r>
              <w:t xml:space="preserve">1,83804597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Diferencia máx. (analítico - statsmodels)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Coincidencia perfecta</w:t>
      </w:r>
      <w:r>
        <w:t xml:space="preserve"> </w:t>
      </w:r>
      <w:r>
        <w:t xml:space="preserve">— Error numérico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en todos los casos.</w:t>
      </w:r>
    </w:p>
    <w:bookmarkEnd w:id="36"/>
    <w:bookmarkStart w:id="37" w:name="X943cb11c1309701a46326c73f8f0bb3da9a5f59"/>
    <w:p>
      <w:pPr>
        <w:pStyle w:val="Heading3"/>
      </w:pPr>
      <w:r>
        <w:t xml:space="preserve">7.4 Verificación de Descomposición de Variabilidad (Anticipa B.1)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Grados de libertad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(Total)</w:t>
            </w:r>
          </w:p>
        </w:tc>
        <w:tc>
          <w:tcPr/>
          <w:p>
            <w:pPr>
              <w:pStyle w:val="Compact"/>
            </w:pPr>
            <w:r>
              <w:t xml:space="preserve">39 192 051,226714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 </m:t>
              </m:r>
              <m:r>
                <m:t>039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SCR (Regresión)</w:t>
            </w:r>
          </w:p>
        </w:tc>
        <w:tc>
          <w:tcPr/>
          <w:p>
            <w:pPr>
              <w:pStyle w:val="Compact"/>
            </w:pPr>
            <w:r>
              <w:t xml:space="preserve">31 474 534,548685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 (Error)</w:t>
            </w:r>
          </w:p>
        </w:tc>
        <w:tc>
          <w:tcPr/>
          <w:p>
            <w:pPr>
              <w:pStyle w:val="Compact"/>
            </w:pPr>
            <w:r>
              <w:t xml:space="preserve">7 717 516,678029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 </m:t>
              </m:r>
              <m:r>
                <m:t>038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 + SCE</w:t>
            </w:r>
          </w:p>
        </w:tc>
        <w:tc>
          <w:tcPr/>
          <w:p>
            <w:pPr>
              <w:pStyle w:val="Compact"/>
            </w:pPr>
            <w:r>
              <w:t xml:space="preserve">39 192 051,226714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|STC - (SCR+SCE)|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Identidad</w:t>
      </w:r>
      <w:r>
        <w:t xml:space="preserve"> </w:t>
      </w:r>
      <m:oMath>
        <m:r>
          <m:t>S</m:t>
        </m:r>
        <m:r>
          <m:t>T</m:t>
        </m:r>
        <m:r>
          <m:t>C</m:t>
        </m:r>
        <m:r>
          <m:rPr>
            <m:sty m:val="p"/>
          </m:rPr>
          <m:t>=</m:t>
        </m:r>
        <m:r>
          <m:t>S</m:t>
        </m:r>
        <m:r>
          <m:t>C</m:t>
        </m:r>
        <m:r>
          <m:t>R</m:t>
        </m:r>
        <m:r>
          <m:rPr>
            <m:sty m:val="p"/>
          </m:rPr>
          <m:t>+</m:t>
        </m:r>
        <m:r>
          <m:t>S</m:t>
        </m:r>
        <m:r>
          <m:t>C</m:t>
        </m:r>
        <m:r>
          <m:t>E</m:t>
        </m:r>
      </m:oMath>
      <w:r>
        <w:t xml:space="preserve"> </w:t>
      </w:r>
      <w:r>
        <w:t xml:space="preserve">verificada numéricamente con precisión de máquina.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64" w:name="X63701e371c2686b96afc7a781430e534472c55d"/>
    <w:p>
      <w:pPr>
        <w:pStyle w:val="Heading1"/>
      </w:pPr>
      <w:r>
        <w:t xml:space="preserve">PARTE A.3 — DESCENSO DEL GRADIENTE (Regresión Múltiple B.5)</w:t>
      </w:r>
    </w:p>
    <w:bookmarkStart w:id="40" w:name="modelo-múltiple-objetivo-sección-b.5"/>
    <w:p>
      <w:pPr>
        <w:pStyle w:val="Heading2"/>
      </w:pPr>
      <w:r>
        <w:t xml:space="preserve">8. Modelo Múltiple Objetivo (Sección B.5)</w:t>
      </w:r>
    </w:p>
    <w:p>
      <w:pPr>
        <w:pStyle w:val="FirstParagraph"/>
      </w:pPr>
      <w:r>
        <w:t xml:space="preserve">Regresión múltiple de</w:t>
      </w:r>
      <w:r>
        <w:t xml:space="preserve"> </w:t>
      </w:r>
      <w:r>
        <w:rPr>
          <w:rStyle w:val="VerbatimChar"/>
        </w:rPr>
        <w:t xml:space="preserve">Usage_kWh</w:t>
      </w:r>
      <w:r>
        <w:t xml:space="preserve"> </w:t>
      </w:r>
      <w:r>
        <w:t xml:space="preserve">sobre 4 predictoras: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Lagging_Current_Reactive.Power_kVarh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Leading_Current_Reactive_Power_kVarh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Lagging_Current_Power_Factor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:</w:t>
      </w:r>
      <w:r>
        <w:t xml:space="preserve"> </w:t>
      </w:r>
      <w:r>
        <w:rPr>
          <w:rStyle w:val="VerbatimChar"/>
        </w:rPr>
        <w:t xml:space="preserve">NSM</w:t>
      </w:r>
    </w:p>
    <w:p>
      <w:pPr>
        <w:pStyle w:val="BodyText"/>
      </w:pPr>
      <w:r>
        <w:t xml:space="preserve">Matriz de diseño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35040</m:t>
            </m:r>
            <m:r>
              <m:rPr>
                <m:sty m:val="p"/>
              </m:rPr>
              <m:t>×</m:t>
            </m:r>
            <m:r>
              <m:t>5</m:t>
            </m:r>
          </m:sup>
        </m:sSup>
      </m:oMath>
      <w:r>
        <w:t xml:space="preserve"> </w:t>
      </w:r>
      <w:r>
        <w:t xml:space="preserve">(columna de unos + 4 predictoras), vector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35040</m:t>
            </m:r>
          </m:sup>
        </m:sSup>
      </m:oMath>
      <w:r>
        <w:t xml:space="preserve">.</w:t>
      </w:r>
    </w:p>
    <w:bookmarkEnd w:id="40"/>
    <w:bookmarkStart w:id="41" w:name="X3360d8971793138780623b60633849f8eee1fb5"/>
    <w:p>
      <w:pPr>
        <w:pStyle w:val="Heading2"/>
      </w:pPr>
      <w:r>
        <w:t xml:space="preserve">9. Justificación Teórica del Descenso del Gradiente (2 líneas)</w:t>
      </w:r>
    </w:p>
    <w:p>
      <w:pPr>
        <w:pStyle w:val="BlockText"/>
      </w:pPr>
      <w:r>
        <w:rPr>
          <w:b/>
          <w:bCs/>
        </w:rPr>
        <w:t xml:space="preserve">El vector gradiente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apunta en la dirección de máximo crecimiento direccional de la función objetivo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; por consiguiente, avanzar en sentido opuesto (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f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 garantiza la dirección de máximo decrecimiento local de la suma de cuadrados del error.</w:t>
      </w:r>
    </w:p>
    <w:bookmarkEnd w:id="41"/>
    <w:bookmarkStart w:id="45" w:name="X92a97b84ec5916d9f1bdc88fb6245b87778e200"/>
    <w:p>
      <w:pPr>
        <w:pStyle w:val="Heading2"/>
      </w:pPr>
      <w:r>
        <w:t xml:space="preserve">10. Aspecto Numérico Crítico: Escalado y Condicionamiento</w:t>
      </w:r>
    </w:p>
    <w:bookmarkStart w:id="42" w:name="problema-de-escala"/>
    <w:p>
      <w:pPr>
        <w:pStyle w:val="Heading3"/>
      </w:pPr>
      <w:r>
        <w:t xml:space="preserve">10.1 Problema de Escala</w:t>
      </w:r>
    </w:p>
    <w:p>
      <w:pPr>
        <w:pStyle w:val="FirstParagraph"/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NSM</w:t>
      </w:r>
      <w:r>
        <w:t xml:space="preserve"> </w:t>
      </w:r>
      <w:r>
        <w:t xml:space="preserve">alcanza valores</w:t>
      </w:r>
      <w:r>
        <w:t xml:space="preserve"> </w:t>
      </w:r>
      <m:oMath>
        <m:r>
          <m:rPr>
            <m:sty m:val="p"/>
          </m:rPr>
          <m:t>∼</m:t>
        </m:r>
        <m:r>
          <m:t>8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haciendo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t xml:space="preserve">. Sin escalado, la matriz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tiene número de condición</w:t>
      </w:r>
      <w:r>
        <w:t xml:space="preserve"> </w:t>
      </w:r>
      <m:oMath>
        <m:r>
          <m:t>κ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, causando inestabilidad numérica y requiriendo tasas</w:t>
      </w:r>
      <w:r>
        <w:t xml:space="preserve"> </w:t>
      </w:r>
      <m:oMath>
        <m:r>
          <m:t>α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bookmarkEnd w:id="42"/>
    <w:bookmarkStart w:id="43" w:name="solución-estandarización-z-score"/>
    <w:p>
      <w:pPr>
        <w:pStyle w:val="Heading3"/>
      </w:pPr>
      <w:r>
        <w:t xml:space="preserve">10.2 Solución: Estandarización (z-score)</w:t>
      </w:r>
    </w:p>
    <w:p>
      <w:pPr>
        <w:pStyle w:val="FirstParagraph"/>
      </w:pPr>
      <w:r>
        <w:t xml:space="preserve">Todas las predictoras se estandarizan: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s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.</w:t>
      </w:r>
      <w:r>
        <w:t xml:space="preserve"> </w:t>
      </w:r>
      <w:r>
        <w:t xml:space="preserve">- Matriz escalada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tiene columnas con media 0 y desviación estándar 1.</w:t>
      </w:r>
      <w:r>
        <w:t xml:space="preserve"> </w:t>
      </w:r>
      <w:r>
        <w:t xml:space="preserve">- Número de condición de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t>T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(excelente).</w:t>
      </w:r>
      <w:r>
        <w:t xml:space="preserve"> </w:t>
      </w:r>
      <w:r>
        <w:t xml:space="preserve">- La función de costo usada es MSE: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t>β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bookmarkStart w:id="44" w:name="transformación-inversa-de-coeficientes"/>
    <w:p>
      <w:pPr>
        <w:pStyle w:val="Heading3"/>
      </w:pPr>
      <w:r>
        <w:t xml:space="preserve">10.3 Transformación Inversa de Coeficientes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orig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  <m:sup>
              <m:r>
                <m:rPr>
                  <m:nor/>
                  <m:sty m:val="p"/>
                </m:rPr>
                <m:t>orig</m:t>
              </m:r>
            </m:sup>
          </m:sSubSup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den>
          </m:f>
        </m:oMath>
      </m:oMathPara>
    </w:p>
    <w:bookmarkEnd w:id="44"/>
    <w:bookmarkEnd w:id="45"/>
    <w:bookmarkStart w:id="46" w:name="solución-exacta-mco-referencia"/>
    <w:p>
      <w:pPr>
        <w:pStyle w:val="Heading2"/>
      </w:pPr>
      <w:r>
        <w:t xml:space="preserve">11. Solución Exacta MCO (Referencia)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3885"/>
        <w:gridCol w:w="2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 (espacio original)</w:t>
            </w:r>
          </w:p>
        </w:tc>
        <w:tc>
          <w:tcPr/>
          <w:p>
            <w:pPr>
              <w:pStyle w:val="Compact"/>
            </w:pPr>
            <w: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-45,05651081</w:t>
            </w:r>
          </w:p>
        </w:tc>
        <w:tc>
          <w:tcPr/>
          <w:p>
            <w:pPr>
              <w:pStyle w:val="Compact"/>
            </w:pPr>
            <w:r>
              <w:t xml:space="preserve">Intercepto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(Lagging kVarh)</w:t>
            </w:r>
          </w:p>
        </w:tc>
        <w:tc>
          <w:tcPr/>
          <w:p>
            <w:pPr>
              <w:pStyle w:val="Compact"/>
            </w:pPr>
            <w:r>
              <w:t xml:space="preserve">1,51373585</w:t>
            </w:r>
          </w:p>
        </w:tc>
        <w:tc>
          <w:tcPr/>
          <w:p>
            <w:pPr>
              <w:pStyle w:val="Compact"/>
            </w:pPr>
            <w:r>
              <w:t xml:space="preserve">+1,51 kWh por kVarh inductivo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(Leading kVarh)</w:t>
            </w:r>
          </w:p>
        </w:tc>
        <w:tc>
          <w:tcPr/>
          <w:p>
            <w:pPr>
              <w:pStyle w:val="Compact"/>
            </w:pPr>
            <w:r>
              <w:t xml:space="preserve">-1,10168123</w:t>
            </w:r>
          </w:p>
        </w:tc>
        <w:tc>
          <w:tcPr/>
          <w:p>
            <w:pPr>
              <w:pStyle w:val="Compact"/>
            </w:pPr>
            <w:r>
              <w:t xml:space="preserve">-1,10 kWh por kVarh capacitivo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(Lagging PF)</w:t>
            </w:r>
          </w:p>
        </w:tc>
        <w:tc>
          <w:tcPr/>
          <w:p>
            <w:pPr>
              <w:pStyle w:val="Compact"/>
            </w:pPr>
            <w:r>
              <w:t xml:space="preserve">0,67176410</w:t>
            </w:r>
          </w:p>
        </w:tc>
        <w:tc>
          <w:tcPr/>
          <w:p>
            <w:pPr>
              <w:pStyle w:val="Compact"/>
            </w:pPr>
            <w:r>
              <w:t xml:space="preserve">+0,67 kWh por % factor potencia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(NSM)</w:t>
            </w:r>
          </w:p>
        </w:tc>
        <w:tc>
          <w:tcPr/>
          <w:p>
            <w:pPr>
              <w:pStyle w:val="Compact"/>
            </w:pPr>
            <w:r>
              <w:t xml:space="preserve">0,00006658</w:t>
            </w:r>
          </w:p>
        </w:tc>
        <w:tc>
          <w:tcPr/>
          <w:p>
            <w:pPr>
              <w:pStyle w:val="Compact"/>
            </w:pPr>
            <w:r>
              <w:t xml:space="preserve">+6,66</w:t>
            </w:r>
            <m:oMath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kWh por segundo</w:t>
            </w:r>
          </w:p>
        </w:tc>
      </w:tr>
    </w:tbl>
    <w:p>
      <w:pPr>
        <w:pStyle w:val="BodyText"/>
      </w:pPr>
      <w:r>
        <w:t xml:space="preserve">Costo MSE mínimo: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112</m:t>
        </m:r>
        <m:r>
          <m:rPr>
            <m:sty m:val="p"/>
          </m:rPr>
          <m:t>,</m:t>
        </m:r>
        <m:r>
          <m:t>75999832</m:t>
        </m:r>
      </m:oMath>
      <w:r>
        <w:br/>
      </w:r>
      <w:r>
        <w:t xml:space="preserve">Validado contra Statsmodels: diferencia máx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t xml:space="preserve">✓</w:t>
      </w:r>
    </w:p>
    <w:bookmarkEnd w:id="46"/>
    <w:bookmarkStart w:id="50" w:name="X65d52f852a4f9abcec711b4da496a74ceab8820"/>
    <w:p>
      <w:pPr>
        <w:pStyle w:val="Heading2"/>
      </w:pPr>
      <w:r>
        <w:t xml:space="preserve">12. Análisis de Condicionamiento y Tasas de Aprendizaje</w:t>
      </w:r>
    </w:p>
    <w:bookmarkStart w:id="47" w:name="X714abc4286661a44c97380097fb222461cf6ac1"/>
    <w:p>
      <w:pPr>
        <w:pStyle w:val="Heading3"/>
      </w:pPr>
      <w:r>
        <w:t xml:space="preserve">12.1 Autovalores de la Hessiana (</w:t>
      </w:r>
      <m:oMath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t>T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Autovalor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3,977438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0,515244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Número de condición</w:t>
            </w:r>
            <w:r>
              <w:rPr>
                <w:b/>
                <w:bCs/>
              </w:rP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7,72</w:t>
            </w:r>
          </w:p>
        </w:tc>
      </w:tr>
    </w:tbl>
    <w:bookmarkEnd w:id="47"/>
    <w:bookmarkStart w:id="48" w:name="cota-de-estabilidad-teórica"/>
    <w:p>
      <w:pPr>
        <w:pStyle w:val="Heading3"/>
      </w:pPr>
      <w:r>
        <w:t xml:space="preserve">12.2 Cota de Estabilidad Teórica</w:t>
      </w:r>
    </w:p>
    <w:p>
      <w:pPr>
        <w:pStyle w:val="FirstParagraph"/>
      </w:pPr>
      <w:r>
        <w:t xml:space="preserve">Para convergencia del descenso del gradiente con costo MSE: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  <m:r>
                <m:rPr>
                  <m:sty m:val="p"/>
                </m:rPr>
                <m:t>,</m:t>
              </m:r>
              <m:r>
                <m:t>977438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502836</m:t>
              </m:r>
            </m:e>
          </m:borderBox>
        </m:oMath>
      </m:oMathPara>
    </w:p>
    <w:bookmarkEnd w:id="48"/>
    <w:bookmarkStart w:id="49" w:name="tres-tasas-de-aprendizaje-seleccionadas"/>
    <w:p>
      <w:pPr>
        <w:pStyle w:val="Heading3"/>
      </w:pPr>
      <w:r>
        <w:t xml:space="preserve">12.3 Tres Tasas de Aprendizaje Seleccionadas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6"/>
        <w:gridCol w:w="1084"/>
        <w:gridCol w:w="3254"/>
        <w:gridCol w:w="2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Regimen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Factor sobre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Comportamiento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Pequeña</w:t>
            </w:r>
          </w:p>
        </w:tc>
        <w:tc>
          <w:tcPr/>
          <w:p>
            <w:pPr>
              <w:pStyle w:val="Compact"/>
            </w:pPr>
            <w:r>
              <w:t xml:space="preserve">0,005028</w:t>
            </w:r>
          </w:p>
        </w:tc>
        <w:tc>
          <w:tcPr/>
          <w:p>
            <w:pPr>
              <w:pStyle w:val="Compact"/>
            </w:pPr>
            <w:r>
              <w:t xml:space="preserve">0,01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  <w:r>
              <w:t xml:space="preserve">Convergencia excesivamente lenta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Adecuada</w:t>
            </w:r>
          </w:p>
        </w:tc>
        <w:tc>
          <w:tcPr/>
          <w:p>
            <w:pPr>
              <w:pStyle w:val="Compact"/>
            </w:pPr>
            <w:r>
              <w:t xml:space="preserve">0,251418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  <w:r>
              <w:t xml:space="preserve">Descenso monótono y rápido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Divergente</w:t>
            </w:r>
          </w:p>
        </w:tc>
        <w:tc>
          <w:tcPr/>
          <w:p>
            <w:pPr>
              <w:pStyle w:val="Compact"/>
            </w:pPr>
            <w:r>
              <w:t xml:space="preserve">0,754254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</w:t>
            </w:r>
            <w:r>
              <w:t xml:space="preserve"> </w:t>
            </w:r>
            <w: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/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)</w:t>
            </w:r>
          </w:p>
        </w:tc>
      </w:tr>
    </w:tbl>
    <w:bookmarkEnd w:id="49"/>
    <w:bookmarkEnd w:id="50"/>
    <w:bookmarkStart w:id="54" w:name="ejecución-de-los-tres-experimentos"/>
    <w:p>
      <w:pPr>
        <w:pStyle w:val="Heading2"/>
      </w:pPr>
      <w:r>
        <w:t xml:space="preserve">13. Ejecución de los Tres Experimentos</w:t>
      </w:r>
    </w:p>
    <w:bookmarkStart w:id="51" w:name="configuración"/>
    <w:p>
      <w:pPr>
        <w:pStyle w:val="Heading3"/>
      </w:pPr>
      <w:r>
        <w:t xml:space="preserve">13.1 Configuración</w:t>
      </w:r>
    </w:p>
    <w:p>
      <w:pPr>
        <w:pStyle w:val="Compact"/>
        <w:numPr>
          <w:ilvl w:val="0"/>
          <w:numId w:val="1001"/>
        </w:numPr>
      </w:pPr>
      <w:r>
        <w:t xml:space="preserve">Inicialización: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(vector nulo)</w:t>
      </w:r>
    </w:p>
    <w:p>
      <w:pPr>
        <w:pStyle w:val="Compact"/>
        <w:numPr>
          <w:ilvl w:val="0"/>
          <w:numId w:val="1001"/>
        </w:numPr>
      </w:pPr>
      <w:r>
        <w:t xml:space="preserve">Criterio de parada: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∥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∥</m:t>
            </m:r>
            <m:sSup>
              <m:e>
                <m:r>
                  <m:t>β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</m:sup>
            </m:sSup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</w:p>
    <w:p>
      <w:pPr>
        <w:pStyle w:val="Compact"/>
        <w:numPr>
          <w:ilvl w:val="0"/>
          <w:numId w:val="1001"/>
        </w:numPr>
      </w:pPr>
      <w:r>
        <w:t xml:space="preserve">Límite máximo: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  <m:r>
          <m:t> </m:t>
        </m:r>
        <m:r>
          <m:t>000</m:t>
        </m:r>
      </m:oMath>
      <w:r>
        <w:t xml:space="preserve"> </w:t>
      </w:r>
      <w:r>
        <w:t xml:space="preserve">iteraciones</w:t>
      </w:r>
    </w:p>
    <w:bookmarkEnd w:id="51"/>
    <w:bookmarkStart w:id="52" w:name="resultados"/>
    <w:p>
      <w:pPr>
        <w:pStyle w:val="Heading3"/>
      </w:pPr>
      <w:r>
        <w:t xml:space="preserve">13.2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7"/>
        <w:gridCol w:w="2188"/>
        <w:gridCol w:w="2292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α Pequeña (0,005028)</w:t>
            </w:r>
          </w:p>
        </w:tc>
        <w:tc>
          <w:tcPr/>
          <w:p>
            <w:pPr>
              <w:pStyle w:val="Compact"/>
            </w:pPr>
            <w:r>
              <w:t xml:space="preserve">α Adecuada (0,251418)</w:t>
            </w:r>
          </w:p>
        </w:tc>
        <w:tc>
          <w:tcPr/>
          <w:p>
            <w:pPr>
              <w:pStyle w:val="Compact"/>
            </w:pPr>
            <w:r>
              <w:t xml:space="preserve">α Divergente (0,754254)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Iteraciones</w:t>
            </w:r>
          </w:p>
        </w:tc>
        <w:tc>
          <w:tcPr/>
          <w:p>
            <w:pPr>
              <w:pStyle w:val="Compact"/>
            </w:pPr>
            <w:r>
              <w:t xml:space="preserve">3 570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50 000 (límite)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Convergió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Costo final MSE</w:t>
            </w:r>
          </w:p>
        </w:tc>
        <w:tc>
          <w:tcPr/>
          <w:p>
            <w:pPr>
              <w:pStyle w:val="Compact"/>
            </w:pPr>
            <w:r>
              <w:t xml:space="preserve">112,75999832</w:t>
            </w:r>
          </w:p>
        </w:tc>
        <w:tc>
          <w:tcPr/>
          <w:p>
            <w:pPr>
              <w:pStyle w:val="Compact"/>
            </w:pPr>
            <w:r>
              <w:t xml:space="preserve">112,75999832</w:t>
            </w:r>
          </w:p>
        </w:tc>
        <w:tc>
          <w:tcPr/>
          <w:p>
            <w:pPr>
              <w:pStyle w:val="Compact"/>
            </w:pPr>
            <w:r>
              <w:t xml:space="preserve">NaN (overflow)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vs MCO exacto (costo)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vs MCO exacto (parámetros)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66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2"/>
    <w:bookmarkStart w:id="53" w:name="análisis-de-cada-caso"/>
    <w:p>
      <w:pPr>
        <w:pStyle w:val="Heading3"/>
      </w:pPr>
      <w:r>
        <w:t xml:space="preserve">13.3 Análisis de Cada Caso</w:t>
      </w:r>
    </w:p>
    <w:p>
      <w:pPr>
        <w:pStyle w:val="FirstParagraph"/>
      </w:pPr>
      <w:r>
        <w:rPr>
          <w:b/>
          <w:bCs/>
        </w:rPr>
        <w:t xml:space="preserve">α Pequeña (0,005028):</w:t>
      </w:r>
      <w:r>
        <w:t xml:space="preserve"> </w:t>
      </w:r>
      <w:r>
        <w:t xml:space="preserve">Convergencia en 3 570 iteraciones. El descenso es monótono pero excesivamente lento; se requieren ~37× más iteraciones que con α adecuada. La tasa está muy por debajo de la cota óptima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opt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22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α Adecuada (0,251418):</w:t>
      </w:r>
      <w:r>
        <w:t xml:space="preserve"> </w:t>
      </w:r>
      <w:r>
        <w:t xml:space="preserve">Convergencia en solo 96 iteraciones. Descenso rápido y estable hacia el mínimo global. El costo disminuye monótonamente y los parámetros coinciden con MCO exacto a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α Divergente (0,754254):</w:t>
      </w:r>
      <w:r>
        <w:t xml:space="preserve"> </w:t>
      </w:r>
      <w:r>
        <w:t xml:space="preserve">Supera la cota de estabilidad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Los pasos sobrepasan el valle de la función cuadrática, el costo crece exponencialmente hasta overflow (NaN). Confirma la teoría: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⟹</m:t>
        </m:r>
      </m:oMath>
      <w:r>
        <w:t xml:space="preserve"> </w:t>
      </w:r>
      <w:r>
        <w:t xml:space="preserve">divergencia.</w:t>
      </w:r>
    </w:p>
    <w:bookmarkEnd w:id="53"/>
    <w:bookmarkEnd w:id="54"/>
    <w:bookmarkStart w:id="58" w:name="gráfico-de-convergencia-conjunto"/>
    <w:p>
      <w:pPr>
        <w:pStyle w:val="Heading2"/>
      </w:pPr>
      <w:r>
        <w:t xml:space="preserve">14. Gráfico de Convergencia Conjunto</w:t>
      </w:r>
    </w:p>
    <w:p>
      <w:pPr>
        <w:pStyle w:val="FirstParagraph"/>
      </w:pPr>
      <w:r>
        <w:t xml:space="preserve">Se genera</w:t>
      </w:r>
      <w:r>
        <w:t xml:space="preserve"> </w:t>
      </w:r>
      <w:r>
        <w:rPr>
          <w:rStyle w:val="VerbatimChar"/>
        </w:rPr>
        <w:t xml:space="preserve">figures/A3_gradient_descent.png</w:t>
      </w:r>
      <w:r>
        <w:t xml:space="preserve"> </w:t>
      </w:r>
      <w:r>
        <w:t xml:space="preserve">(300 DPI) con dos paneles: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Izquierdo:</w:t>
      </w:r>
      <w:r>
        <w:t xml:space="preserve"> </w:t>
      </w:r>
      <w:r>
        <w:t xml:space="preserve">Escala lineal (zoom en convergentes) — muestra α pequeña (lento) vs α adecuada (rápido).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Derecho:</w:t>
      </w:r>
      <w:r>
        <w:t xml:space="preserve"> </w:t>
      </w:r>
      <w:r>
        <w:t xml:space="preserve">Escala logarítmica — muestra las tres trayectorias: convergencia lenta, convergencia rápida, y divergencia exponencial.</w:t>
      </w:r>
    </w:p>
    <w:p>
      <w:pPr>
        <w:pStyle w:val="CaptionedFigure"/>
      </w:pPr>
      <w:r>
        <w:drawing>
          <wp:inline>
            <wp:extent cx="5334000" cy="1879051"/>
            <wp:effectExtent b="0" l="0" r="0" t="0"/>
            <wp:docPr descr="Evolución del costo f(b^{(k)}) frente a la iteración k para las tres tasas de aprendizaje (\alpha pequeña, adecuada y divergente)." title="" id="56" name="Picture"/>
            <a:graphic>
              <a:graphicData uri="http://schemas.openxmlformats.org/drawingml/2006/picture">
                <pic:pic>
                  <pic:nvPicPr>
                    <pic:cNvPr descr="figures/A3_gradient_descen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del costo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frente a la iteración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para las tres tasas de aprendizaje (</w:t>
      </w:r>
      <m:oMath>
        <m:r>
          <m:t>α</m:t>
        </m:r>
      </m:oMath>
      <w:r>
        <w:t xml:space="preserve"> </w:t>
      </w:r>
      <w:r>
        <w:t xml:space="preserve">pequeña, adecuada y divergente).</w:t>
      </w:r>
    </w:p>
    <w:bookmarkEnd w:id="58"/>
    <w:bookmarkStart w:id="59" w:name="tabla-comparativa-final-gd-vs-mco-exacto"/>
    <w:p>
      <w:pPr>
        <w:pStyle w:val="Heading2"/>
      </w:pPr>
      <w:r>
        <w:t xml:space="preserve">15. Tabla Comparativa Final: GD vs MCO Exacto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8"/>
        <w:gridCol w:w="1558"/>
        <w:gridCol w:w="2207"/>
        <w:gridCol w:w="27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MCO Exacto</w:t>
            </w:r>
          </w:p>
        </w:tc>
        <w:tc>
          <w:tcPr/>
          <w:p>
            <w:pPr>
              <w:pStyle w:val="Compact"/>
            </w:pPr>
            <w:r>
              <w:t xml:space="preserve">GD (α adecuada)</w:t>
            </w:r>
          </w:p>
        </w:tc>
        <w:tc>
          <w:tcPr/>
          <w:p>
            <w:pPr>
              <w:pStyle w:val="Compact"/>
            </w:pPr>
            <w:r>
              <w:t xml:space="preserve">Diferencia absoluta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(intercepto)</w:t>
            </w:r>
          </w:p>
        </w:tc>
        <w:tc>
          <w:tcPr/>
          <w:p>
            <w:pPr>
              <w:pStyle w:val="Compact"/>
            </w:pPr>
            <w:r>
              <w:t xml:space="preserve">-45,05651081</w:t>
            </w:r>
          </w:p>
        </w:tc>
        <w:tc>
          <w:tcPr/>
          <w:p>
            <w:pPr>
              <w:pStyle w:val="Compact"/>
            </w:pPr>
            <w:r>
              <w:t xml:space="preserve">-45,05650616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66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(Lagging kVarh)</w:t>
            </w:r>
          </w:p>
        </w:tc>
        <w:tc>
          <w:tcPr/>
          <w:p>
            <w:pPr>
              <w:pStyle w:val="Compact"/>
            </w:pPr>
            <w:r>
              <w:t xml:space="preserve">1,51373585</w:t>
            </w:r>
          </w:p>
        </w:tc>
        <w:tc>
          <w:tcPr/>
          <w:p>
            <w:pPr>
              <w:pStyle w:val="Compact"/>
            </w:pPr>
            <w:r>
              <w:t xml:space="preserve">1,51373592</w:t>
            </w:r>
          </w:p>
        </w:tc>
        <w:tc>
          <w:tcPr/>
          <w:p>
            <w:pPr>
              <w:pStyle w:val="Compact"/>
            </w:pP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(Leading kVarh)</w:t>
            </w:r>
          </w:p>
        </w:tc>
        <w:tc>
          <w:tcPr/>
          <w:p>
            <w:pPr>
              <w:pStyle w:val="Compact"/>
            </w:pPr>
            <w:r>
              <w:t xml:space="preserve">-1,10168123</w:t>
            </w:r>
          </w:p>
        </w:tc>
        <w:tc>
          <w:tcPr/>
          <w:p>
            <w:pPr>
              <w:pStyle w:val="Compact"/>
            </w:pPr>
            <w:r>
              <w:t xml:space="preserve">-1,10168100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(Lagging PF)</w:t>
            </w:r>
          </w:p>
        </w:tc>
        <w:tc>
          <w:tcPr/>
          <w:p>
            <w:pPr>
              <w:pStyle w:val="Compact"/>
            </w:pPr>
            <w:r>
              <w:t xml:space="preserve">0,67176410</w:t>
            </w:r>
          </w:p>
        </w:tc>
        <w:tc>
          <w:tcPr/>
          <w:p>
            <w:pPr>
              <w:pStyle w:val="Compact"/>
            </w:pPr>
            <w:r>
              <w:t xml:space="preserve">0,67176402</w:t>
            </w:r>
          </w:p>
        </w:tc>
        <w:tc>
          <w:tcPr/>
          <w:p>
            <w:pPr>
              <w:pStyle w:val="Compac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63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(NSM)</w:t>
            </w:r>
          </w:p>
        </w:tc>
        <w:tc>
          <w:tcPr/>
          <w:p>
            <w:pPr>
              <w:pStyle w:val="Compact"/>
            </w:pPr>
            <w:r>
              <w:t xml:space="preserve">0,00006658</w:t>
            </w:r>
          </w:p>
        </w:tc>
        <w:tc>
          <w:tcPr/>
          <w:p>
            <w:pPr>
              <w:pStyle w:val="Compact"/>
            </w:pPr>
            <w:r>
              <w:t xml:space="preserve">0,00006658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descenso del gradiente con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adecuada y estandarización recupera la solución exacta MCO con precisión de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en parámetros 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en costo, validando la implementación.</w:t>
      </w:r>
    </w:p>
    <w:p>
      <w:r>
        <w:pict>
          <v:rect style="width:0;height:1.5pt" o:hralign="center" o:hrstd="t" o:hr="t"/>
        </w:pict>
      </w:r>
    </w:p>
    <w:bookmarkEnd w:id="59"/>
    <w:bookmarkStart w:id="63" w:name="conclusiones-generales-parte-a"/>
    <w:p>
      <w:pPr>
        <w:pStyle w:val="Heading2"/>
      </w:pPr>
      <w:r>
        <w:t xml:space="preserve">16. Conclusiones Generales Parte A</w:t>
      </w:r>
    </w:p>
    <w:bookmarkStart w:id="60" w:name="a.1-derivación"/>
    <w:p>
      <w:pPr>
        <w:pStyle w:val="Heading3"/>
      </w:pPr>
      <w:r>
        <w:t xml:space="preserve">A.1 Derivación</w:t>
      </w:r>
    </w:p>
    <w:p>
      <w:pPr>
        <w:pStyle w:val="Compact"/>
        <w:numPr>
          <w:ilvl w:val="0"/>
          <w:numId w:val="1002"/>
        </w:numPr>
      </w:pPr>
      <w:r>
        <w:t xml:space="preserve">Modelo cuadrático captura no linealidad horaria que el lineal no puede.</w:t>
      </w:r>
    </w:p>
    <w:p>
      <w:pPr>
        <w:pStyle w:val="Compact"/>
        <w:numPr>
          <w:ilvl w:val="0"/>
          <w:numId w:val="1002"/>
        </w:numPr>
      </w:pPr>
      <w:r>
        <w:t xml:space="preserve">Derivada variable revela dinámica real: arranque (+6,27 kWh/h a las 04:00) vs parada (-2,87 kWh/h a las 18:00).</w:t>
      </w:r>
    </w:p>
    <w:p>
      <w:pPr>
        <w:pStyle w:val="Compact"/>
        <w:numPr>
          <w:ilvl w:val="0"/>
          <w:numId w:val="1002"/>
        </w:numPr>
      </w:pPr>
      <w:r>
        <w:t xml:space="preserve">Punto crítico = máximo absoluto a las 13:36:36 (44,03 kWh), coincidiendo con pico productivo turno central.</w:t>
      </w:r>
    </w:p>
    <w:bookmarkEnd w:id="60"/>
    <w:bookmarkStart w:id="61" w:name="Xfa8624c147cb94c8fbe0065f40a4c938a06178e"/>
    <w:p>
      <w:pPr>
        <w:pStyle w:val="Heading3"/>
      </w:pPr>
      <w:r>
        <w:t xml:space="preserve">A.2 Derivadas Parciales y Ecuaciones Normales</w:t>
      </w:r>
    </w:p>
    <w:p>
      <w:pPr>
        <w:pStyle w:val="Compact"/>
        <w:numPr>
          <w:ilvl w:val="0"/>
          <w:numId w:val="1003"/>
        </w:numPr>
      </w:pPr>
      <w:r>
        <w:t xml:space="preserve">Desarrollo analítico completo paso a paso desde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hasta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Cálculo numérico coincide con Statsmodels y SciPy a precisión de máquina (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Descomposición</w:t>
      </w:r>
      <w:r>
        <w:t xml:space="preserve"> </w:t>
      </w:r>
      <m:oMath>
        <m:r>
          <m:t>S</m:t>
        </m:r>
        <m:r>
          <m:t>T</m:t>
        </m:r>
        <m:r>
          <m:t>C</m:t>
        </m:r>
        <m:r>
          <m:rPr>
            <m:sty m:val="p"/>
          </m:rPr>
          <m:t>=</m:t>
        </m:r>
        <m:r>
          <m:t>S</m:t>
        </m:r>
        <m:r>
          <m:t>C</m:t>
        </m:r>
        <m:r>
          <m:t>R</m:t>
        </m:r>
        <m:r>
          <m:rPr>
            <m:sty m:val="p"/>
          </m:rPr>
          <m:t>+</m:t>
        </m:r>
        <m:r>
          <m:t>S</m:t>
        </m:r>
        <m:r>
          <m:t>C</m:t>
        </m:r>
        <m:r>
          <m:t>E</m:t>
        </m:r>
      </m:oMath>
      <w:r>
        <w:t xml:space="preserve"> </w:t>
      </w:r>
      <w:r>
        <w:t xml:space="preserve">verificada exactamente (</w:t>
      </w:r>
      <m:oMath>
        <m:r>
          <m:rPr>
            <m:sty m:val="p"/>
          </m:rPr>
          <m:t>|</m:t>
        </m:r>
        <m:r>
          <m:t>S</m:t>
        </m:r>
        <m:r>
          <m:t>T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S</m:t>
        </m:r>
        <m:r>
          <m:t>C</m:t>
        </m:r>
        <m:r>
          <m:t>R</m:t>
        </m:r>
        <m:r>
          <m:rPr>
            <m:sty m:val="p"/>
          </m:rPr>
          <m:t>+</m:t>
        </m:r>
        <m:r>
          <m:t>S</m:t>
        </m:r>
        <m:r>
          <m:t>C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bookmarkEnd w:id="61"/>
    <w:bookmarkStart w:id="62" w:name="a.3-descenso-del-gradiente"/>
    <w:p>
      <w:pPr>
        <w:pStyle w:val="Heading3"/>
      </w:pPr>
      <w:r>
        <w:t xml:space="preserve">A.3 Descenso del Gradiente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Direción opuesta al gradiente = máximo decrecimiento local.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Escalado crítico:</w:t>
      </w:r>
      <w:r>
        <w:t xml:space="preserve"> </w:t>
      </w:r>
      <w:r>
        <w:t xml:space="preserve">z-score reduce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t xml:space="preserve"> </w:t>
      </w:r>
      <w:r>
        <w:t xml:space="preserve">a 7,72, permitiendo</w:t>
      </w:r>
      <w:r>
        <w:t xml:space="preserve"> </w:t>
      </w:r>
      <m:oMath>
        <m:r>
          <m:t>α</m:t>
        </m:r>
        <m:r>
          <m:rPr>
            <m:sty m:val="p"/>
          </m:rPr>
          <m:t>∼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en lugar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Tres regímenes demostrados:</w:t>
      </w:r>
      <w:r>
        <w:t xml:space="preserve"> </w:t>
      </w:r>
      <w:r>
        <w:t xml:space="preserve">lenta convergencia (α=0,005), convergencia óptima (α=0,25, 96 iter), divergencia (α=0,75).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Criterio de parada:</w:t>
      </w:r>
      <w:r>
        <w:t xml:space="preserve"> </w:t>
      </w:r>
      <w:r>
        <w:t xml:space="preserve">cambio relativo en parámetros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Solución GD vs MCO:</w:t>
      </w:r>
      <w:r>
        <w:t xml:space="preserve"> </w:t>
      </w:r>
      <w:r>
        <w:t xml:space="preserve">coincidencia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en parámetros, validando el algoritmo.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98" w:name="parte-b-complementos-de-estadística"/>
    <w:p>
      <w:pPr>
        <w:pStyle w:val="Heading1"/>
      </w:pPr>
      <w:r>
        <w:t xml:space="preserve">PARTE B — COMPLEMENTOS DE ESTADÍSTICA</w:t>
      </w:r>
    </w:p>
    <w:p>
      <w:pPr>
        <w:pStyle w:val="FirstParagraph"/>
      </w:pPr>
      <w:r>
        <w:t xml:space="preserve">Modelo base para B.1–B.4: regresión lineal simple de $y = $</w:t>
      </w:r>
      <w:r>
        <w:t xml:space="preserve"> </w:t>
      </w:r>
      <w:r>
        <w:rPr>
          <w:rStyle w:val="VerbatimChar"/>
        </w:rPr>
        <w:t xml:space="preserve">Usage_kWh</w:t>
      </w:r>
      <w:r>
        <w:t xml:space="preserve"> </w:t>
      </w:r>
      <w:r>
        <w:t xml:space="preserve">sobre $x = $</w:t>
      </w:r>
      <w:r>
        <w:t xml:space="preserve"> </w:t>
      </w:r>
      <w:r>
        <w:rPr>
          <w:rStyle w:val="VerbatimChar"/>
        </w:rPr>
        <w:t xml:space="preserve">Lagging_Current_Reactive.Power_kVarh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</m:t>
        </m:r>
        <m:r>
          <m:t> </m:t>
        </m:r>
        <m:r>
          <m:t>040</m:t>
        </m:r>
      </m:oMath>
      <w:r>
        <w:t xml:space="preserve"> </w:t>
      </w:r>
      <w:r>
        <w:t xml:space="preserve">observaciones, ajustada en A.2: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42725816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83804597</m:t>
          </m:r>
          <m:r>
            <m:t> </m:t>
          </m:r>
          <m:r>
            <m:t>x</m:t>
          </m:r>
        </m:oMath>
      </m:oMathPara>
    </w:p>
    <w:p>
      <w:pPr>
        <w:pStyle w:val="BlockText"/>
      </w:pPr>
      <w:r>
        <w:rPr>
          <w:b/>
          <w:bCs/>
        </w:rPr>
        <w:t xml:space="preserve">Nota sobre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según la consigna (B.2 y B.4), todos los intervalos se calcularon 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 y se evaluaron 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, valor fijado en B.4 (20 kVarh para el modelo de potencia reactiva inductiva; en la tabla de B.2 se interpreta en las unidades de cada predictora).</w:t>
      </w:r>
    </w:p>
    <w:bookmarkStart w:id="70" w:name="X84f949fffbfe7a0072fd8072b1cf3dfd1ca193b"/>
    <w:p>
      <w:pPr>
        <w:pStyle w:val="Heading2"/>
      </w:pPr>
      <w:r>
        <w:t xml:space="preserve">17. B.1 — Varianza: Descomposición de la Variabilidad</w:t>
      </w:r>
    </w:p>
    <w:bookmarkStart w:id="65" w:name="planteo"/>
    <w:p>
      <w:pPr>
        <w:pStyle w:val="Heading3"/>
      </w:pPr>
      <w:r>
        <w:t xml:space="preserve">17.1 Planteo</w:t>
      </w:r>
    </w:p>
    <w:p>
      <w:pPr>
        <w:pStyle w:val="FirstParagraph"/>
      </w:pPr>
      <w:r>
        <w:t xml:space="preserve">Con los valores ajustados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42725816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83804597</m:t>
        </m:r>
      </m:oMath>
      <w:r>
        <w:t xml:space="preserve">, definimos las tres sumas de cuadrados: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C</m:t>
          </m:r>
          <m:r>
            <m:t>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65"/>
    <w:bookmarkStart w:id="66" w:name="verificación-numérica-de-stc-scr-sce"/>
    <w:p>
      <w:pPr>
        <w:pStyle w:val="Heading3"/>
      </w:pPr>
      <w:r>
        <w:t xml:space="preserve">17.2 Verificación Numérica de</w:t>
      </w:r>
      <w:r>
        <w:t xml:space="preserve"> </w:t>
      </w:r>
      <m:oMath>
        <m:r>
          <m:t>S</m:t>
        </m:r>
        <m:r>
          <m:t>T</m:t>
        </m:r>
        <m:r>
          <m:t>C</m:t>
        </m:r>
        <m:r>
          <m:rPr>
            <m:sty m:val="p"/>
          </m:rPr>
          <m:t>=</m:t>
        </m:r>
        <m:r>
          <m:t>S</m:t>
        </m:r>
        <m:r>
          <m:t>C</m:t>
        </m:r>
        <m:r>
          <m:t>R</m:t>
        </m:r>
        <m:r>
          <m:rPr>
            <m:sty m:val="p"/>
          </m:rPr>
          <m:t>+</m:t>
        </m:r>
        <m:r>
          <m:t>S</m:t>
        </m:r>
        <m:r>
          <m:t>C</m:t>
        </m:r>
        <m:r>
          <m:t>E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295"/>
        <w:gridCol w:w="2295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Suma de Cuadrados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Grados de libertad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Cuadrado 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Regresión (SCR)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31 474 534,5487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31 474 534,5487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(SCE)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7 717 516,6780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 </m:t>
              </m:r>
              <m:r>
                <m:t>038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220,2613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(STC)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39 192 051,2267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 </m:t>
              </m:r>
              <m:r>
                <m:t>039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1 118,5265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S</m:t>
          </m:r>
          <m:r>
            <m:t>T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S</m:t>
          </m:r>
          <m:r>
            <m:t>C</m:t>
          </m:r>
          <m:r>
            <m:t>R</m:t>
          </m:r>
          <m:r>
            <m:rPr>
              <m:sty m:val="p"/>
            </m:rPr>
            <m:t>+</m:t>
          </m:r>
          <m:r>
            <m:t>S</m:t>
          </m:r>
          <m:r>
            <m:t>C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39</m:t>
          </m:r>
          <m:r>
            <m:t> </m:t>
          </m:r>
          <m:r>
            <m:t>192</m:t>
          </m:r>
          <m:r>
            <m:t> </m:t>
          </m:r>
          <m:r>
            <m:t>051</m:t>
          </m:r>
          <m:r>
            <m:rPr>
              <m:sty m:val="p"/>
            </m:rPr>
            <m:t>,</m:t>
          </m:r>
          <m:r>
            <m:t>2267</m:t>
          </m:r>
          <m:r>
            <m:rPr>
              <m:sty m:val="p"/>
            </m:rPr>
            <m:t>−</m:t>
          </m:r>
          <m:r>
            <m:t>39</m:t>
          </m:r>
          <m:r>
            <m:t> </m:t>
          </m:r>
          <m:r>
            <m:t>192</m:t>
          </m:r>
          <m:r>
            <m:t> </m:t>
          </m:r>
          <m:r>
            <m:t>051</m:t>
          </m:r>
          <m:r>
            <m:rPr>
              <m:sty m:val="p"/>
            </m:rPr>
            <m:t>,</m:t>
          </m:r>
          <m:r>
            <m:t>2267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La identidad se verifica numéricamente con precisión de máquina (los residuos son ortogonales al espacio de columnas de</w:t>
      </w:r>
      <w:r>
        <w:t xml:space="preserve"> </w:t>
      </w:r>
      <m:oMath>
        <m:r>
          <m:t>X</m:t>
        </m:r>
      </m:oMath>
      <w:r>
        <w:t xml:space="preserve">).</w:t>
      </w:r>
    </w:p>
    <w:bookmarkEnd w:id="66"/>
    <w:bookmarkStart w:id="67" w:name="estimación-de-la-varianza-del-modelo"/>
    <w:p>
      <w:pPr>
        <w:pStyle w:val="Heading3"/>
      </w:pPr>
      <w:r>
        <w:t xml:space="preserve">17.3 Estimación de la Varianza del Modelo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C</m:t>
              </m:r>
              <m:r>
                <m:t>E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 </m:t>
              </m:r>
              <m:r>
                <m:t>717</m:t>
              </m:r>
              <m:r>
                <m:t> </m:t>
              </m:r>
              <m:r>
                <m:t>516</m:t>
              </m:r>
              <m:r>
                <m:rPr>
                  <m:sty m:val="p"/>
                </m:rPr>
                <m:t>,</m:t>
              </m:r>
              <m:r>
                <m:t>6780</m:t>
              </m:r>
            </m:num>
            <m:den>
              <m:r>
                <m:t>35</m:t>
              </m:r>
              <m:r>
                <m:t> </m:t>
              </m:r>
              <m:r>
                <m:t>038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220</m:t>
              </m:r>
              <m:r>
                <m:rPr>
                  <m:sty m:val="p"/>
                </m:rPr>
                <m:t>,</m:t>
              </m:r>
              <m:r>
                <m:t>261336</m:t>
              </m:r>
              <m:r>
                <m:t> </m:t>
              </m:r>
              <m:sSup>
                <m:e>
                  <m:r>
                    <m:rPr>
                      <m:nor/>
                      <m:sty m:val="p"/>
                    </m:rPr>
                    <m:t>kWh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bookmarkEnd w:id="67"/>
    <w:bookmarkStart w:id="68" w:name="coeficiente-de-determinación-r2"/>
    <w:p>
      <w:pPr>
        <w:pStyle w:val="Heading3"/>
      </w:pPr>
      <w:r>
        <w:t xml:space="preserve">17.4 Coeficiente de Determinación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C</m:t>
              </m:r>
              <m:r>
                <m:t>E</m:t>
              </m:r>
            </m:num>
            <m:den>
              <m:r>
                <m:t>S</m:t>
              </m:r>
              <m:r>
                <m:t>T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</m:t>
              </m:r>
              <m:r>
                <m:t> </m:t>
              </m:r>
              <m:r>
                <m:t>717</m:t>
              </m:r>
              <m:r>
                <m:t> </m:t>
              </m:r>
              <m:r>
                <m:t>516</m:t>
              </m:r>
              <m:r>
                <m:rPr>
                  <m:sty m:val="p"/>
                </m:rPr>
                <m:t>,</m:t>
              </m:r>
              <m:r>
                <m:t>6780</m:t>
              </m:r>
            </m:num>
            <m:den>
              <m:r>
                <m:t>39</m:t>
              </m:r>
              <m:r>
                <m:t> </m:t>
              </m:r>
              <m:r>
                <m:t>192</m:t>
              </m:r>
              <m:r>
                <m:t> </m:t>
              </m:r>
              <m:r>
                <m:t>051</m:t>
              </m:r>
              <m:r>
                <m:rPr>
                  <m:sty m:val="p"/>
                </m:rPr>
                <m:t>,</m:t>
              </m:r>
              <m:r>
                <m:t>2267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803085</m:t>
              </m:r>
            </m:e>
          </m:borderBox>
        </m:oMath>
      </m:oMathPara>
    </w:p>
    <w:p>
      <w:pPr>
        <w:pStyle w:val="FirstParagraph"/>
      </w:pPr>
      <w:r>
        <w:t xml:space="preserve">Verificación de la forma equivalente: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S</m:t>
        </m:r>
        <m:r>
          <m:t>C</m:t>
        </m:r>
        <m:r>
          <m:t>R</m:t>
        </m:r>
        <m:r>
          <m:rPr>
            <m:sty m:val="p"/>
          </m:rPr>
          <m:t>/</m:t>
        </m:r>
        <m:r>
          <m:t>S</m:t>
        </m:r>
        <m:r>
          <m:t>T</m:t>
        </m:r>
        <m:r>
          <m:t>C</m:t>
        </m:r>
        <m:r>
          <m:rPr>
            <m:sty m:val="p"/>
          </m:rPr>
          <m:t>=</m:t>
        </m:r>
        <m:r>
          <m:t>31</m:t>
        </m:r>
        <m:r>
          <m:t> </m:t>
        </m:r>
        <m:r>
          <m:t>474</m:t>
        </m:r>
        <m:r>
          <m:t> </m:t>
        </m:r>
        <m:r>
          <m:t>534</m:t>
        </m:r>
        <m:r>
          <m:rPr>
            <m:sty m:val="p"/>
          </m:rPr>
          <m:t>,</m:t>
        </m:r>
        <m:r>
          <m:t>5487</m:t>
        </m:r>
        <m:r>
          <m:rPr>
            <m:sty m:val="p"/>
          </m:rPr>
          <m:t>/</m:t>
        </m:r>
        <m:r>
          <m:t>39</m:t>
        </m:r>
        <m:r>
          <m:t> </m:t>
        </m:r>
        <m:r>
          <m:t>192</m:t>
        </m:r>
        <m:r>
          <m:t> </m:t>
        </m:r>
        <m:r>
          <m:t>051</m:t>
        </m:r>
        <m:r>
          <m:rPr>
            <m:sty m:val="p"/>
          </m:rPr>
          <m:t>,</m:t>
        </m:r>
        <m:r>
          <m:t>2267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803085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80,31%</w:t>
      </w:r>
      <w:r>
        <w:t xml:space="preserve"> </w:t>
      </w:r>
      <w:r>
        <w:t xml:space="preserve">de la variabilidad total del consumo eléctrico (</w:t>
      </w:r>
      <w:r>
        <w:rPr>
          <w:rStyle w:val="VerbatimChar"/>
        </w:rPr>
        <w:t xml:space="preserve">Usage_kWh</w:t>
      </w:r>
      <w:r>
        <w:t xml:space="preserve">) queda explicada por su relación lineal con la potencia reactiva inductiva (</w:t>
      </w:r>
      <w:r>
        <w:rPr>
          <w:rStyle w:val="VerbatimChar"/>
        </w:rPr>
        <w:t xml:space="preserve">Lagging_Current_Reactive.Power_kVarh</w:t>
      </w:r>
      <w:r>
        <w:t xml:space="preserve">).</w:t>
      </w:r>
    </w:p>
    <w:bookmarkEnd w:id="68"/>
    <w:bookmarkStart w:id="69" w:name="qué-no-significa-r2"/>
    <w:p>
      <w:pPr>
        <w:pStyle w:val="Heading3"/>
      </w:pPr>
      <w:r>
        <w:t xml:space="preserve">17.5 Qué NO significa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implica causalidad directa:</w:t>
      </w:r>
      <w:r>
        <w:t xml:space="preserve"> </w:t>
      </w:r>
      <w:r>
        <w:t xml:space="preserve">el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mide asociación lineal, no relación causa–efecto. Ambas variables pueden ser co-impulsadas por la carga térmica de los hornos.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garantiza que el modelo lineal sea la forma funcional correcta:</w:t>
      </w:r>
      <w:r>
        <w:t xml:space="preserve"> </w:t>
      </w:r>
      <w:r>
        <w:t xml:space="preserve">podría existir curvatura no capturada por la recta.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mide la magnitud de la pendiente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ni protege contra sesgo por variables omitidas (</w:t>
      </w:r>
      <w:r>
        <w:rPr>
          <w:rStyle w:val="VerbatimChar"/>
        </w:rPr>
        <w:t xml:space="preserve">Load_Type</w:t>
      </w:r>
      <w:r>
        <w:t xml:space="preserve">, horarios, días de la semana).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asegura predicciones precisas para observaciones individuales:</w:t>
      </w:r>
      <w:r>
        <w:t xml:space="preserve"> </w:t>
      </w:r>
      <w:r>
        <w:t xml:space="preserve">con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kWh², la desviación típica residual 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14</m:t>
        </m:r>
        <m:r>
          <m:rPr>
            <m:sty m:val="p"/>
          </m:rPr>
          <m:t>,</m:t>
        </m:r>
        <m:r>
          <m:t>84</m:t>
        </m:r>
      </m:oMath>
      <w:r>
        <w:t xml:space="preserve"> </w:t>
      </w:r>
      <w:r>
        <w:t xml:space="preserve">kWh por intervalo (se comprueba en B.4 con la amplitud del IP).</w:t>
      </w:r>
    </w:p>
    <w:bookmarkEnd w:id="69"/>
    <w:bookmarkEnd w:id="70"/>
    <w:bookmarkStart w:id="78" w:name="Xe152d4749a30a3ef2c3bd9a1be4963184822d85"/>
    <w:p>
      <w:pPr>
        <w:pStyle w:val="Heading2"/>
      </w:pPr>
      <w:r>
        <w:t xml:space="preserve">18. B.2 — Regresión Lineal Simple: Cuatro Modelos</w:t>
      </w:r>
    </w:p>
    <w:bookmarkStart w:id="71" w:name="elementos-comunes-de-cálculo"/>
    <w:p>
      <w:pPr>
        <w:pStyle w:val="Heading3"/>
      </w:pPr>
      <w:r>
        <w:t xml:space="preserve">18.1 Elementos Comunes de Cálculo</w:t>
      </w:r>
    </w:p>
    <w:p>
      <w:pPr>
        <w:pStyle w:val="FirstParagraph"/>
      </w:pPr>
      <w:r>
        <w:t xml:space="preserve">Para cada predictora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se ajustó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t>x</m:t>
        </m:r>
      </m:oMath>
      <w:r>
        <w:t xml:space="preserve"> </w:t>
      </w:r>
      <w:r>
        <w:t xml:space="preserve">por MCO y se calcularon, con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S</m:t>
        </m:r>
        <m:r>
          <m:t>C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propio de cada modelo:</w:t>
      </w:r>
    </w:p>
    <w:p>
      <w:pPr>
        <w:pStyle w:val="Compact"/>
        <w:numPr>
          <w:ilvl w:val="0"/>
          <w:numId w:val="1006"/>
        </w:numPr>
      </w:pPr>
      <w:r>
        <w:t xml:space="preserve">Errores estándar: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rad>
      </m:oMath>
      <w:r>
        <w:t xml:space="preserve"> </w:t>
      </w:r>
      <w:r>
        <w:t xml:space="preserve">y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den>
                </m:f>
              </m:e>
            </m:d>
          </m:e>
        </m:rad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 de coeficientes (95%):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±</m:t>
        </m:r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025</m:t>
        </m:r>
        <m:r>
          <m:rPr>
            <m:sty m:val="p"/>
          </m:rPr>
          <m:t>;</m:t>
        </m:r>
        <m:r>
          <m:t> </m:t>
        </m:r>
        <m:r>
          <m:t>35</m:t>
        </m:r>
        <m:r>
          <m:t> </m:t>
        </m:r>
        <m:r>
          <m:t>038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S</m:t>
        </m:r>
        <m:r>
          <m:t>E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025</m:t>
        </m:r>
        <m:r>
          <m:rPr>
            <m:sty m:val="p"/>
          </m:rPr>
          <m:t>;</m:t>
        </m:r>
        <m:r>
          <m:t> </m:t>
        </m:r>
        <m:r>
          <m:t>35</m:t>
        </m:r>
        <m:r>
          <m:t> </m:t>
        </m:r>
        <m:r>
          <m:t>038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960032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ICM (95%):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den>
                </m:f>
              </m:e>
            </m:d>
          </m:e>
        </m:rad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(95%):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den>
                </m:f>
              </m:e>
            </m:d>
          </m:e>
        </m:rad>
      </m:oMath>
    </w:p>
    <w:bookmarkEnd w:id="71"/>
    <w:bookmarkStart w:id="72" w:name="X7684a15f00179bd0b4f1e8b8ab11aae55f501bd"/>
    <w:p>
      <w:pPr>
        <w:pStyle w:val="Heading3"/>
      </w:pPr>
      <w:r>
        <w:t xml:space="preserve">18.2 Cuadro Resumen Completo (valores en unidades del problema)</w:t>
      </w:r>
    </w:p>
    <w:p>
      <w:pPr>
        <w:pStyle w:val="FirstParagraph"/>
      </w:pPr>
      <w:r>
        <w:t xml:space="preserve">Para las cuatro predictoras (con nombres completos de columna:</w:t>
      </w:r>
      <w:r>
        <w:t xml:space="preserve"> </w:t>
      </w:r>
      <w:r>
        <w:rPr>
          <w:rStyle w:val="VerbatimChar"/>
        </w:rPr>
        <w:t xml:space="preserve">Lagging_Current_Reactive.Power_kVarh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Leading_Current_Reactive_Power_kVarh</w:t>
      </w:r>
      <w:r>
        <w:t xml:space="preserve">,</w:t>
      </w:r>
      <w:r>
        <w:t xml:space="preserve"> </w:t>
      </w:r>
      <w:r>
        <w:rPr>
          <w:rStyle w:val="VerbatimChar"/>
        </w:rPr>
        <w:t xml:space="preserve">Lagging_Current_Power_Factor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NSM</w:t>
      </w:r>
      <w:r>
        <w:t xml:space="preserve">), ajustes e indicadores de bondad: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Lagging kVarh (inductiva)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4273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8380</m:t>
              </m:r>
              <m:r>
                <m:t> 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220,2613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 kVarh (capacitiva)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33</m:t>
              </m:r>
              <m:r>
                <m:rPr>
                  <m:sty m:val="p"/>
                </m:rPr>
                <m:t>,</m:t>
              </m:r>
              <m:r>
                <m:t>0526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4636</m:t>
              </m:r>
              <m:r>
                <m:t> 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1000,4676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Lagging PF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,</m:t>
              </m:r>
              <m:r>
                <m:t>5838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6822</m:t>
              </m:r>
              <m:r>
                <m:t> 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951,9319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13</m:t>
              </m:r>
              <m:r>
                <m:rPr>
                  <m:sty m:val="p"/>
                </m:rPr>
                <m:t>,</m:t>
              </m:r>
              <m:r>
                <m:t>9376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1460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t> 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1056,9908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0,0550</w:t>
            </w:r>
          </w:p>
        </w:tc>
      </w:tr>
    </w:tbl>
    <w:p>
      <w:pPr>
        <w:pStyle w:val="BodyText"/>
      </w:pPr>
      <w:r>
        <w:t xml:space="preserve">Intervalos 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coeficientes y para la respuesta 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(unidades de cada predictora):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84"/>
        <w:gridCol w:w="1705"/>
        <w:gridCol w:w="1705"/>
        <w:gridCol w:w="17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IC(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IC(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ICM(</w:t>
            </w:r>
            <m:oMath>
              <m:r>
                <m:t>Y</m:t>
              </m:r>
              <m:r>
                <m:rPr>
                  <m:sty m:val="p"/>
                </m:rPr>
                <m:t>|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IP(</w:t>
            </w:r>
            <m:oMath>
              <m:r>
                <m:t>Y</m:t>
              </m:r>
              <m:r>
                <m:rPr>
                  <m:sty m:val="p"/>
                </m:rPr>
                <m:t>|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Lagging kVarh (inductiva)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8285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8476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2283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6262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0192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3572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0985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69</m:t>
              </m:r>
              <m:r>
                <m:rPr>
                  <m:sty m:val="p"/>
                </m:rPr>
                <m:t>,</m:t>
              </m:r>
              <m:r>
                <m:t>2779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Leading kVarh (capacitiva)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5083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4190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32</m:t>
              </m:r>
              <m:r>
                <m:rPr>
                  <m:sty m:val="p"/>
                </m:rPr>
                <m:t>,</m:t>
              </m:r>
              <m:r>
                <m:t>6791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4261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9876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5717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58</m:t>
              </m:r>
              <m:r>
                <m:rPr>
                  <m:sty m:val="p"/>
                </m:rPr>
                <m:t>,</m:t>
              </m:r>
              <m:r>
                <m:t>2216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7808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Lagging PF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6651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6993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,</m:t>
              </m:r>
              <m:r>
                <m:t>9970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26</m:t>
              </m:r>
              <m:r>
                <m:rPr>
                  <m:sty m:val="p"/>
                </m:rPr>
                <m:t>,</m:t>
              </m:r>
              <m:r>
                <m:t>1706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,</m:t>
              </m:r>
              <m:r>
                <m:t>0233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8561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74</m:t>
              </m:r>
              <m:r>
                <m:rPr>
                  <m:sty m:val="p"/>
                </m:rPr>
                <m:t>,</m:t>
              </m:r>
              <m:r>
                <m:t>4231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46</m:t>
              </m:r>
              <m:r>
                <m:rPr>
                  <m:sty m:val="p"/>
                </m:rPr>
                <m:t>,</m:t>
              </m:r>
              <m:r>
                <m:t>5436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282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2620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6131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2685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6192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49</m:t>
              </m:r>
              <m:r>
                <m:rPr>
                  <m:sty m:val="p"/>
                </m:rPr>
                <m:t>,</m:t>
              </m:r>
              <m:r>
                <m:t>7831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77</m:t>
              </m:r>
              <m:r>
                <m:rPr>
                  <m:sty m:val="p"/>
                </m:rPr>
                <m:t>,</m:t>
              </m:r>
              <m:r>
                <m:t>6708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Observación:</w:t>
      </w:r>
      <w:r>
        <w:t xml:space="preserve"> </w:t>
      </w:r>
      <w:r>
        <w:t xml:space="preserve">en los modelos 2 y 3 los ICM/IP 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arrojan límites inferiores negativos (consumo físico imposible), señal de que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cae en zona de extrapolación forzada por la consigna; el modelo 4 evalúa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segundos (00:00:20). Esto reafirma que la única predictora con significado físico pleno 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kVarh es la inductiva.</w:t>
      </w:r>
    </w:p>
    <w:bookmarkEnd w:id="72"/>
    <w:bookmarkStart w:id="73" w:name="selección-del-mejor-predictor"/>
    <w:p>
      <w:pPr>
        <w:pStyle w:val="Heading3"/>
      </w:pPr>
      <w:r>
        <w:t xml:space="preserve">18.3 Selección del Mejor Predictor</w:t>
      </w:r>
    </w:p>
    <w:p>
      <w:pPr>
        <w:pStyle w:val="FirstParagraph"/>
      </w:pPr>
      <w:r>
        <w:rPr>
          <w:b/>
          <w:bCs/>
        </w:rPr>
        <w:t xml:space="preserve">Elección: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Lagging_Current_Reactive.Power_kVarh</w:t>
      </w:r>
      <w:r>
        <w:t xml:space="preserve">, con justificación triple: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Mayor</w:t>
      </w:r>
      <w:r>
        <w:rPr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8031</m:t>
        </m:r>
      </m:oMath>
      <w:r>
        <w:t xml:space="preserve"> </w:t>
      </w:r>
      <w:r>
        <w:t xml:space="preserve">frente 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1490</m:t>
        </m:r>
      </m:oMath>
      <w:r>
        <w:t xml:space="preserve"> </w:t>
      </w:r>
      <w:r>
        <w:t xml:space="preserve">(PF inductivo),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1056</m:t>
        </m:r>
      </m:oMath>
      <w:r>
        <w:t xml:space="preserve"> </w:t>
      </w:r>
      <w:r>
        <w:t xml:space="preserve">(reactiva capacitiva) 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0550</m:t>
        </m:r>
      </m:oMath>
      <w:r>
        <w:t xml:space="preserve"> </w:t>
      </w:r>
      <w:r>
        <w:t xml:space="preserve">(NSM). Explica ~80% de la variabilidad, más de 5× que el segundo mejor predictor.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Menor varianza residual: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kWh², unas 4–5 veces menor que las de los otros modelos (951–1057 kWh²), es decir, errores típicos de predicción mucho menores.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Sentido físico:</w:t>
      </w:r>
      <w:r>
        <w:t xml:space="preserve"> </w:t>
      </w:r>
      <w:r>
        <w:t xml:space="preserve">los hornos de arco eléctrico y los motores de inducción de la acería consumen potencia activa y reactiva inductiva de manera acoplada: la magnetización de todo el equipamiento genera directamente kVarh inductivos, de modo que ambos crecen juntos con la carga productiva.</w:t>
      </w:r>
    </w:p>
    <w:bookmarkEnd w:id="73"/>
    <w:bookmarkStart w:id="77" w:name="gráfico-del-mejor-modelo"/>
    <w:p>
      <w:pPr>
        <w:pStyle w:val="Heading3"/>
      </w:pPr>
      <w:r>
        <w:t xml:space="preserve">18.4 Gráfico del Mejor Modelo</w:t>
      </w:r>
    </w:p>
    <w:p>
      <w:pPr>
        <w:pStyle w:val="FirstParagraph"/>
      </w:pPr>
      <w:r>
        <w:t xml:space="preserve">Se genera</w:t>
      </w:r>
      <w:r>
        <w:t xml:space="preserve"> </w:t>
      </w:r>
      <w:r>
        <w:rPr>
          <w:rStyle w:val="VerbatimChar"/>
        </w:rPr>
        <w:t xml:space="preserve">figures/B2_mejor_modelo.png</w:t>
      </w:r>
      <w:r>
        <w:t xml:space="preserve"> </w:t>
      </w:r>
      <w:r>
        <w:t xml:space="preserve">(300 DPI): diagrama de dispersión de</w:t>
      </w:r>
      <w:r>
        <w:t xml:space="preserve"> </w:t>
      </w:r>
      <w:r>
        <w:rPr>
          <w:rStyle w:val="VerbatimChar"/>
        </w:rPr>
        <w:t xml:space="preserve">Usage_kWh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Lagging_Current_Reactive.Power_kVarh</w:t>
      </w:r>
      <w:r>
        <w:t xml:space="preserve"> </w:t>
      </w:r>
      <w:r>
        <w:t xml:space="preserve">(muestra de 5 000 puntos) con la recta de mínimos cuadrados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4273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8380</m:t>
        </m:r>
        <m:r>
          <m:t> </m:t>
        </m:r>
        <m:r>
          <m:t>x</m:t>
        </m:r>
      </m:oMath>
      <w:r>
        <w:t xml:space="preserve"> </w:t>
      </w:r>
      <w:r>
        <w:t xml:space="preserve">superpuesta.</w:t>
      </w:r>
    </w:p>
    <w:p>
      <w:pPr>
        <w:pStyle w:val="CaptionedFigure"/>
      </w:pPr>
      <w:r>
        <w:drawing>
          <wp:inline>
            <wp:extent cx="5334000" cy="3984705"/>
            <wp:effectExtent b="0" l="0" r="0" t="0"/>
            <wp:docPr descr="Diagrama de dispersión de Usage_kWh vs Lagging_Current_Reactive.Power_kVarh con la recta de mínimos cuadrados superpuesta." title="" id="75" name="Picture"/>
            <a:graphic>
              <a:graphicData uri="http://schemas.openxmlformats.org/drawingml/2006/picture">
                <pic:pic>
                  <pic:nvPicPr>
                    <pic:cNvPr descr="figures/B2_mejor_modelo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dispersión de Usage_kWh vs Lagging_Current_Reactive.Power_kVarh con la recta de mínimos cuadrados superpuesta.</w:t>
      </w:r>
    </w:p>
    <w:bookmarkEnd w:id="77"/>
    <w:bookmarkEnd w:id="78"/>
    <w:bookmarkStart w:id="83" w:name="b.3-test-de-hipótesis-sobre-la-pendiente"/>
    <w:p>
      <w:pPr>
        <w:pStyle w:val="Heading2"/>
      </w:pPr>
      <w:r>
        <w:t xml:space="preserve">19. B.3 — Test de Hipótesis sobre la Pendiente</w:t>
      </w:r>
    </w:p>
    <w:bookmarkStart w:id="79" w:name="planteo-formal"/>
    <w:p>
      <w:pPr>
        <w:pStyle w:val="Heading3"/>
      </w:pPr>
      <w:r>
        <w:t xml:space="preserve">19.1 Planteo Formal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vs.</m:t>
          </m:r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r>
            <m:t>0</m:t>
          </m:r>
          <m:r>
            <m:t> 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05</m:t>
          </m:r>
          <m:r>
            <m:rPr>
              <m:sty m:val="p"/>
            </m:rPr>
            <m:t>)</m:t>
          </m:r>
        </m:oMath>
      </m:oMathPara>
    </w:p>
    <w:bookmarkEnd w:id="79"/>
    <w:bookmarkStart w:id="80" w:name="X14381bdbbf51812e328f27a8550a936434fd6e8"/>
    <w:p>
      <w:pPr>
        <w:pStyle w:val="Heading3"/>
      </w:pPr>
      <w:r>
        <w:t xml:space="preserve">19.2 Estadístico de Prueba (con sustitución numérica explícita)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838046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220</m:t>
                  </m:r>
                  <m:r>
                    <m:rPr>
                      <m:sty m:val="p"/>
                    </m:rPr>
                    <m:t>,</m:t>
                  </m:r>
                  <m:r>
                    <m:t>261336</m:t>
                  </m:r>
                  <m:r>
                    <m:rPr>
                      <m:sty m:val="p"/>
                    </m:rPr>
                    <m:t>/</m:t>
                  </m:r>
                  <m:r>
                    <m:t>9</m:t>
                  </m:r>
                  <m:r>
                    <m:t> </m:t>
                  </m:r>
                  <m:r>
                    <m:t>316</m:t>
                  </m:r>
                  <m:r>
                    <m:t> </m:t>
                  </m:r>
                  <m:r>
                    <m:t>366</m:t>
                  </m:r>
                  <m:r>
                    <m:rPr>
                      <m:sty m:val="p"/>
                    </m:rPr>
                    <m:t>,</m:t>
                  </m:r>
                  <m:r>
                    <m:t>769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838046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3646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borderBox>
            <m:e>
              <m:r>
                <m:t>378</m:t>
              </m:r>
              <m:r>
                <m:rPr>
                  <m:sty m:val="p"/>
                </m:rPr>
                <m:t>,</m:t>
              </m:r>
              <m:r>
                <m:t>016297</m:t>
              </m:r>
            </m:e>
          </m:borderBox>
        </m:oMath>
      </m:oMathPara>
    </w:p>
    <w:p>
      <w:pPr>
        <w:pStyle w:val="FirstParagraph"/>
      </w:pPr>
      <w:r>
        <w:t xml:space="preserve">Bajo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sty m:val="p"/>
              </m:rPr>
              <m:t>(</m:t>
            </m:r>
            <m:r>
              <m:t>35</m:t>
            </m:r>
            <m:r>
              <m:t> </m:t>
            </m:r>
            <m:r>
              <m:t>038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80"/>
    <w:bookmarkStart w:id="81" w:name="valor-crítico-y-regla-de-decisión"/>
    <w:p>
      <w:pPr>
        <w:pStyle w:val="Heading3"/>
      </w:pPr>
      <w:r>
        <w:t xml:space="preserve">19.3 Valor Crítico y Regla de Decisión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025</m:t>
          </m:r>
          <m:r>
            <m:rPr>
              <m:sty m:val="p"/>
            </m:rPr>
            <m:t>;</m:t>
          </m:r>
          <m:r>
            <m:t> </m:t>
          </m:r>
          <m:r>
            <m:t>35</m:t>
          </m:r>
          <m:r>
            <m:t> </m:t>
          </m:r>
          <m:r>
            <m:t>038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960032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Regla: rechazar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si 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,</m:t>
          </m:r>
          <m:r>
            <m:t>960032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378</m:t>
          </m:r>
          <m:r>
            <m:rPr>
              <m:sty m:val="p"/>
            </m:rPr>
            <m:t>,</m:t>
          </m:r>
          <m:r>
            <m:t>016297</m:t>
          </m:r>
          <m:r>
            <m:rPr>
              <m:sty m:val="p"/>
            </m:rPr>
            <m:t>≫</m:t>
          </m:r>
          <m:r>
            <m:t>1</m:t>
          </m:r>
          <m:r>
            <m:rPr>
              <m:sty m:val="p"/>
            </m:rPr>
            <m:t>,</m:t>
          </m:r>
          <m:r>
            <m:t>960032</m:t>
          </m:r>
          <m:r>
            <m:t> </m:t>
          </m:r>
          <m:r>
            <m:rPr>
              <m:sty m:val="p"/>
            </m:rPr>
            <m:t>⟹</m:t>
          </m:r>
          <m:r>
            <m:t> </m:t>
          </m:r>
          <m:r>
            <m:rPr>
              <m:nor/>
              <m:sty m:val="b"/>
            </m:rPr>
            <m:t>SE RECHAZA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Valor-</w:t>
      </w:r>
      <m:oMath>
        <m:r>
          <m:t>p</m:t>
        </m:r>
      </m:oMath>
      <w:r>
        <w:t xml:space="preserve">:</w:t>
      </w:r>
      <w:r>
        <w:t xml:space="preserve"> </w:t>
      </w:r>
      <m:oMath>
        <m:r>
          <m:t>2</m:t>
        </m:r>
        <m:r>
          <m:t> </m:t>
        </m:r>
        <m:r>
          <m:t>P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35</m:t>
            </m:r>
            <m:r>
              <m:t> </m:t>
            </m:r>
            <m:r>
              <m:t>038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|</m:t>
        </m:r>
        <m:r>
          <m:t>378</m:t>
        </m:r>
        <m:r>
          <m:rPr>
            <m:sty m:val="p"/>
          </m:rPr>
          <m:t>,</m:t>
        </m:r>
        <m:r>
          <m:t>02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</m:t>
        </m:r>
      </m:oMath>
      <w:r>
        <w:t xml:space="preserve"> </w:t>
      </w:r>
      <w:r>
        <w:t xml:space="preserve">(numéricamente cero,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300</m:t>
            </m:r>
          </m:sup>
        </m:sSup>
      </m:oMath>
      <w:r>
        <w:t xml:space="preserve">).</w:t>
      </w:r>
    </w:p>
    <w:bookmarkEnd w:id="81"/>
    <w:bookmarkStart w:id="82" w:name="conclusión-en-lenguaje-industrial"/>
    <w:p>
      <w:pPr>
        <w:pStyle w:val="Heading3"/>
      </w:pPr>
      <w:r>
        <w:t xml:space="preserve">19.4 Conclusión en Lenguaje Industrial</w:t>
      </w:r>
    </w:p>
    <w:p>
      <w:pPr>
        <w:pStyle w:val="BlockText"/>
      </w:pPr>
      <w:r>
        <w:rPr>
          <w:b/>
          <w:bCs/>
        </w:rPr>
        <w:t xml:space="preserve">Se rechaza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al nivel del 5%.</w:t>
      </w:r>
      <w:r>
        <w:t xml:space="preserve"> </w:t>
      </w:r>
      <w:r>
        <w:t xml:space="preserve">Existe evidencia estadística abrumadora de que la relación lineal entre la potencia reactiva inductiva y el consumo eléctrico de la planta no es fruto del azar: cada kVarh adicional de potencia reactiva inductiva se asocia en promedio con</w:t>
      </w:r>
      <w:r>
        <w:t xml:space="preserve"> </w:t>
      </w:r>
      <w:r>
        <w:rPr>
          <w:b/>
          <w:bCs/>
        </w:rPr>
        <w:t xml:space="preserve">+1,838 kWh</w:t>
      </w:r>
      <w:r>
        <w:t xml:space="preserve"> </w:t>
      </w:r>
      <w:r>
        <w:t xml:space="preserve">de consumo en el intervalo de 15 minutos. En términos de gestión energética: el medidor reactiva inductiva funciona como un termómetro fiable de la carga productiva, y su monitoreo permite anticipar el consumo activo (y por ende la factura) de los hornos y motores de la planta.</w:t>
      </w:r>
    </w:p>
    <w:bookmarkEnd w:id="82"/>
    <w:bookmarkEnd w:id="83"/>
    <w:bookmarkStart w:id="88" w:name="X4cd5604de5d65b5660f31dc02bfd7d14d50854a"/>
    <w:p>
      <w:pPr>
        <w:pStyle w:val="Heading2"/>
      </w:pPr>
      <w:r>
        <w:t xml:space="preserve">20. B.4 — Intervalos para la Respuesta Media y de Predicción</w:t>
      </w:r>
    </w:p>
    <w:bookmarkStart w:id="84" w:name="valor-puntual-en-x-20-kvarh"/>
    <w:p>
      <w:pPr>
        <w:pStyle w:val="Heading3"/>
      </w:pPr>
      <w:r>
        <w:t xml:space="preserve">20.1 Valor Puntual 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kVarh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427258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838046</m:t>
          </m:r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=</m:t>
          </m:r>
          <m:borderBox>
            <m:e>
              <m:r>
                <m:t>40</m:t>
              </m:r>
              <m:r>
                <m:rPr>
                  <m:sty m:val="p"/>
                </m:rPr>
                <m:t>,</m:t>
              </m:r>
              <m:r>
                <m:t>188178</m:t>
              </m:r>
              <m:r>
                <m:t> </m:t>
              </m:r>
              <m:r>
                <m:rPr>
                  <m:nor/>
                  <m:sty m:val="p"/>
                </m:rPr>
                <m:t>kWh</m:t>
              </m:r>
            </m:e>
          </m:borderBox>
        </m:oMath>
      </m:oMathPara>
    </w:p>
    <w:bookmarkEnd w:id="84"/>
    <w:bookmarkStart w:id="85" w:name="X46a3d884c2bd8ca87143b22206fb19205901bec"/>
    <w:p>
      <w:pPr>
        <w:pStyle w:val="Heading3"/>
      </w:pPr>
      <w:r>
        <w:t xml:space="preserve">20.2 Intervalo de Confianza para la Respuesta Media — ICM(</w:t>
      </w:r>
      <m:oMath>
        <m:r>
          <m:t>Y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)</w:t>
      </w:r>
    </w:p>
    <w:p>
      <w:pPr>
        <w:pStyle w:val="FirstParagraph"/>
      </w:pPr>
      <w:r>
        <w:t xml:space="preserve">Términos: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</m:t>
        </m:r>
        <m:r>
          <m:t> </m:t>
        </m:r>
        <m:r>
          <m:t>040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035384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9</m:t>
        </m:r>
        <m:r>
          <m:t> </m:t>
        </m:r>
        <m:r>
          <m:t>316</m:t>
        </m:r>
        <m:r>
          <m:t> </m:t>
        </m:r>
        <m:r>
          <m:t>366</m:t>
        </m:r>
        <m:r>
          <m:rPr>
            <m:sty m:val="p"/>
          </m:rPr>
          <m:t>,</m:t>
        </m:r>
        <m:r>
          <m:t>769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220</m:t>
        </m:r>
        <m:r>
          <m:rPr>
            <m:sty m:val="p"/>
          </m:rPr>
          <m:t>,</m:t>
        </m:r>
        <m:r>
          <m:t>261336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025</m:t>
            </m:r>
            <m:r>
              <m:rPr>
                <m:sty m:val="p"/>
              </m:rPr>
              <m:t>;</m:t>
            </m:r>
            <m:r>
              <m:t>35</m:t>
            </m:r>
            <m:r>
              <m:t> </m:t>
            </m:r>
            <m:r>
              <m:t>038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960032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8539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−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0354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  <m:r>
                <m:t> </m:t>
              </m:r>
              <m:r>
                <m:t>316</m:t>
              </m:r>
              <m:r>
                <m:t> </m:t>
              </m:r>
              <m:r>
                <m:t>366</m:t>
              </m:r>
              <m:r>
                <m:rPr>
                  <m:sty m:val="p"/>
                </m:rPr>
                <m:t>,</m:t>
              </m:r>
              <m:r>
                <m:t>77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3745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220</m:t>
              </m:r>
              <m:r>
                <m:rPr>
                  <m:sty m:val="p"/>
                </m:rPr>
                <m:t>,</m:t>
              </m:r>
              <m:r>
                <m:t>261336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3745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086214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C</m:t>
          </m:r>
          <m:r>
            <m:t>M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188178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960032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086214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188178</m:t>
          </m:r>
          <m:r>
            <m:rPr>
              <m:sty m:val="p"/>
            </m:rPr>
            <m:t>±</m:t>
          </m:r>
          <m:r>
            <m:t>0</m:t>
          </m:r>
          <m:r>
            <m:rPr>
              <m:sty m:val="p"/>
            </m:rPr>
            <m:t>,</m:t>
          </m:r>
          <m:r>
            <m:t>168981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t>C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0192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3572</m:t>
              </m:r>
              <m:r>
                <m:rPr>
                  <m:sty m:val="p"/>
                </m:rPr>
                <m:t>]</m:t>
              </m:r>
              <m:r>
                <m:t> </m:t>
              </m:r>
              <m:r>
                <m:rPr>
                  <m:nor/>
                  <m:sty m:val="p"/>
                </m:rPr>
                <m:t>kWh</m:t>
              </m:r>
            </m:e>
          </m:borderBox>
        </m:oMath>
      </m:oMathPara>
    </w:p>
    <w:bookmarkEnd w:id="85"/>
    <w:bookmarkStart w:id="86" w:name="intervalo-de-predicción-ipyx20"/>
    <w:p>
      <w:pPr>
        <w:pStyle w:val="Heading3"/>
      </w:pPr>
      <w:r>
        <w:t xml:space="preserve">20.3 Intervalo de Predicción — IP(</w:t>
      </w:r>
      <m:oMath>
        <m:r>
          <m:t>Y</m:t>
        </m:r>
        <m:r>
          <m:rPr>
            <m:sty m:val="p"/>
          </m:rPr>
          <m:t>|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,</m:t>
          </m:r>
          <m:r>
            <m:t>3745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000034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220</m:t>
              </m:r>
              <m:r>
                <m:rPr>
                  <m:sty m:val="p"/>
                </m:rPr>
                <m:t>,</m:t>
              </m:r>
              <m:r>
                <m:t>261336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000034</m:t>
              </m:r>
            </m:e>
          </m:rad>
          <m:r>
            <m:rPr>
              <m:sty m:val="p"/>
            </m:rPr>
            <m:t>=</m:t>
          </m:r>
          <m:r>
            <m:t>14</m:t>
          </m:r>
          <m:r>
            <m:rPr>
              <m:sty m:val="p"/>
            </m:rPr>
            <m:t>,</m:t>
          </m:r>
          <m:r>
            <m:t>841454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P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188178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960032</m:t>
          </m:r>
          <m:r>
            <m:rPr>
              <m:sty m:val="p"/>
            </m:rPr>
            <m:t>×</m:t>
          </m:r>
          <m:r>
            <m:t>14</m:t>
          </m:r>
          <m:r>
            <m:rPr>
              <m:sty m:val="p"/>
            </m:rPr>
            <m:t>,</m:t>
          </m:r>
          <m:r>
            <m:t>841454</m:t>
          </m:r>
          <m:r>
            <m:rPr>
              <m:sty m:val="p"/>
            </m:rPr>
            <m:t>=</m:t>
          </m:r>
          <m:r>
            <m:t>40</m:t>
          </m:r>
          <m:r>
            <m:rPr>
              <m:sty m:val="p"/>
            </m:rPr>
            <m:t>,</m:t>
          </m:r>
          <m:r>
            <m:t>188178</m:t>
          </m:r>
          <m:r>
            <m:rPr>
              <m:sty m:val="p"/>
            </m:rPr>
            <m:t>±</m:t>
          </m:r>
          <m:r>
            <m:t>29</m:t>
          </m:r>
          <m:r>
            <m:rPr>
              <m:sty m:val="p"/>
            </m:rPr>
            <m:t>,</m:t>
          </m:r>
          <m:r>
            <m:t>089721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0985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69</m:t>
              </m:r>
              <m:r>
                <m:rPr>
                  <m:sty m:val="p"/>
                </m:rPr>
                <m:t>,</m:t>
              </m:r>
              <m:r>
                <m:t>2779</m:t>
              </m:r>
              <m:r>
                <m:rPr>
                  <m:sty m:val="p"/>
                </m:rPr>
                <m:t>]</m:t>
              </m:r>
              <m:r>
                <m:t> </m:t>
              </m:r>
              <m:r>
                <m:rPr>
                  <m:nor/>
                  <m:sty m:val="p"/>
                </m:rPr>
                <m:t>kWh</m:t>
              </m:r>
            </m:e>
          </m:borderBox>
        </m:oMath>
      </m:oMathPara>
    </w:p>
    <w:bookmarkEnd w:id="86"/>
    <w:bookmarkStart w:id="87" w:name="X810095cdb5143df286671556cc9ca94e19ba231"/>
    <w:p>
      <w:pPr>
        <w:pStyle w:val="Heading3"/>
      </w:pPr>
      <w:r>
        <w:t xml:space="preserve">20.4 Diferencia Conceptual y Práctica entre Ambos Intervalos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 (40,02–40,36 kWh, amplitud 0,34)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(11,10–69,28 kWh, amplitud 58,18)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Qué acota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consumo promedio poblacional</w:t>
            </w:r>
            <w:r>
              <w:t xml:space="preserve"> </w:t>
            </w:r>
            <w:r>
              <w:t xml:space="preserve">de todos los intervalos de 15 min con 20 kVarh (el parámetro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consumo de un único intervalo futuro</w:t>
            </w:r>
            <w:r>
              <w:t xml:space="preserve"> </w:t>
            </w:r>
            <w:r>
              <w:t xml:space="preserve">en que se registren 20 kVarh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que 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el error de estimación de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 anterior</w:t>
            </w:r>
            <w:r>
              <w:t xml:space="preserve"> </w:t>
            </w:r>
            <w:r>
              <w:rPr>
                <w:b/>
                <w:bCs/>
              </w:rPr>
              <w:t xml:space="preserve">más la variabilidad aleatoria irreducible</w:t>
            </w:r>
            <w:r>
              <w:t xml:space="preserve"> </w:t>
            </w:r>
            <w:r>
              <w:t xml:space="preserve">del error individual (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: verdad/falta de carga, conmutación de equipamiento)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Comportamiento con</w:t>
            </w:r>
            <w:r>
              <w:rPr>
                <w:b/>
                <w:bCs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 estrecha indefinidamente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Tiende a un ancho mínimo no nulo (</w:t>
            </w:r>
            <m:oMath>
              <m:r>
                <m:rPr>
                  <m:sty m:val="p"/>
                </m:rPr>
                <m:t>≈</m:t>
              </m:r>
              <m:r>
                <m:t>2</m:t>
              </m:r>
              <m:r>
                <m:t>t</m:t>
              </m:r>
              <m:acc>
                <m:accPr>
                  <m:chr m:val="̂"/>
                </m:accPr>
                <m:e>
                  <m:r>
                    <m:t>σ</m:t>
                  </m:r>
                </m:e>
              </m:acc>
              <m:r>
                <m:rPr>
                  <m:sty m:val="p"/>
                </m:rPr>
                <m:t>≈</m:t>
              </m:r>
              <m:r>
                <m:t>58</m:t>
              </m:r>
            </m:oMath>
            <w:r>
              <w:t xml:space="preserve"> </w:t>
            </w:r>
            <w:r>
              <w:t xml:space="preserve">kWh)</w:t>
            </w:r>
          </w:p>
        </w:tc>
      </w:tr>
    </w:tbl>
    <w:p>
      <w:pPr>
        <w:pStyle w:val="BodyText"/>
      </w:pPr>
      <w:r>
        <w:t xml:space="preserve">La razón de amplitudes</w:t>
      </w:r>
      <w:r>
        <w:t xml:space="preserve"> </w:t>
      </w:r>
      <m:oMath>
        <m:r>
          <m:t>29</m:t>
        </m:r>
        <m:r>
          <m:rPr>
            <m:sty m:val="p"/>
          </m:rPr>
          <m:t>,</m:t>
        </m:r>
        <m:r>
          <m:t>09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≈</m:t>
        </m:r>
        <m:r>
          <m:t>172</m:t>
        </m:r>
        <m:r>
          <m:rPr>
            <m:sty m:val="p"/>
          </m:rPr>
          <m:t>×</m:t>
        </m:r>
      </m:oMath>
      <w:r>
        <w:t xml:space="preserve"> </w:t>
      </w:r>
      <w:r>
        <w:t xml:space="preserve">ilustra la enseñanza práctica: la recta promedia muy bien, pero</w:t>
      </w:r>
      <w:r>
        <w:t xml:space="preserve"> </w:t>
      </w:r>
      <w:r>
        <w:rPr>
          <w:b/>
          <w:bCs/>
        </w:rPr>
        <w:t xml:space="preserve">una cuarteta individual puede desviarse 15 kWh</w:t>
      </w:r>
      <w:r>
        <w:t xml:space="preserve"> </w:t>
      </w:r>
      <w:r>
        <w:t xml:space="preserve">del valor esperado; por eso la predicción puntual de un intervalo concreto debe ir siempre acompañada de su IP.</w:t>
      </w:r>
    </w:p>
    <w:bookmarkEnd w:id="87"/>
    <w:bookmarkEnd w:id="88"/>
    <w:bookmarkStart w:id="95" w:name="b.5-regresión-múltiple"/>
    <w:p>
      <w:pPr>
        <w:pStyle w:val="Heading2"/>
      </w:pPr>
      <w:r>
        <w:t xml:space="preserve">21. B.5 — Regresión Múltiple</w:t>
      </w:r>
    </w:p>
    <w:bookmarkStart w:id="89" w:name="matriz-de-diseño-y-vector-de-respuesta"/>
    <w:p>
      <w:pPr>
        <w:pStyle w:val="Heading3"/>
      </w:pPr>
      <w:r>
        <w:t xml:space="preserve">21.1 Matriz de Diseño y Vector de Respuesta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predictoras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Lagging kVarh,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Leading kVarh,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Lagging PF,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= NSM):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35</m:t>
              </m:r>
              <m:r>
                <m:t> </m:t>
              </m:r>
              <m:r>
                <m:t>040</m:t>
              </m:r>
              <m:r>
                <m:rPr>
                  <m:sty m:val="p"/>
                </m:rPr>
                <m:t>×</m:t>
              </m:r>
              <m:r>
                <m:t>5</m:t>
              </m:r>
            </m:sup>
          </m:sSup>
          <m:r>
            <m:t> </m:t>
          </m:r>
          <m:r>
            <m:rPr>
              <m:sty m:val="p"/>
            </m:rPr>
            <m:t>[</m:t>
          </m:r>
          <m:r>
            <m:rPr>
              <m:sty m:val="b"/>
            </m:rPr>
            <m:t>1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35</m:t>
              </m:r>
              <m:r>
                <m:t> </m:t>
              </m:r>
              <m:r>
                <m:t>040</m:t>
              </m:r>
              <m:r>
                <m:rPr>
                  <m:sty m:val="p"/>
                </m:rPr>
                <m:t>×</m:t>
              </m:r>
              <m:r>
                <m:t>1</m:t>
              </m:r>
            </m:sup>
          </m:sSup>
        </m:oMath>
      </m:oMathPara>
    </w:p>
    <w:bookmarkEnd w:id="89"/>
    <w:bookmarkStart w:id="90" w:name="resolución-matricial-hatbeta-xtx-1xty"/>
    <w:p>
      <w:pPr>
        <w:pStyle w:val="Heading3"/>
      </w:pPr>
      <w:r>
        <w:t xml:space="preserve">21.2 Resolución Matricial: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Matriz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(simétrica, se muestra la triangular superior):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35 040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4,5675984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1,3563804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2,8234551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1,49796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1,5270407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4,9508567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3,8367320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2,0704395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2,4564903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1,3522373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8,2095613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2,4005306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1,3004954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8,5833108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Inversa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(triangular superior):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7,118412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2,471321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1,251601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883796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7,590923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1,639283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2,425625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460451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986681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1,083545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279331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522454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1,667781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281625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6,857122</w:t>
            </w:r>
            <m:oMath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5964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,</m:t>
        </m:r>
        <m:r>
          <m:t>9633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8775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5884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,</m:t>
        </m:r>
        <m:r>
          <m:t>7881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)</m:t>
        </m:r>
      </m:oMath>
    </w:p>
    <w:bookmarkEnd w:id="90"/>
    <w:bookmarkStart w:id="91" w:name="coeficientes-estimados-e-interpretación"/>
    <w:p>
      <w:pPr>
        <w:pStyle w:val="Heading3"/>
      </w:pPr>
      <w:r>
        <w:t xml:space="preserve">21.3 Coeficientes Estimados e Interpretación</w:t>
      </w:r>
    </w:p>
    <w:p>
      <w:pPr>
        <w:pStyle w:val="FirstParagraph"/>
      </w:pPr>
      <w:r>
        <w:t xml:space="preserve">Validación contra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: diferencia máxima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t xml:space="preserve">✓ (coincide también con A.3, donde estos mismos coeficientes se recuperaron por descenso del gradiente).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industrial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0565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Nivel base cuando todas las predictoras valen 0 (extrapolación, sin sentido físico directo)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(Lagging kVarh)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5137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Cada kVarh inductivo adicional se asocia a +1,51 kWh de consumo, a igualdad del resto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(Leading kVarh)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1017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 potencia reactiva capacitiva se asocia a menor consumo (corrección de factor de potencia)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(Lagging PF, %)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6718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 punto de factor de potencia inductivo mayor se asocia a +0,67 kWh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(NSM)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Efecto horario modesto dentro del modelo múltiple</w:t>
            </w:r>
          </w:p>
        </w:tc>
      </w:tr>
    </w:tbl>
    <w:bookmarkEnd w:id="91"/>
    <w:bookmarkStart w:id="92" w:name="X18d3c68858060ce9886378fa7cede4bfdebd219"/>
    <w:p>
      <w:pPr>
        <w:pStyle w:val="Heading3"/>
      </w:pPr>
      <w:r>
        <w:t xml:space="preserve">21.4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Ajustado — Ambas Fórmulas (Seguridad para el Corrector)</w:t>
      </w:r>
    </w:p>
    <w:p>
      <w:pPr>
        <w:pStyle w:val="FirstParagraph"/>
      </w:pPr>
      <w:r>
        <w:t xml:space="preserve">Sumas de cuadrados:</w:t>
      </w:r>
      <w:r>
        <w:t xml:space="preserve"> </w:t>
      </w:r>
      <m:oMath>
        <m:r>
          <m:t>S</m:t>
        </m:r>
        <m:r>
          <m:t>T</m:t>
        </m:r>
        <m:r>
          <m:t>C</m:t>
        </m:r>
        <m:r>
          <m:rPr>
            <m:sty m:val="p"/>
          </m:rPr>
          <m:t>=</m:t>
        </m:r>
        <m:r>
          <m:t>39</m:t>
        </m:r>
        <m:r>
          <m:t> </m:t>
        </m:r>
        <m:r>
          <m:t>192</m:t>
        </m:r>
        <m:r>
          <m:t> </m:t>
        </m:r>
        <m:r>
          <m:t>051</m:t>
        </m:r>
        <m:r>
          <m:rPr>
            <m:sty m:val="p"/>
          </m:rPr>
          <m:t>,</m:t>
        </m:r>
        <m:r>
          <m:t>23</m:t>
        </m:r>
      </m:oMath>
      <w:r>
        <w:t xml:space="preserve">;</w:t>
      </w:r>
      <w:r>
        <w:t xml:space="preserve"> </w:t>
      </w:r>
      <m:oMath>
        <m:r>
          <m:t>S</m:t>
        </m:r>
        <m:r>
          <m:t>C</m:t>
        </m:r>
        <m:r>
          <m:t>R</m:t>
        </m:r>
        <m:r>
          <m:rPr>
            <m:sty m:val="p"/>
          </m:rPr>
          <m:t>=</m:t>
        </m:r>
        <m:r>
          <m:t>35</m:t>
        </m:r>
        <m:r>
          <m:t> </m:t>
        </m:r>
        <m:r>
          <m:t>240</m:t>
        </m:r>
        <m:r>
          <m:t> </m:t>
        </m:r>
        <m:r>
          <m:t>940</m:t>
        </m:r>
        <m:r>
          <m:rPr>
            <m:sty m:val="p"/>
          </m:rPr>
          <m:t>,</m:t>
        </m:r>
        <m:r>
          <m:t>89</m:t>
        </m:r>
      </m:oMath>
      <w:r>
        <w:t xml:space="preserve">;</w:t>
      </w:r>
      <w:r>
        <w:t xml:space="preserve"> </w:t>
      </w:r>
      <m:oMath>
        <m:r>
          <m:t>S</m:t>
        </m:r>
        <m:r>
          <m:t>C</m:t>
        </m:r>
        <m:r>
          <m:t>E</m:t>
        </m:r>
        <m:r>
          <m:rPr>
            <m:sty m:val="p"/>
          </m:rPr>
          <m:t>=</m:t>
        </m:r>
        <m:r>
          <m:t>3</m:t>
        </m:r>
        <m:r>
          <m:t> </m:t>
        </m:r>
        <m:r>
          <m:t>951</m:t>
        </m:r>
        <m:r>
          <m:t> </m:t>
        </m:r>
        <m:r>
          <m:t>110</m:t>
        </m:r>
        <m:r>
          <m:rPr>
            <m:sty m:val="p"/>
          </m:rPr>
          <m:t>,</m:t>
        </m:r>
        <m:r>
          <m:t>34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C</m:t>
              </m:r>
              <m:r>
                <m:t>E</m:t>
              </m:r>
            </m:num>
            <m:den>
              <m:r>
                <m:t>S</m:t>
              </m:r>
              <m:r>
                <m:t>T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899186</m:t>
              </m:r>
            </m:e>
          </m:borderBox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35</m:t>
        </m:r>
        <m:r>
          <m:t> </m:t>
        </m:r>
        <m:r>
          <m:t>040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Fórmula del enunciado (PDF):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ajustado (enunciado)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100814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35</m:t>
              </m:r>
              <m:r>
                <m:t> </m:t>
              </m:r>
              <m:r>
                <m:t>036</m:t>
              </m:r>
            </m:num>
            <m:den>
              <m:r>
                <m:t>35</m:t>
              </m:r>
              <m:r>
                <m:t> </m:t>
              </m:r>
              <m:r>
                <m:t>035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899183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Fórmula estándar bibliográfica: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ajustado (estándar)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100814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35</m:t>
              </m:r>
              <m:r>
                <m:t> </m:t>
              </m:r>
              <m:r>
                <m:t>039</m:t>
              </m:r>
            </m:num>
            <m:den>
              <m:r>
                <m:t>35</m:t>
              </m:r>
              <m:r>
                <m:t> </m:t>
              </m:r>
              <m:r>
                <m:t>035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899174</m:t>
              </m:r>
            </m:e>
          </m:borderBox>
        </m:oMath>
      </m:oMathPara>
    </w:p>
    <w:p>
      <w:pPr>
        <w:pStyle w:val="FirstParagraph"/>
      </w:pPr>
      <w:r>
        <w:t xml:space="preserve">Ambas coinciden hasta el cuarto decimal (</w:t>
      </w:r>
      <m:oMath>
        <m:r>
          <m:t>0</m:t>
        </m:r>
        <m:r>
          <m:rPr>
            <m:sty m:val="p"/>
          </m:rPr>
          <m:t>,</m:t>
        </m:r>
        <m:r>
          <m:t>8992</m:t>
        </m:r>
      </m:oMath>
      <w:r>
        <w:t xml:space="preserve">); la diferencia (</w:t>
      </w:r>
      <m:oMath>
        <m:r>
          <m:t>8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 es numéricamente despreciable.</w:t>
      </w:r>
    </w:p>
    <w:bookmarkEnd w:id="92"/>
    <w:bookmarkStart w:id="93" w:name="comparación-con-el-modelo-simple-de-b.2"/>
    <w:p>
      <w:pPr>
        <w:pStyle w:val="Heading3"/>
      </w:pPr>
      <w:r>
        <w:t xml:space="preserve">21.5 Comparación con el Modelo Simple de B.2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ajustado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(Lagging kVarh),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0,803085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0,803079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Múltiple,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0,899186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0,899174 / 0,899183</w:t>
            </w:r>
          </w:p>
        </w:tc>
      </w:tr>
    </w:tbl>
    <w:p>
      <w:pPr>
        <w:pStyle w:val="BodyText"/>
      </w:pPr>
      <w:r>
        <w:t xml:space="preserve">El modelo múltiple gana</w:t>
      </w:r>
      <w:r>
        <w:t xml:space="preserve"> </w:t>
      </w:r>
      <w:r>
        <w:rPr>
          <w:b/>
          <w:bCs/>
        </w:rPr>
        <w:t xml:space="preserve">+9,61 puntos porcentuales</w:t>
      </w:r>
      <w:r>
        <w:t xml:space="preserve"> </w:t>
      </w:r>
      <w:r>
        <w:t xml:space="preserve">de variabilidad explicada (medida 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ajustado: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0961</m:t>
        </m:r>
      </m:oMath>
      <w:r>
        <w:t xml:space="preserve">), agregando información horaria (NSM), de carga capacitiva y de factor de potencia.</w:t>
      </w:r>
    </w:p>
    <w:bookmarkEnd w:id="93"/>
    <w:bookmarkStart w:id="94" w:name="modelo-final"/>
    <w:p>
      <w:pPr>
        <w:pStyle w:val="Heading3"/>
      </w:pPr>
      <w:r>
        <w:t xml:space="preserve">21.6 Modelo Final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45</m:t>
              </m:r>
              <m:r>
                <m:rPr>
                  <m:sty m:val="p"/>
                </m:rPr>
                <m:t>,</m:t>
              </m:r>
              <m:r>
                <m:t>0565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5137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1017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6718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658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8992</m:t>
          </m:r>
          <m:r>
            <m:t>  </m:t>
          </m:r>
          <m:sSubSup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ajustado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8992</m:t>
          </m:r>
        </m:oMath>
      </m:oMathPara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clusiones-generales-de-la-parte-b"/>
    <w:p>
      <w:pPr>
        <w:pStyle w:val="Heading2"/>
      </w:pPr>
      <w:r>
        <w:t xml:space="preserve">22. Conclusiones Generales de la Parte 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B.1:</w:t>
      </w:r>
      <w:r>
        <w:t xml:space="preserve"> </w:t>
      </w:r>
      <w:r>
        <w:t xml:space="preserve">La descomposición</w:t>
      </w:r>
      <w:r>
        <w:t xml:space="preserve"> </w:t>
      </w:r>
      <m:oMath>
        <m:r>
          <m:t>S</m:t>
        </m:r>
        <m:r>
          <m:t>T</m:t>
        </m:r>
        <m:r>
          <m:t>C</m:t>
        </m:r>
        <m:r>
          <m:rPr>
            <m:sty m:val="p"/>
          </m:rPr>
          <m:t>=</m:t>
        </m:r>
        <m:r>
          <m:t>S</m:t>
        </m:r>
        <m:r>
          <m:t>C</m:t>
        </m:r>
        <m:r>
          <m:t>R</m:t>
        </m:r>
        <m:r>
          <m:rPr>
            <m:sty m:val="p"/>
          </m:rPr>
          <m:t>+</m:t>
        </m:r>
        <m:r>
          <m:t>S</m:t>
        </m:r>
        <m:r>
          <m:t>C</m:t>
        </m:r>
        <m:r>
          <m:t>E</m:t>
        </m:r>
      </m:oMath>
      <w:r>
        <w:t xml:space="preserve"> </w:t>
      </w:r>
      <w:r>
        <w:t xml:space="preserve">se verifica con precisión de máquina;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kWh²;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8031</m:t>
        </m:r>
      </m:oMath>
      <w:r>
        <w:t xml:space="preserve"> </w:t>
      </w:r>
      <w:r>
        <w:t xml:space="preserve">— la relación lineal con la reactiva inductiva explica el 80,31% de la variabilidad del consumo, sin que ello implique causalidad, correcta forma funcional, ni precisión individual.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B.2:</w:t>
      </w:r>
      <w:r>
        <w:t xml:space="preserve"> </w:t>
      </w:r>
      <w:r>
        <w:t xml:space="preserve">Cuatro regresiones simples ajustadas con sus IC de coeficientes y de respuesta;</w:t>
      </w:r>
      <w:r>
        <w:t xml:space="preserve"> </w:t>
      </w:r>
      <w:r>
        <w:rPr>
          <w:rStyle w:val="VerbatimChar"/>
        </w:rPr>
        <w:t xml:space="preserve">Lagging_Current_Reactive.Power_kVarh</w:t>
      </w:r>
      <w:r>
        <w:t xml:space="preserve"> </w:t>
      </w:r>
      <w:r>
        <w:t xml:space="preserve">se consagra como mejor predictora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máximo,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mínimo, coherencia física con el equipamiento de la acería).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B.3:</w:t>
      </w:r>
      <w:r>
        <w:t xml:space="preserve"> </w:t>
      </w:r>
      <w:r>
        <w:t xml:space="preserve">El estadístico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378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excede por mucho el crítico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025</m:t>
        </m:r>
        <m:r>
          <m:rPr>
            <m:sty m:val="p"/>
          </m:rPr>
          <m:t>;</m:t>
        </m:r>
        <m:r>
          <m:t>35</m:t>
        </m:r>
        <m:r>
          <m:t> </m:t>
        </m:r>
        <m:r>
          <m:t>038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96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): se rechaza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; la pendiente (+1,84 kWh por kVarh) es genuina, no un artefacto muestral.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B.4:</w:t>
      </w:r>
      <w:r>
        <w:t xml:space="preserve"> </w:t>
      </w:r>
      <w:r>
        <w:t xml:space="preserve">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kVarh: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19</m:t>
        </m:r>
      </m:oMath>
      <w:r>
        <w:t xml:space="preserve"> </w:t>
      </w:r>
      <w:r>
        <w:t xml:space="preserve">kWh; ICM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40</m:t>
        </m:r>
        <m:r>
          <m:rPr>
            <m:sty m:val="p"/>
          </m:rPr>
          <m:t>,</m:t>
        </m:r>
        <m:r>
          <m:t>02</m:t>
        </m:r>
        <m:r>
          <m:rPr>
            <m:sty m:val="p"/>
          </m:rPr>
          <m:t>;</m:t>
        </m:r>
        <m:r>
          <m:t> </m:t>
        </m:r>
        <m:r>
          <m:t>40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]</m:t>
        </m:r>
      </m:oMath>
      <w:r>
        <w:t xml:space="preserve"> </w:t>
      </w:r>
      <w:r>
        <w:t xml:space="preserve">(promedio) e IP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[</m:t>
        </m:r>
        <m:r>
          <m:t>11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;</m:t>
        </m:r>
        <m:r>
          <m:t> </m:t>
        </m:r>
        <m:r>
          <m:t>69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]</m:t>
        </m:r>
      </m:oMath>
      <w:r>
        <w:t xml:space="preserve"> </w:t>
      </w:r>
      <w:r>
        <w:t xml:space="preserve">(cuarteta individual); el IP es ~172× más ancho porque arrastra la variabilidad irreducible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B.5: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resuelto explícitamente con matrices informadas;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8992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ajustado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8992</m:t>
        </m:r>
      </m:oMath>
      <w:r>
        <w:t xml:space="preserve"> </w:t>
      </w:r>
      <w:r>
        <w:t xml:space="preserve">por ambas fórmulas (+9,61 pp sobre el simple), consolidando el modelo múltiple como el mejor de los presentados.</w:t>
      </w:r>
    </w:p>
    <w:p>
      <w:r>
        <w:pict>
          <v:rect style="width:0;height:1.5pt" o:hralign="center" o:hrstd="t" o:hr="t"/>
        </w:pict>
      </w:r>
    </w:p>
    <w:bookmarkEnd w:id="96"/>
    <w:bookmarkStart w:id="97" w:name="X112daf01184d736b0297390c979e93fddb1e944"/>
    <w:p>
      <w:pPr>
        <w:pStyle w:val="Heading2"/>
      </w:pPr>
      <w:r>
        <w:t xml:space="preserve">Anexo I — Bitácora de Uso de Inteligencia Artificial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"/>
        <w:gridCol w:w="967"/>
        <w:gridCol w:w="967"/>
        <w:gridCol w:w="1511"/>
        <w:gridCol w:w="1269"/>
        <w:gridCol w:w="544"/>
        <w:gridCol w:w="1692"/>
        <w:gridCol w:w="7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pidió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 la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aceptó?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y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 afectado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Python de A.1: carga, modelos lineal/cuadrático, derivadas, punto crítico, 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src/parte_a_analisis.py</w:t>
            </w:r>
            <w:r>
              <w:t xml:space="preserve"> </w:t>
            </w:r>
            <w:r>
              <w:t xml:space="preserve">con validaciones y 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con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validación statsmodels (</w:t>
            </w:r>
            <w:r>
              <w:rPr>
                <w:rStyle w:val="VerbatimChar"/>
              </w:rPr>
              <w:t xml:space="preserve">.values</w:t>
            </w:r>
            <w:r>
              <w:t xml:space="preserve">), variable</w:t>
            </w:r>
            <w:r>
              <w:t xml:space="preserve"> </w:t>
            </w:r>
            <w:r>
              <w:rPr>
                <w:rStyle w:val="VerbatimChar"/>
              </w:rPr>
              <w:t xml:space="preserve">beta_0_quad</w:t>
            </w:r>
            <w:r>
              <w:t xml:space="preserve">, interpretación del punto 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A.1 en Markdown con LaTeX, tablas e interpretación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</w:t>
            </w:r>
            <w:r>
              <w:t xml:space="preserve"> </w:t>
            </w:r>
            <w:r>
              <w:rPr>
                <w:rStyle w:val="VerbatimChar"/>
              </w:rPr>
              <w:t xml:space="preserve">informe/resolucion_completa.md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técnica y verificación de números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A.1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Python de A.2 y A.3: MCO, 3 tasas de α, escalado z-score, gráfico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src/parte_a2_a3.py</w:t>
            </w:r>
            <w:r>
              <w:t xml:space="preserve"> </w:t>
            </w:r>
            <w:r>
              <w:t xml:space="preserve">con desarrollo analítico impreso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con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warnings de complejos y overflow; transformación inversa de coeficientes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A.2, A.3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informe con desarrollo completo A.2 y A.3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informe/resolucion_completa.md</w:t>
            </w:r>
            <w:r>
              <w:t xml:space="preserve"> </w:t>
            </w:r>
            <w:r>
              <w:t xml:space="preserve">ampliado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A.2+A.3, verificación de números y tablas comparativas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A.2, A.3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Python de B.1–B.5: sumas de cuadrados, 4 regresiones simples, IC/ICM/IP, test T, múltiple matricial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src/parte_b_estadistica.py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figures/B2_mejor_modelo.png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Sí, con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contra statsmodels (diff &lt; 1e-10); nota sobre ICM negativos en x*=20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B.1–B.5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Redactar B.1–B.5 paso a paso en 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 17–22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Sustituciones numéricas verificadas; limitaciones de R² y comparación ICM/IP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B.1–B.5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del informe con figuras insertadas (pandoc + tectonic)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informe/resolucion_completa.pdf</w:t>
            </w:r>
            <w:r>
              <w:t xml:space="preserve"> </w:t>
            </w:r>
            <w:r>
              <w:t xml:space="preserve">con imágenes a 300 DPI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Leyendas numeradas; verificación de figuras en A.1, A.3 y 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A.1 y A.2 del informe según</w:t>
            </w:r>
            <w:r>
              <w:t xml:space="preserve"> </w:t>
            </w:r>
            <w:r>
              <w:rPr>
                <w:rStyle w:val="VerbatimChar"/>
              </w:rPr>
              <w:t xml:space="preserve">src/parte_a1.md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src/parte_a2.md</w:t>
            </w:r>
            <w:r>
              <w:t xml:space="preserve">: sombreros en β̂, justificación de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T</m:t>
                  </m:r>
                </m:sup>
              </m:sSup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, conversión a kWh/h, derivada lineal constante, desarrollo paso a paso, sistema 2×2 y despeje MCO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informe/resolucion_completa.md</w:t>
            </w:r>
            <w:r>
              <w:t xml:space="preserve"> </w:t>
            </w:r>
            <w:r>
              <w:t xml:space="preserve">corregido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y desarrollo replicados de ambos md (secciones 6.1–6.5); se regeneraron PDF y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A.1, A.2 (md + PDF + DOCX)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informe Partes A y B</w:t>
      </w:r>
      <w:r>
        <w:t xml:space="preserve"> </w:t>
      </w:r>
      <w:r>
        <w:t xml:space="preserve">— Todos los números provienen de la ejecución reproducible 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src/parte_a_analisis.py</w:t>
      </w:r>
      <w:r>
        <w:t xml:space="preserve"> </w:t>
      </w:r>
      <w:r>
        <w:t xml:space="preserve">(A.1)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src/parte_a2_a3.py</w:t>
      </w:r>
      <w:r>
        <w:t xml:space="preserve"> </w:t>
      </w:r>
      <w:r>
        <w:t xml:space="preserve">(A.2 y A.3)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src/parte_b_estadistica.py</w:t>
      </w:r>
      <w:r>
        <w:t xml:space="preserve"> </w:t>
      </w:r>
      <w:r>
        <w:t xml:space="preserve">(B.1 a B.5)</w:t>
      </w:r>
    </w:p>
    <w:p>
      <w:pPr>
        <w:pStyle w:val="BodyText"/>
      </w:pPr>
      <w:r>
        <w:t xml:space="preserve">sobre</w:t>
      </w:r>
      <w:r>
        <w:t xml:space="preserve"> </w:t>
      </w:r>
      <w:r>
        <w:rPr>
          <w:rStyle w:val="VerbatimChar"/>
        </w:rPr>
        <w:t xml:space="preserve">Steel_industry_data.csv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np.random.seed(42)</w:t>
      </w:r>
      <w:r>
        <w:t xml:space="preserve">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5" Target="media/rId55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2026-10-29T02:16:18Z</dcterms:created>
  <dcterms:modified xsi:type="dcterms:W3CDTF">2026-10-29T02:16:18Z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