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400" w:line="360" w:lineRule="auto"/>
        <w:jc w:val="center"/>
        <w:rPr/>
      </w:pPr>
      <w:r w:rsidDel="00000000" w:rsidR="00000000" w:rsidRPr="00000000">
        <w:rPr/>
        <w:drawing>
          <wp:inline distB="0" distT="0" distL="0" distR="0">
            <wp:extent cx="2476500" cy="106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6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600" w:lineRule="auto"/>
        <w:jc w:val="center"/>
        <w:rPr>
          <w:sz w:val="38"/>
          <w:szCs w:val="38"/>
        </w:rPr>
      </w:pPr>
      <w:r>
        <w:rPr>
          <w:rFonts w:ascii="Times New Roman" w:hAnsi="Times New Roman"/>
          <w:sz w:val="38"/>
        </w:rPr>
        <w:t>Evaluación de Modelos de Lenguaje de Gran Escala (LLMs) para Soporte al Cliente Automatizado: Un Framework basado en Big Data</w:t>
      </w:r>
    </w:p>
    <w:p w:rsidR="00000000" w:rsidDel="00000000" w:rsidP="00000000" w:rsidRDefault="00000000" w:rsidRPr="00000000" w14:paraId="00000003">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Trabajo Final de Carrera presentado para obtener el título de</w:t>
      </w:r>
      <w:r w:rsidDel="00000000" w:rsidR="00000000" w:rsidRPr="00000000">
        <w:rPr>
          <w:rtl w:val="0"/>
        </w:rPr>
      </w:r>
    </w:p>
    <w:p w:rsidR="00000000" w:rsidDel="00000000" w:rsidP="00000000" w:rsidRDefault="00000000" w:rsidRPr="00000000" w14:paraId="00000004">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Gestión de la Tecnología Informática</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16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Entrega Final</w:t>
      </w:r>
      <w:r w:rsidDel="00000000" w:rsidR="00000000" w:rsidRPr="00000000">
        <w:rPr>
          <w:rtl w:val="0"/>
        </w:rPr>
      </w:r>
    </w:p>
    <w:p w:rsidR="00000000" w:rsidDel="00000000" w:rsidP="00000000" w:rsidRDefault="00000000" w:rsidRPr="00000000" w14:paraId="00000007">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Alumno: </w:t>
      </w:r>
      <w:r w:rsidDel="00000000" w:rsidR="00000000" w:rsidRPr="00000000">
        <w:rPr>
          <w:rFonts w:ascii="Times New Roman" w:cs="Times New Roman" w:eastAsia="Times New Roman" w:hAnsi="Times New Roman"/>
          <w:sz w:val="24"/>
          <w:szCs w:val="24"/>
          <w:rtl w:val="0"/>
        </w:rPr>
        <w:t xml:space="preserve">Juan Bautista Xifro</w:t>
      </w:r>
      <w:r w:rsidDel="00000000" w:rsidR="00000000" w:rsidRPr="00000000">
        <w:rPr>
          <w:rtl w:val="0"/>
        </w:rPr>
      </w:r>
    </w:p>
    <w:p w:rsidR="00000000" w:rsidDel="00000000" w:rsidP="00000000" w:rsidRDefault="00000000" w:rsidRPr="00000000" w14:paraId="00000008">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Profesora de Trabajo Final: </w:t>
      </w:r>
      <w:r w:rsidDel="00000000" w:rsidR="00000000" w:rsidRPr="00000000">
        <w:rPr>
          <w:rFonts w:ascii="Times New Roman" w:cs="Times New Roman" w:eastAsia="Times New Roman" w:hAnsi="Times New Roman"/>
          <w:sz w:val="24"/>
          <w:szCs w:val="24"/>
          <w:rtl w:val="0"/>
        </w:rPr>
        <w:t xml:space="preserve">Samela, Marcela Rosalba</w:t>
      </w:r>
      <w:r w:rsidDel="00000000" w:rsidR="00000000" w:rsidRPr="00000000">
        <w:rPr>
          <w:rtl w:val="0"/>
        </w:rPr>
      </w:r>
    </w:p>
    <w:p w:rsidR="00000000" w:rsidDel="00000000" w:rsidP="00000000" w:rsidRDefault="00000000" w:rsidRPr="00000000" w14:paraId="00000009">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Tutor técnico: </w:t>
      </w:r>
      <w:r w:rsidDel="00000000" w:rsidR="00000000" w:rsidRPr="00000000">
        <w:rPr>
          <w:rFonts w:ascii="Times New Roman" w:cs="Times New Roman" w:eastAsia="Times New Roman" w:hAnsi="Times New Roman"/>
          <w:sz w:val="24"/>
          <w:szCs w:val="24"/>
          <w:rtl w:val="0"/>
        </w:rPr>
        <w:t xml:space="preserve">No asignado</w:t>
      </w:r>
      <w:r w:rsidDel="00000000" w:rsidR="00000000" w:rsidRPr="00000000">
        <w:rPr>
          <w:rtl w:val="0"/>
        </w:rPr>
      </w:r>
    </w:p>
    <w:p w:rsidR="00000000" w:rsidDel="00000000" w:rsidP="00000000" w:rsidRDefault="00000000" w:rsidRPr="00000000" w14:paraId="0000000A">
      <w:pPr>
        <w:spacing w:after="160" w:before="0" w:line="360" w:lineRule="auto"/>
        <w:jc w:val="center"/>
        <w:rPr/>
      </w:pPr>
      <w:r w:rsidDel="00000000" w:rsidR="00000000" w:rsidRPr="00000000">
        <w:rPr>
          <w:rtl w:val="0"/>
        </w:rPr>
      </w:r>
    </w:p>
    <w:p w:rsidR="00000000" w:rsidDel="00000000" w:rsidP="00000000" w:rsidRDefault="00000000" w:rsidRPr="00000000" w14:paraId="0000000B">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Versión: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0C">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tl w:val="0"/>
        </w:rPr>
        <w:t xml:space="preserve">-</w:t>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Universidad Abierta Interamericana (UAI)</w:t>
      </w:r>
      <w:r w:rsidDel="00000000" w:rsidR="00000000" w:rsidRPr="00000000">
        <w:rPr>
          <w:rtl w:val="0"/>
        </w:rPr>
      </w:r>
    </w:p>
    <w:p w:rsidR="00000000" w:rsidDel="00000000" w:rsidP="00000000" w:rsidRDefault="00000000" w:rsidRPr="00000000" w14:paraId="0000000F">
      <w:pPr>
        <w:spacing w:after="160" w:before="0" w:line="360" w:lineRule="auto"/>
        <w:jc w:val="center"/>
        <w:rPr/>
        <w:sectPr>
          <w:headerReference w:type="default" r:id="rId16"/>
          <w:footerReference w:type="default" r:id="rId17"/>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Buenos Aires, 2026</w:t>
      </w:r>
      <w:r w:rsidDel="00000000" w:rsidR="00000000" w:rsidRPr="00000000">
        <w:rPr>
          <w:rtl w:val="0"/>
        </w:rPr>
      </w:r>
    </w:p>
    <w:p w:rsidR="00000000" w:rsidDel="00000000" w:rsidP="00000000" w:rsidRDefault="00000000" w:rsidRPr="00000000" w14:paraId="00000010">
      <w:pPr>
        <w:pStyle w:val="Heading1"/>
        <w:spacing w:after="200" w:before="400" w:lineRule="auto"/>
        <w:jc w:val="center"/>
        <w:rPr/>
      </w:pPr>
      <w:bookmarkStart w:colFirst="0" w:colLast="0" w:name="_c0e28rqma0nq" w:id="1"/>
      <w:bookmarkEnd w:id="1"/>
      <w:r w:rsidDel="00000000" w:rsidR="00000000" w:rsidRPr="00000000">
        <w:rPr>
          <w:rtl w:val="0"/>
        </w:rPr>
        <w:t xml:space="preserve">Índice</w:t>
      </w:r>
    </w:p>
    <w:p>
      <w:pPr>
        <w:spacing w:before="0" w:after="0" w:line="220" w:lineRule="exact"/>
      </w:pPr>
      <w:r>
        <w:rPr>
          <w:rFonts w:ascii="Times New Roman" w:hAnsi="Times New Roman"/>
          <w:sz w:val="21"/>
        </w:rPr>
        <w:tab/>
        <w:t>Resumen</w:t>
      </w:r>
    </w:p>
    <w:p>
      <w:pPr>
        <w:spacing w:before="0" w:after="0" w:line="220" w:lineRule="exact"/>
      </w:pPr>
      <w:r>
        <w:rPr>
          <w:rFonts w:ascii="Times New Roman" w:hAnsi="Times New Roman"/>
          <w:sz w:val="21"/>
        </w:rPr>
        <w:tab/>
        <w:t>Palabras Clave</w:t>
      </w:r>
    </w:p>
    <w:p>
      <w:pPr>
        <w:spacing w:before="0" w:after="0" w:line="220" w:lineRule="exact"/>
      </w:pPr>
      <w:r>
        <w:rPr>
          <w:rFonts w:ascii="Times New Roman" w:hAnsi="Times New Roman"/>
          <w:sz w:val="21"/>
        </w:rPr>
        <w:tab/>
        <w:t>Capítulo 1 - Introducción</w:t>
      </w:r>
    </w:p>
    <w:p>
      <w:pPr>
        <w:spacing w:before="0" w:after="0" w:line="220" w:lineRule="exact"/>
      </w:pPr>
      <w:r>
        <w:rPr>
          <w:rFonts w:ascii="Times New Roman" w:hAnsi="Times New Roman"/>
          <w:sz w:val="21"/>
        </w:rPr>
        <w:tab/>
        <w:t xml:space="preserve">    1.1 Identificación y Planteamiento del Problema</w:t>
      </w:r>
    </w:p>
    <w:p>
      <w:pPr>
        <w:spacing w:before="0" w:after="0" w:line="220" w:lineRule="exact"/>
      </w:pPr>
      <w:r>
        <w:rPr>
          <w:rFonts w:ascii="Times New Roman" w:hAnsi="Times New Roman"/>
          <w:sz w:val="21"/>
        </w:rPr>
        <w:tab/>
        <w:t xml:space="preserve">    1.2 Pregunta de Investigación</w:t>
      </w:r>
    </w:p>
    <w:p>
      <w:pPr>
        <w:spacing w:before="0" w:after="0" w:line="220" w:lineRule="exact"/>
      </w:pPr>
      <w:r>
        <w:rPr>
          <w:rFonts w:ascii="Times New Roman" w:hAnsi="Times New Roman"/>
          <w:sz w:val="21"/>
        </w:rPr>
        <w:tab/>
        <w:t xml:space="preserve">    1.3 Hipótesis de Investigación</w:t>
      </w:r>
    </w:p>
    <w:p>
      <w:pPr>
        <w:spacing w:before="0" w:after="0" w:line="220" w:lineRule="exact"/>
      </w:pPr>
      <w:r>
        <w:rPr>
          <w:rFonts w:ascii="Times New Roman" w:hAnsi="Times New Roman"/>
          <w:sz w:val="21"/>
        </w:rPr>
        <w:tab/>
        <w:t xml:space="preserve">    1.4 Objetivos de la Investigación</w:t>
      </w:r>
    </w:p>
    <w:p>
      <w:pPr>
        <w:spacing w:before="0" w:after="0" w:line="220" w:lineRule="exact"/>
      </w:pPr>
      <w:r>
        <w:rPr>
          <w:rFonts w:ascii="Times New Roman" w:hAnsi="Times New Roman"/>
          <w:sz w:val="21"/>
        </w:rPr>
        <w:tab/>
        <w:t xml:space="preserve">        1.4.1 Objetivo General</w:t>
      </w:r>
    </w:p>
    <w:p>
      <w:pPr>
        <w:spacing w:before="0" w:after="0" w:line="220" w:lineRule="exact"/>
      </w:pPr>
      <w:r>
        <w:rPr>
          <w:rFonts w:ascii="Times New Roman" w:hAnsi="Times New Roman"/>
          <w:sz w:val="21"/>
        </w:rPr>
        <w:tab/>
        <w:t xml:space="preserve">        1.4.2 Objetivos Específicos</w:t>
      </w:r>
    </w:p>
    <w:p>
      <w:pPr>
        <w:spacing w:before="0" w:after="0" w:line="220" w:lineRule="exact"/>
      </w:pPr>
      <w:r>
        <w:rPr>
          <w:rFonts w:ascii="Times New Roman" w:hAnsi="Times New Roman"/>
          <w:sz w:val="21"/>
        </w:rPr>
        <w:tab/>
        <w:t xml:space="preserve">    1.5 Justificación del Tema y Tipo de Trabajo</w:t>
      </w:r>
    </w:p>
    <w:p>
      <w:pPr>
        <w:spacing w:before="0" w:after="0" w:line="220" w:lineRule="exact"/>
      </w:pPr>
      <w:r>
        <w:rPr>
          <w:rFonts w:ascii="Times New Roman" w:hAnsi="Times New Roman"/>
          <w:sz w:val="21"/>
        </w:rPr>
        <w:tab/>
        <w:t xml:space="preserve">    1.6 Estructura General de la Tesis</w:t>
      </w:r>
    </w:p>
    <w:p>
      <w:pPr>
        <w:spacing w:before="0" w:after="0" w:line="220" w:lineRule="exact"/>
      </w:pPr>
      <w:r>
        <w:rPr>
          <w:rFonts w:ascii="Times New Roman" w:hAnsi="Times New Roman"/>
          <w:sz w:val="21"/>
        </w:rPr>
        <w:tab/>
        <w:t>Capítulo 2 - Marco Teórico y Estado del Arte</w:t>
      </w:r>
    </w:p>
    <w:p>
      <w:pPr>
        <w:spacing w:before="0" w:after="0" w:line="220" w:lineRule="exact"/>
      </w:pPr>
      <w:r>
        <w:rPr>
          <w:rFonts w:ascii="Times New Roman" w:hAnsi="Times New Roman"/>
          <w:sz w:val="21"/>
        </w:rPr>
        <w:tab/>
        <w:t xml:space="preserve">    2.1 Modelos de Lenguaje de Gran Escala</w:t>
      </w:r>
    </w:p>
    <w:p>
      <w:pPr>
        <w:spacing w:before="0" w:after="0" w:line="220" w:lineRule="exact"/>
      </w:pPr>
      <w:r>
        <w:rPr>
          <w:rFonts w:ascii="Times New Roman" w:hAnsi="Times New Roman"/>
          <w:sz w:val="21"/>
        </w:rPr>
        <w:tab/>
        <w:t xml:space="preserve">    2.2 Recuperación Aumentada con Generación</w:t>
      </w:r>
    </w:p>
    <w:p>
      <w:pPr>
        <w:spacing w:before="0" w:after="0" w:line="220" w:lineRule="exact"/>
      </w:pPr>
      <w:r>
        <w:rPr>
          <w:rFonts w:ascii="Times New Roman" w:hAnsi="Times New Roman"/>
          <w:sz w:val="21"/>
        </w:rPr>
        <w:tab/>
        <w:t xml:space="preserve">    2.3 Métricas de Evaluación en NLP</w:t>
      </w:r>
    </w:p>
    <w:p>
      <w:pPr>
        <w:spacing w:before="0" w:after="0" w:line="220" w:lineRule="exact"/>
      </w:pPr>
      <w:r>
        <w:rPr>
          <w:rFonts w:ascii="Times New Roman" w:hAnsi="Times New Roman"/>
          <w:sz w:val="21"/>
        </w:rPr>
        <w:tab/>
        <w:t xml:space="preserve">    2.4 Big Data aplicado al procesamiento de texto</w:t>
      </w:r>
    </w:p>
    <w:p>
      <w:pPr>
        <w:spacing w:before="0" w:after="0" w:line="220" w:lineRule="exact"/>
      </w:pPr>
      <w:r>
        <w:rPr>
          <w:rFonts w:ascii="Times New Roman" w:hAnsi="Times New Roman"/>
          <w:sz w:val="21"/>
        </w:rPr>
        <w:tab/>
        <w:t xml:space="preserve">    2.5 Estado del Arte - Antecedentes Relevados</w:t>
      </w:r>
    </w:p>
    <w:p>
      <w:pPr>
        <w:spacing w:before="0" w:after="0" w:line="220" w:lineRule="exact"/>
      </w:pPr>
      <w:r>
        <w:rPr>
          <w:rFonts w:ascii="Times New Roman" w:hAnsi="Times New Roman"/>
          <w:sz w:val="21"/>
        </w:rPr>
        <w:tab/>
        <w:t xml:space="preserve">    2.6 Síntesis crítica y vacío identificado</w:t>
      </w:r>
    </w:p>
    <w:p>
      <w:pPr>
        <w:spacing w:before="0" w:after="0" w:line="220" w:lineRule="exact"/>
      </w:pPr>
      <w:r>
        <w:rPr>
          <w:rFonts w:ascii="Times New Roman" w:hAnsi="Times New Roman"/>
          <w:sz w:val="21"/>
        </w:rPr>
        <w:tab/>
        <w:t>Capítulo 3 - Metodología de la Investigación</w:t>
      </w:r>
    </w:p>
    <w:p>
      <w:pPr>
        <w:spacing w:before="0" w:after="0" w:line="220" w:lineRule="exact"/>
      </w:pPr>
      <w:r>
        <w:rPr>
          <w:rFonts w:ascii="Times New Roman" w:hAnsi="Times New Roman"/>
          <w:sz w:val="21"/>
        </w:rPr>
        <w:tab/>
        <w:t xml:space="preserve">    3.1 Paradigma y enfoque metodológico</w:t>
      </w:r>
    </w:p>
    <w:p>
      <w:pPr>
        <w:spacing w:before="0" w:after="0" w:line="220" w:lineRule="exact"/>
      </w:pPr>
      <w:r>
        <w:rPr>
          <w:rFonts w:ascii="Times New Roman" w:hAnsi="Times New Roman"/>
          <w:sz w:val="21"/>
        </w:rPr>
        <w:tab/>
        <w:t xml:space="preserve">    3.2 Diseño de la investigación</w:t>
      </w:r>
    </w:p>
    <w:p>
      <w:pPr>
        <w:spacing w:before="0" w:after="0" w:line="220" w:lineRule="exact"/>
      </w:pPr>
      <w:r>
        <w:rPr>
          <w:rFonts w:ascii="Times New Roman" w:hAnsi="Times New Roman"/>
          <w:sz w:val="21"/>
        </w:rPr>
        <w:tab/>
        <w:t xml:space="preserve">    3.3 Variables e instrumentos de medición</w:t>
      </w:r>
    </w:p>
    <w:p>
      <w:pPr>
        <w:spacing w:before="0" w:after="0" w:line="220" w:lineRule="exact"/>
      </w:pPr>
      <w:r>
        <w:rPr>
          <w:rFonts w:ascii="Times New Roman" w:hAnsi="Times New Roman"/>
          <w:sz w:val="21"/>
        </w:rPr>
        <w:tab/>
        <w:t xml:space="preserve">    3.4 Dataset y corpus de datos</w:t>
      </w:r>
    </w:p>
    <w:p>
      <w:pPr>
        <w:spacing w:before="0" w:after="0" w:line="220" w:lineRule="exact"/>
      </w:pPr>
      <w:r>
        <w:rPr>
          <w:rFonts w:ascii="Times New Roman" w:hAnsi="Times New Roman"/>
          <w:sz w:val="21"/>
        </w:rPr>
        <w:tab/>
        <w:t xml:space="preserve">    3.5 Procedimiento experimental</w:t>
      </w:r>
    </w:p>
    <w:p>
      <w:pPr>
        <w:spacing w:before="0" w:after="0" w:line="220" w:lineRule="exact"/>
      </w:pPr>
      <w:r>
        <w:rPr>
          <w:rFonts w:ascii="Times New Roman" w:hAnsi="Times New Roman"/>
          <w:sz w:val="21"/>
        </w:rPr>
        <w:tab/>
        <w:t xml:space="preserve">    3.6 Alcance y controles del piloto RAG</w:t>
      </w:r>
    </w:p>
    <w:p>
      <w:pPr>
        <w:spacing w:before="0" w:after="0" w:line="220" w:lineRule="exact"/>
      </w:pPr>
      <w:r>
        <w:rPr>
          <w:rFonts w:ascii="Times New Roman" w:hAnsi="Times New Roman"/>
          <w:sz w:val="21"/>
        </w:rPr>
        <w:tab/>
        <w:t xml:space="preserve">    3.7 Modelo de costos y fuentes</w:t>
      </w:r>
    </w:p>
    <w:p>
      <w:pPr>
        <w:spacing w:before="0" w:after="0" w:line="220" w:lineRule="exact"/>
      </w:pPr>
      <w:r>
        <w:rPr>
          <w:rFonts w:ascii="Times New Roman" w:hAnsi="Times New Roman"/>
          <w:sz w:val="21"/>
        </w:rPr>
        <w:tab/>
        <w:t>Capítulo 4 - Diseño del Framework</w:t>
      </w:r>
    </w:p>
    <w:p>
      <w:pPr>
        <w:spacing w:before="0" w:after="0" w:line="220" w:lineRule="exact"/>
      </w:pPr>
      <w:r>
        <w:rPr>
          <w:rFonts w:ascii="Times New Roman" w:hAnsi="Times New Roman"/>
          <w:sz w:val="21"/>
        </w:rPr>
        <w:tab/>
        <w:t xml:space="preserve">    4.1 Arquitectura implementada</w:t>
      </w:r>
    </w:p>
    <w:p>
      <w:pPr>
        <w:spacing w:before="0" w:after="0" w:line="220" w:lineRule="exact"/>
      </w:pPr>
      <w:r>
        <w:rPr>
          <w:rFonts w:ascii="Times New Roman" w:hAnsi="Times New Roman"/>
          <w:sz w:val="21"/>
        </w:rPr>
        <w:tab/>
        <w:t xml:space="preserve">    4.2 Recuperación vectorial</w:t>
      </w:r>
    </w:p>
    <w:p>
      <w:pPr>
        <w:spacing w:before="0" w:after="0" w:line="220" w:lineRule="exact"/>
      </w:pPr>
      <w:r>
        <w:rPr>
          <w:rFonts w:ascii="Times New Roman" w:hAnsi="Times New Roman"/>
          <w:sz w:val="21"/>
        </w:rPr>
        <w:tab/>
        <w:t xml:space="preserve">    4.3 Control de contaminación</w:t>
      </w:r>
    </w:p>
    <w:p>
      <w:pPr>
        <w:spacing w:before="0" w:after="0" w:line="220" w:lineRule="exact"/>
      </w:pPr>
      <w:r>
        <w:rPr>
          <w:rFonts w:ascii="Times New Roman" w:hAnsi="Times New Roman"/>
          <w:sz w:val="21"/>
        </w:rPr>
        <w:tab/>
        <w:t xml:space="preserve">    4.4 Estrategia multilingüe</w:t>
      </w:r>
    </w:p>
    <w:p>
      <w:pPr>
        <w:spacing w:before="0" w:after="0" w:line="220" w:lineRule="exact"/>
      </w:pPr>
      <w:r>
        <w:rPr>
          <w:rFonts w:ascii="Times New Roman" w:hAnsi="Times New Roman"/>
          <w:sz w:val="21"/>
        </w:rPr>
        <w:tab/>
        <w:t xml:space="preserve">    4.5 Diseño de la medición de costos</w:t>
      </w:r>
    </w:p>
    <w:p>
      <w:pPr>
        <w:spacing w:before="0" w:after="0" w:line="220" w:lineRule="exact"/>
      </w:pPr>
      <w:r>
        <w:rPr>
          <w:rFonts w:ascii="Times New Roman" w:hAnsi="Times New Roman"/>
          <w:sz w:val="21"/>
        </w:rPr>
        <w:tab/>
        <w:t>Capítulo 5 - Implementación y Prototipo</w:t>
      </w:r>
    </w:p>
    <w:p>
      <w:pPr>
        <w:spacing w:before="0" w:after="0" w:line="220" w:lineRule="exact"/>
      </w:pPr>
      <w:r>
        <w:rPr>
          <w:rFonts w:ascii="Times New Roman" w:hAnsi="Times New Roman"/>
          <w:sz w:val="21"/>
        </w:rPr>
        <w:tab/>
        <w:t xml:space="preserve">    5.1 Entorno y modelos</w:t>
      </w:r>
    </w:p>
    <w:p>
      <w:pPr>
        <w:spacing w:before="0" w:after="0" w:line="220" w:lineRule="exact"/>
      </w:pPr>
      <w:r>
        <w:rPr>
          <w:rFonts w:ascii="Times New Roman" w:hAnsi="Times New Roman"/>
          <w:sz w:val="21"/>
        </w:rPr>
        <w:tab/>
        <w:t xml:space="preserve">    5.2 Construcción del corpus RAG</w:t>
      </w:r>
    </w:p>
    <w:p>
      <w:pPr>
        <w:spacing w:before="0" w:after="0" w:line="220" w:lineRule="exact"/>
      </w:pPr>
      <w:r>
        <w:rPr>
          <w:rFonts w:ascii="Times New Roman" w:hAnsi="Times New Roman"/>
          <w:sz w:val="21"/>
        </w:rPr>
        <w:tab/>
        <w:t xml:space="preserve">    5.3 Pipeline reproducible</w:t>
      </w:r>
    </w:p>
    <w:p>
      <w:pPr>
        <w:spacing w:before="0" w:after="0" w:line="220" w:lineRule="exact"/>
      </w:pPr>
      <w:r>
        <w:rPr>
          <w:rFonts w:ascii="Times New Roman" w:hAnsi="Times New Roman"/>
          <w:sz w:val="21"/>
        </w:rPr>
        <w:tab/>
        <w:t xml:space="preserve">    5.4 Verificación técnica</w:t>
      </w:r>
    </w:p>
    <w:p>
      <w:pPr>
        <w:spacing w:before="0" w:after="0" w:line="220" w:lineRule="exact"/>
      </w:pPr>
      <w:r>
        <w:rPr>
          <w:rFonts w:ascii="Times New Roman" w:hAnsi="Times New Roman"/>
          <w:sz w:val="21"/>
        </w:rPr>
        <w:tab/>
        <w:t>Capítulo 6 - Experimentación y Resultados</w:t>
      </w:r>
    </w:p>
    <w:p>
      <w:pPr>
        <w:spacing w:before="0" w:after="0" w:line="220" w:lineRule="exact"/>
      </w:pPr>
      <w:r>
        <w:rPr>
          <w:rFonts w:ascii="Times New Roman" w:hAnsi="Times New Roman"/>
          <w:sz w:val="21"/>
        </w:rPr>
        <w:tab/>
        <w:t xml:space="preserve">    6.1 Diseño del piloto controlado</w:t>
      </w:r>
    </w:p>
    <w:p>
      <w:pPr>
        <w:spacing w:before="0" w:after="0" w:line="220" w:lineRule="exact"/>
      </w:pPr>
      <w:r>
        <w:rPr>
          <w:rFonts w:ascii="Times New Roman" w:hAnsi="Times New Roman"/>
          <w:sz w:val="21"/>
        </w:rPr>
        <w:tab/>
        <w:t xml:space="preserve">    6.2 Rendimiento del recuperador</w:t>
      </w:r>
    </w:p>
    <w:p>
      <w:pPr>
        <w:spacing w:before="0" w:after="0" w:line="220" w:lineRule="exact"/>
      </w:pPr>
      <w:r>
        <w:rPr>
          <w:rFonts w:ascii="Times New Roman" w:hAnsi="Times New Roman"/>
          <w:sz w:val="21"/>
        </w:rPr>
        <w:tab/>
        <w:t xml:space="preserve">    6.3 Calidad por modelo y condición</w:t>
      </w:r>
    </w:p>
    <w:p>
      <w:pPr>
        <w:spacing w:before="0" w:after="0" w:line="220" w:lineRule="exact"/>
      </w:pPr>
      <w:r>
        <w:rPr>
          <w:rFonts w:ascii="Times New Roman" w:hAnsi="Times New Roman"/>
          <w:sz w:val="21"/>
        </w:rPr>
        <w:tab/>
        <w:t xml:space="preserve">    6.4 Latencia, tokens y costos</w:t>
      </w:r>
    </w:p>
    <w:p>
      <w:pPr>
        <w:spacing w:before="0" w:after="0" w:line="220" w:lineRule="exact"/>
      </w:pPr>
      <w:r>
        <w:rPr>
          <w:rFonts w:ascii="Times New Roman" w:hAnsi="Times New Roman"/>
          <w:sz w:val="21"/>
        </w:rPr>
        <w:tab/>
        <w:t xml:space="preserve">    6.5 Aciertos de recuperación y calidad</w:t>
      </w:r>
    </w:p>
    <w:p>
      <w:pPr>
        <w:spacing w:before="0" w:after="0" w:line="220" w:lineRule="exact"/>
      </w:pPr>
      <w:r>
        <w:rPr>
          <w:rFonts w:ascii="Times New Roman" w:hAnsi="Times New Roman"/>
          <w:sz w:val="21"/>
        </w:rPr>
        <w:tab/>
        <w:t xml:space="preserve">    6.6 Discusión de las hipótesis</w:t>
      </w:r>
    </w:p>
    <w:p>
      <w:pPr>
        <w:spacing w:before="0" w:after="0" w:line="220" w:lineRule="exact"/>
      </w:pPr>
      <w:r>
        <w:rPr>
          <w:rFonts w:ascii="Times New Roman" w:hAnsi="Times New Roman"/>
          <w:sz w:val="21"/>
        </w:rPr>
        <w:tab/>
        <w:t xml:space="preserve">    6.7 Limitaciones del piloto</w:t>
      </w:r>
    </w:p>
    <w:p>
      <w:pPr>
        <w:spacing w:before="0" w:after="0" w:line="220" w:lineRule="exact"/>
      </w:pPr>
      <w:r>
        <w:rPr>
          <w:rFonts w:ascii="Times New Roman" w:hAnsi="Times New Roman"/>
          <w:sz w:val="21"/>
        </w:rPr>
        <w:tab/>
        <w:t>Conclusiones</w:t>
      </w:r>
    </w:p>
    <w:p>
      <w:pPr>
        <w:spacing w:before="0" w:after="0" w:line="220" w:lineRule="exact"/>
      </w:pPr>
      <w:r>
        <w:rPr>
          <w:rFonts w:ascii="Times New Roman" w:hAnsi="Times New Roman"/>
          <w:sz w:val="21"/>
        </w:rPr>
        <w:tab/>
        <w:t>Líneas Futuras de Investigación</w:t>
      </w:r>
    </w:p>
    <w:p>
      <w:pPr>
        <w:spacing w:before="0" w:after="0" w:line="220" w:lineRule="exact"/>
      </w:pPr>
      <w:r>
        <w:rPr>
          <w:rFonts w:ascii="Times New Roman" w:hAnsi="Times New Roman"/>
          <w:sz w:val="21"/>
        </w:rPr>
        <w:tab/>
        <w:t>Referencias</w:t>
      </w:r>
    </w:p>
    <w:p>
      <w:pPr>
        <w:spacing w:before="0" w:after="0" w:line="220" w:lineRule="exact"/>
      </w:pPr>
      <w:r>
        <w:rPr>
          <w:rFonts w:ascii="Times New Roman" w:hAnsi="Times New Roman"/>
          <w:sz w:val="21"/>
        </w:rPr>
        <w:tab/>
        <w:t>Anexos y Acrónimos</w:t>
      </w:r>
    </w:p>
    <w:p w:rsidR="00000000" w:rsidDel="00000000" w:rsidP="00000000" w:rsidRDefault="00000000" w:rsidRPr="00000000" w14:paraId="00000032">
      <w:pPr>
        <w:pStyle w:val="Heading1"/>
        <w:pageBreakBefore/>
        <w:spacing w:after="200" w:before="400" w:lineRule="auto"/>
        <w:jc w:val="center"/>
        <w:rPr/>
      </w:pPr>
      <w:bookmarkStart w:colFirst="0" w:colLast="0" w:name="_mco0vjxesjhd" w:id="2"/>
      <w:bookmarkEnd w:id="2"/>
      <w:r w:rsidDel="00000000" w:rsidR="00000000" w:rsidRPr="00000000">
        <w:rPr>
          <w:rtl w:val="0"/>
        </w:rPr>
        <w:t xml:space="preserve">Resumen</w:t>
      </w:r>
    </w:p>
    <w:p>
      <w:pPr>
        <w:spacing w:before="0" w:after="160" w:line="360" w:lineRule="auto"/>
        <w:jc w:val="both"/>
      </w:pPr>
      <w:r>
        <w:rPr>
          <w:rFonts w:ascii="Times New Roman" w:hAnsi="Times New Roman"/>
          <w:b w:val="0"/>
          <w:i w:val="0"/>
          <w:sz w:val="24"/>
        </w:rPr>
        <w:t>Este Trabajo Final diseña y valida un framework comparativo para evaluar modelos de lenguaje aplicados al soporte al cliente. El artefacto integra calidad semántica, latencia y costo operativo, y compara una línea base sin recuperación con una configuración de Recuperación Aumentada con Generación (RAG).</w:t>
      </w:r>
    </w:p>
    <w:p>
      <w:pPr>
        <w:spacing w:before="0" w:after="160" w:line="360" w:lineRule="auto"/>
        <w:jc w:val="both"/>
      </w:pPr>
      <w:r>
        <w:rPr>
          <w:rFonts w:ascii="Times New Roman" w:hAnsi="Times New Roman"/>
          <w:b w:val="0"/>
          <w:i w:val="0"/>
          <w:sz w:val="24"/>
        </w:rPr>
        <w:t>La primera iteración experimental utiliza 20 consultas estratificadas del dataset Bitext, traducidas al español, y contrasta GPT-4o mini, LLaMA 3.1 8B y Mistral. El corpus RAG reúne 81 documentos de conocimiento, tres por cada una de las 27 intenciones. Se eliminaron duplicados y coincidencias exactas o cercanas con la muestra de evaluación para reducir contaminación. El recuperador obtuvo Hit@1 de 80 % y Hit@3 de 90 % con el corpus original en inglés.</w:t>
      </w:r>
    </w:p>
    <w:p>
      <w:pPr>
        <w:spacing w:before="0" w:after="160" w:line="360" w:lineRule="auto"/>
        <w:jc w:val="both"/>
      </w:pPr>
      <w:r>
        <w:rPr>
          <w:rFonts w:ascii="Times New Roman" w:hAnsi="Times New Roman"/>
          <w:b w:val="0"/>
          <w:i w:val="0"/>
          <w:sz w:val="24"/>
        </w:rPr>
        <w:t>En la comparación controlada, RAG elevó el BERTScore medio en los tres modelos: +0,0405 en GPT-4o mini, +0,0061 en LLaMA y +0,0275 en Mistral. ROUGE-L mejoró en GPT y Mistral, pero descendió 0,0255 en LLaMA. La latencia aumentó 23,3 % en LLaMA y 38,3 % en Mistral; la caída observada en GPT se interpreta como variabilidad del servicio y no como efecto causal. Los resultados son descriptivos: n = 20 constituye un piloto y no permite confirmar las hipótesis ni generalizar a un despliegue productivo.</w:t>
      </w:r>
    </w:p>
    <w:p>
      <w:pPr>
        <w:spacing w:before="0" w:after="160" w:line="360" w:lineRule="auto"/>
        <w:jc w:val="both"/>
      </w:pPr>
      <w:r>
        <w:rPr>
          <w:rFonts w:ascii="Times New Roman" w:hAnsi="Times New Roman"/>
          <w:b/>
          <w:i w:val="0"/>
          <w:sz w:val="24"/>
        </w:rPr>
        <w:t>Palabras clave: evaluación de modelos, inteligencia artificial generativa, modelos de lenguaje de gran escala, recuperación aumentada con generación, soporte al cliente automatizado</w:t>
      </w:r>
    </w:p>
    <w:p w:rsidR="00000000" w:rsidDel="00000000" w:rsidP="00000000" w:rsidRDefault="00000000" w:rsidRPr="00000000" w14:paraId="0000003E">
      <w:pPr>
        <w:pStyle w:val="Heading1"/>
        <w:pageBreakBefore/>
        <w:spacing w:after="200" w:before="400" w:lineRule="auto"/>
        <w:jc w:val="center"/>
        <w:rPr/>
      </w:pPr>
      <w:bookmarkStart w:colFirst="0" w:colLast="0" w:name="_3e7j7c1hakti" w:id="3"/>
      <w:bookmarkEnd w:id="3"/>
      <w:r w:rsidDel="00000000" w:rsidR="00000000" w:rsidRPr="00000000">
        <w:rPr>
          <w:rtl w:val="0"/>
        </w:rPr>
        <w:t xml:space="preserve">Capítulo 1 - Introducción</w:t>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bookmarkStart w:colFirst="0" w:colLast="0" w:name="_a0cvv8ir0wbh" w:id="4"/>
      <w:bookmarkEnd w:id="4"/>
      <w:r w:rsidDel="00000000" w:rsidR="00000000" w:rsidRPr="00000000">
        <w:rPr>
          <w:rtl w:val="0"/>
        </w:rPr>
        <w:t xml:space="preserve">1.1 Identificación y Planteamiento del Problema</w:t>
      </w:r>
    </w:p>
    <w:p w:rsidR="00000000" w:rsidDel="00000000" w:rsidP="00000000" w:rsidRDefault="00000000" w:rsidRPr="00000000" w14:paraId="00000041">
      <w:pPr>
        <w:spacing w:after="0" w:before="0" w:line="360" w:lineRule="auto"/>
        <w:rPr/>
      </w:pPr>
      <w:r w:rsidDel="00000000" w:rsidR="00000000" w:rsidRPr="00000000">
        <w:rPr>
          <w:rtl w:val="0"/>
        </w:rPr>
      </w:r>
    </w:p>
    <w:p w:rsidR="00000000" w:rsidDel="00000000" w:rsidP="00000000" w:rsidRDefault="00000000" w:rsidRPr="00000000" w14:paraId="0000004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soporte al cliente constituye uno de los procesos más costosos y de mayor impacto en la experiencia del usuario en cualquier organización que brinde servicios. Las empresas reciben millones de consultas repetitivas que demandan tiempo humano valioso y generan costos operativos elevados. Los sistemas de automatización tradicionales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chatbots basados en reglas, árboles de decisión y FAQ estáticas han demostrado limitaciones estructurales: no escalan ante variaciones en el lenguaje natural, no se adaptan a contextos organizacionales específicos y generan experiencias insatisfactorias ante consultas no previstas (Garzón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Quiroz et al., 2025).</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LLMs representan una ruptura tecnológica significativa en este escenario. Su capacidad para comprender contexto, razonar sobre información y generar respuestas coherentes en lenguaje natural los posiciona como candidatos ideales para automatizar el soporte al cliente. No obstante, su adopción organizacional enfrenta una barrera concreta: la oferta disponible es amplia y heterogénea GPT-4o, LLaMA 3, Mistral, Gemini, entre otros y las diferencias en desempeño, costo, latencia y capacidad de personalización son sustanciales. Una organización que busca implementar esta tecnología no dispone de un marco sistemático que le permita seleccionar el modelo más adecuado a su perfil y necesidades.</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esta dificultad se suma la cuestión del conocimiento organizacional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los LLMs entrenados de forma general no conocen los productos, políticas ni procesos internos de una organización específica. La técnica de Recuperación Aumentada con Generación (RAG) permite subsanar esta limitación incorporando información propia como contexto dinámico en cada consulta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embargo, su impacto varía significativamente según el modelo utilizado y esta dimensión no ha sido evaluada de forma integrada en la literatura existente (Vega et al., 2025).</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p w:rsidR="00000000" w:rsidDel="00000000" w:rsidP="00000000" w:rsidRDefault="00000000" w:rsidRPr="00000000" w14:paraId="0000004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síntesis, el problema que aborda esta investigación se configura en la intersección de tres dimensiones: la necesidad organizacional de automatizar el soporte al cliente, la diversidad de modelos LLM disponibles y la ausencia de un framework integrado que contemple calidad, costo, latencia e impacto del RAG como variables simultáneas de evaluación, procesadas a escala mediante herramientas de Big Data.</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pPr>
      <w:bookmarkStart w:colFirst="0" w:colLast="0" w:name="_9ovq9tfge2xf" w:id="5"/>
      <w:bookmarkEnd w:id="5"/>
      <w:r w:rsidDel="00000000" w:rsidR="00000000" w:rsidRPr="00000000">
        <w:rPr>
          <w:rtl w:val="0"/>
        </w:rPr>
        <w:t xml:space="preserve">1.2 Pregunta de Investigación</w:t>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pregunta central que orienta este trabajo es:</w:t>
      </w: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pBdr>
          <w:left w:color="7b0d1e" w:space="10" w:sz="12" w:val="single"/>
        </w:pBdr>
        <w:spacing w:after="120" w:before="120" w:line="360" w:lineRule="auto"/>
        <w:ind w:left="720" w:right="720" w:firstLine="0"/>
        <w:jc w:val="both"/>
        <w:rPr/>
      </w:pPr>
      <w:r w:rsidDel="00000000" w:rsidR="00000000" w:rsidRPr="00000000">
        <w:rPr>
          <w:rFonts w:ascii="Times New Roman" w:cs="Times New Roman" w:eastAsia="Times New Roman" w:hAnsi="Times New Roman"/>
          <w:i w:val="1"/>
          <w:iCs w:val="1"/>
          <w:sz w:val="24"/>
          <w:szCs w:val="24"/>
          <w:rtl w:val="0"/>
        </w:rPr>
        <w:t xml:space="preserve">¿En qué medida los modelos LLM de código abierto, potenciados con RAG sobre datos propios de la organización, alcanzan niveles de calidad de respuesta comparables a los de modelos propietarios, y qué diferencias presentan en términos de costo operativo y latencia, cuando son evaluados sobre un corpus de soporte al cliente procesado mediante herramientas de Big Data?</w:t>
      </w: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tl w:val="0"/>
        </w:rPr>
      </w:r>
    </w:p>
    <w:p w:rsidR="00000000" w:rsidDel="00000000" w:rsidP="00000000" w:rsidRDefault="00000000" w:rsidRPr="00000000" w14:paraId="0000005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 esta pregunta principal se derivan las siguientes preguntas secundarias:</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métricas de calidad semántica permiten discriminar el desempeño de los modelos LLM en tareas de soporte al cliente?</w:t>
      </w:r>
      <w:r w:rsidDel="00000000" w:rsidR="00000000" w:rsidRPr="00000000">
        <w:rPr>
          <w:rtl w:val="0"/>
        </w:rPr>
      </w:r>
    </w:p>
    <w:p w:rsidR="00000000" w:rsidDel="00000000" w:rsidP="00000000" w:rsidRDefault="00000000" w:rsidRPr="00000000" w14:paraId="00000053">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¿Cuál es el impacto de la incorporación de RAG sobre datos propios en la calidad de respuesta de cada modelo evaluado?</w:t>
      </w:r>
      <w:r w:rsidDel="00000000" w:rsidR="00000000" w:rsidRPr="00000000">
        <w:rPr>
          <w:rtl w:val="0"/>
        </w:rPr>
      </w:r>
    </w:p>
    <w:p w:rsidR="00000000" w:rsidDel="00000000" w:rsidP="00000000" w:rsidRDefault="00000000" w:rsidRPr="00000000" w14:paraId="00000054">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¿Cómo varía la relación costo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calidad entre modelos propietarios y de código abierto a medida que escala el volumen de consultas?</w:t>
      </w:r>
      <w:r w:rsidDel="00000000" w:rsidR="00000000" w:rsidRPr="00000000">
        <w:rPr>
          <w:rtl w:val="0"/>
        </w:rPr>
      </w:r>
    </w:p>
    <w:p w:rsidR="00000000" w:rsidDel="00000000" w:rsidP="00000000" w:rsidRDefault="00000000" w:rsidRPr="00000000" w14:paraId="00000055">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perfil de modelo resulta más adecuado según las restricciones operativas (costo, latencia, volumen) de una organización?</w:t>
      </w:r>
      <w:r w:rsidDel="00000000" w:rsidR="00000000" w:rsidRPr="00000000">
        <w:rPr>
          <w:rtl w:val="0"/>
        </w:rPr>
      </w:r>
    </w:p>
    <w:p w:rsidR="00000000" w:rsidDel="00000000" w:rsidP="00000000" w:rsidRDefault="00000000" w:rsidRPr="00000000" w14:paraId="00000056">
      <w:pPr>
        <w:spacing w:after="0" w:before="0" w:line="36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bookmarkStart w:colFirst="0" w:colLast="0" w:name="_wlqqiwfxq7xz" w:id="6"/>
      <w:bookmarkEnd w:id="6"/>
      <w:r w:rsidDel="00000000" w:rsidR="00000000" w:rsidRPr="00000000">
        <w:rPr>
          <w:rtl w:val="0"/>
        </w:rPr>
        <w:t xml:space="preserve">1.3 Hipótesis de Investigación</w:t>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la presente investigación se formulan tres hipótesis:</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pStyle w:val="Heading3"/>
        <w:spacing w:after="80" w:before="200" w:lineRule="auto"/>
        <w:rPr/>
      </w:pPr>
      <w:bookmarkStart w:colFirst="0" w:colLast="0" w:name="_67xtz98jj70r" w:id="7"/>
      <w:bookmarkEnd w:id="7"/>
      <w:r w:rsidDel="00000000" w:rsidR="00000000" w:rsidRPr="00000000">
        <w:rPr>
          <w:rtl w:val="0"/>
        </w:rPr>
        <w:t xml:space="preserve">Hipótesis 1  Calidad de respuesta con RAG</w:t>
      </w:r>
    </w:p>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modelos LLM de código abierto (LLaMA 3, Mistral), cuando son potenciados con la técnica RAG sobre datos propios de la organización, alcanzan niveles de calidad de respuesta comparables a los de los modelos propietarios (GPT-4o mini) en condiciones equivalentes de configuración, medidos mediante la métrica BERTScore en tareas de soporte al cliente de dominio acotado.</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pStyle w:val="Heading3"/>
        <w:spacing w:after="80" w:before="200" w:lineRule="auto"/>
        <w:rPr/>
      </w:pPr>
      <w:bookmarkStart w:colFirst="0" w:colLast="0" w:name="_w1dmls6wpuis" w:id="8"/>
      <w:bookmarkEnd w:id="8"/>
      <w:r w:rsidDel="00000000" w:rsidR="00000000" w:rsidRPr="00000000">
        <w:rPr>
          <w:rtl w:val="0"/>
        </w:rPr>
        <w:t xml:space="preserve">Hipótesis 2  Eficiencia de costos a escala</w:t>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spacing w:after="160" w:before="0" w:line="360" w:lineRule="auto"/>
        <w:jc w:val="both"/>
        <w:rPr/>
      </w:pPr>
      <w:r w:rsidDel="00000000" w:rsidR="00000000" w:rsidRPr="00000000">
        <w:rPr>
          <w:rtl w:val="0"/>
        </w:rPr>
        <w:t xml:space="preserve">La implementación de modelos LLM de código abierto con RAG genera un costo operativo significativamente menor por cada 1.000 consultas procesadas, en comparación con los modelos propietarios con RAG, manteniendo una diferencia de calidad de respuesta inferior a 0,02 puntos en la métrica BERTScore F1.</w:t>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pStyle w:val="Heading3"/>
        <w:spacing w:after="240" w:before="240" w:lineRule="auto"/>
        <w:jc w:val="both"/>
        <w:rPr/>
      </w:pPr>
      <w:bookmarkStart w:colFirst="0" w:colLast="0" w:name="_ozra8bxztd4j" w:id="9"/>
      <w:bookmarkEnd w:id="9"/>
      <w:r w:rsidDel="00000000" w:rsidR="00000000" w:rsidRPr="00000000">
        <w:rPr>
          <w:rtl w:val="0"/>
        </w:rPr>
        <w:t xml:space="preserve">Hipótesis 3  Índice compuesto costo-calidad-latencia</w:t>
      </w:r>
    </w:p>
    <w:p w:rsidR="00000000" w:rsidDel="00000000" w:rsidP="00000000" w:rsidRDefault="00000000" w:rsidRPr="00000000" w14:paraId="00000064">
      <w:pPr>
        <w:spacing w:after="240" w:before="240" w:lineRule="auto"/>
        <w:jc w:val="both"/>
        <w:rPr>
          <w:i w:val="1"/>
          <w:iCs w:val="1"/>
        </w:rPr>
      </w:pPr>
      <w:r w:rsidDel="00000000" w:rsidR="00000000" w:rsidRPr="00000000">
        <w:rPr>
          <w:i w:val="1"/>
          <w:iCs w:val="1"/>
          <w:rtl w:val="0"/>
        </w:rPr>
        <w:t xml:space="preserve">Los modelos LLM de código abierto con RAG presentan una relación costo-calidad-latencia superior a la de los modelos propietarios con RAG, cuando se evalúan mediante un índice compuesto que pondera de forma equitativa la puntuación BERTScore F1, el costo operativo por consulta y la latencia de respuesta</w:t>
      </w:r>
    </w:p>
    <w:p w:rsidR="00000000" w:rsidDel="00000000" w:rsidP="00000000" w:rsidRDefault="00000000" w:rsidRPr="00000000" w14:paraId="00000065">
      <w:pPr>
        <w:spacing w:after="16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tres hipótesis serán sometidas a prueba empírica en la fase de experimentación, mediante pruebas estadísticas apropiadas según la distribución de los datos obtenidos, a determinar en dicha fase de análisis.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Cabe precisar que las tres hipótesis se contrastan exclusivamente sobre los datos obtenidos en la condición con RAG, dado que esa es la configuración en la que una organización efectivamente desplegaría el sistema. La condición sin RAG no interviene en el contraste de hipótesis: cumple la función de línea base de control, según se detalla en el apartado 3.2.</w:t>
      </w: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bookmarkStart w:colFirst="0" w:colLast="0" w:name="_mugszh5fmbq5" w:id="10"/>
      <w:bookmarkEnd w:id="10"/>
      <w:r w:rsidDel="00000000" w:rsidR="00000000" w:rsidRPr="00000000">
        <w:rPr>
          <w:rtl w:val="0"/>
        </w:rPr>
        <w:t xml:space="preserve">1.4 Objetivos de la Investigación</w:t>
      </w:r>
    </w:p>
    <w:p w:rsidR="00000000" w:rsidDel="00000000" w:rsidP="00000000" w:rsidRDefault="00000000" w:rsidRPr="00000000" w14:paraId="0000006A">
      <w:pPr>
        <w:spacing w:after="0" w:before="0" w:line="360" w:lineRule="auto"/>
        <w:rPr/>
      </w:pPr>
      <w:r w:rsidDel="00000000" w:rsidR="00000000" w:rsidRPr="00000000">
        <w:rPr>
          <w:rtl w:val="0"/>
        </w:rPr>
      </w:r>
    </w:p>
    <w:p w:rsidR="00000000" w:rsidDel="00000000" w:rsidP="00000000" w:rsidRDefault="00000000" w:rsidRPr="00000000" w14:paraId="0000006B">
      <w:pPr>
        <w:pStyle w:val="Heading3"/>
        <w:spacing w:after="80" w:before="200" w:lineRule="auto"/>
        <w:rPr/>
      </w:pPr>
      <w:bookmarkStart w:colFirst="0" w:colLast="0" w:name="_dfkjpqsdst84" w:id="11"/>
      <w:bookmarkEnd w:id="11"/>
      <w:r w:rsidDel="00000000" w:rsidR="00000000" w:rsidRPr="00000000">
        <w:rPr>
          <w:rtl w:val="0"/>
        </w:rPr>
        <w:t xml:space="preserve">1.4.1 Objetivo General</w:t>
      </w:r>
    </w:p>
    <w:p w:rsidR="00000000" w:rsidDel="00000000" w:rsidP="00000000" w:rsidRDefault="00000000" w:rsidRPr="00000000" w14:paraId="0000006C">
      <w:pPr>
        <w:spacing w:after="0" w:before="0" w:line="360" w:lineRule="auto"/>
        <w:rPr/>
      </w:pP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Diseñar, implementar y validar un framework comparativo de modelos LLM para el soporte al cliente automatizado, que evalúe simultáneamente la calidad semántica de las respuestas, el costo operativo y la latencia, considerando el impacto de la técnica RAG sobre datos propios de la organización, mediante un pipeline de procesamiento basado en herramientas de Big Data.</w:t>
      </w:r>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pStyle w:val="Heading3"/>
        <w:spacing w:after="80" w:before="200" w:lineRule="auto"/>
        <w:rPr/>
      </w:pPr>
      <w:bookmarkStart w:colFirst="0" w:colLast="0" w:name="_q76px3yw8zx7" w:id="12"/>
      <w:bookmarkEnd w:id="12"/>
      <w:r w:rsidDel="00000000" w:rsidR="00000000" w:rsidRPr="00000000">
        <w:rPr>
          <w:rtl w:val="0"/>
        </w:rPr>
        <w:t xml:space="preserve">1.4.2 Objetivos Específicos</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1.Construir un pipeline de ingesta y preprocesamiento de conversaciones de soporte al cliente utilizando Apache Spark en modo local, capaz de procesar el corpus de datos a escala.</w:t>
      </w: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2.Implementar una base de conocimiento vectorial (FAISS/ChromaDB) e integrar la técnica RAG mediante LangChain para contextualizar las respuestas de los modelos con datos propios de la organización.</w:t>
      </w:r>
      <w:r w:rsidDel="00000000" w:rsidR="00000000" w:rsidRPr="00000000">
        <w:rPr>
          <w:rtl w:val="0"/>
        </w:rPr>
      </w:r>
    </w:p>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3.Evaluar comparativamente al menos tres modelos LLM (GPT-4o mini, LLaMA 3, Mistral) en la condición con RAG, midiendo BERTScore, ROUGE, latencia y costo operativo por consulta, utilizando la condición sin RAG (zero-shot) como línea base de control que permita aislar el aporte de la recuperación sobre el desempeño de cada modelo.</w:t>
      </w: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r>
    </w:p>
    <w:p w:rsidR="00000000" w:rsidDel="00000000" w:rsidP="00000000" w:rsidRDefault="00000000" w:rsidRPr="00000000" w14:paraId="0000007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4.Desarrollar un dashboard interactivo en Streamlit que consolide los resultados del análisis comparativo y genere una guía de selección de modelo según el perfil operativo de la organización.</w:t>
      </w:r>
      <w:r w:rsidDel="00000000" w:rsidR="00000000" w:rsidRPr="00000000">
        <w:rPr>
          <w:rtl w:val="0"/>
        </w:rPr>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bookmarkStart w:colFirst="0" w:colLast="0" w:name="_qi2j9ew9n21q" w:id="13"/>
      <w:bookmarkEnd w:id="13"/>
      <w:r w:rsidDel="00000000" w:rsidR="00000000" w:rsidRPr="00000000">
        <w:rPr>
          <w:rtl w:val="0"/>
        </w:rPr>
        <w:t xml:space="preserve">1.5 Justificación del Tema y Tipo de Trabajo</w:t>
      </w:r>
    </w:p>
    <w:p w:rsidR="00000000" w:rsidDel="00000000" w:rsidP="00000000" w:rsidRDefault="00000000" w:rsidRPr="00000000" w14:paraId="0000007A">
      <w:pPr>
        <w:spacing w:after="0" w:before="0" w:line="360" w:lineRule="auto"/>
        <w:rPr/>
      </w:pPr>
      <w:r w:rsidDel="00000000" w:rsidR="00000000" w:rsidRPr="00000000">
        <w:rPr>
          <w:rtl w:val="0"/>
        </w:rPr>
      </w:r>
    </w:p>
    <w:p w:rsidR="00000000" w:rsidDel="00000000" w:rsidP="00000000" w:rsidRDefault="00000000" w:rsidRPr="00000000" w14:paraId="0000007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Conveniencia y relevancia social</w:t>
      </w:r>
      <w:r w:rsidDel="00000000" w:rsidR="00000000" w:rsidRPr="00000000">
        <w:rPr>
          <w:rtl w:val="0"/>
        </w:rPr>
      </w:r>
    </w:p>
    <w:p w:rsidR="00000000" w:rsidDel="00000000" w:rsidP="00000000" w:rsidRDefault="00000000" w:rsidRPr="00000000" w14:paraId="0000007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LLMs impacta directamente en la eficiencia operativa y en la experiencia del usuario. Para las PyMEs latinoamericanas, contar con un framework accesible y validado que oriente la selección de modelo representa un habilitador concreto de transformación digital con bajo costo de entrada.</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rtl w:val="0"/>
        </w:rPr>
      </w:r>
    </w:p>
    <w:p w:rsidR="00000000" w:rsidDel="00000000" w:rsidP="00000000" w:rsidRDefault="00000000" w:rsidRPr="00000000" w14:paraId="0000007E">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Implicaciones prácticas</w:t>
      </w:r>
      <w:r w:rsidDel="00000000" w:rsidR="00000000" w:rsidRPr="00000000">
        <w:rPr>
          <w:rtl w:val="0"/>
        </w:rPr>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producido es directamente aplicable por cualquier organización que disponga de un corpus de conversaciones de soporte. El dashboard de resultados traduce métricas técnicas en recomendaciones accionables de negocio, sin requerir expertise especializado en LLMs.</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Valor teórico y utilidad metodológica</w:t>
      </w:r>
      <w:r w:rsidDel="00000000" w:rsidR="00000000" w:rsidRPr="00000000">
        <w:rPr>
          <w:rtl w:val="0"/>
        </w:rPr>
      </w:r>
    </w:p>
    <w:p w:rsidR="00000000" w:rsidDel="00000000" w:rsidP="00000000" w:rsidRDefault="00000000" w:rsidRPr="00000000" w14:paraId="0000008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literatura existente aborda la evaluación de LLMs para soporte al cliente de forma fragmentada, sin integrar dimensiones de costo, latencia e impacto del RAG en un único sistema evaluado con herramientas de Big Data. Este trabajo cubre ese vacío y propone un marco metodológico replicable bajo el paradigma Design Science Research (Hevner et al., 2004).</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Tipo de trabajo</w:t>
      </w:r>
      <w:r w:rsidDel="00000000" w:rsidR="00000000" w:rsidRPr="00000000">
        <w:rPr>
          <w:rtl w:val="0"/>
        </w:rPr>
      </w:r>
    </w:p>
    <w:p w:rsidR="00000000" w:rsidDel="00000000" w:rsidP="00000000" w:rsidRDefault="00000000" w:rsidRPr="00000000" w14:paraId="0000008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se enmarca en la modalidad de Trabajo de Investigación, con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Produce un artefacto evaluable (el framework), formula hipótesis contrastables empíricamente y genera resultados generalizables, lo que lo posiciona en el paradigma Design Science Research (Hevner et al., 2004).</w:t>
      </w:r>
      <w:r w:rsidDel="00000000" w:rsidR="00000000" w:rsidRPr="00000000">
        <w:rPr>
          <w:rtl w:val="0"/>
        </w:rPr>
      </w:r>
    </w:p>
    <w:p w:rsidR="00000000" w:rsidDel="00000000" w:rsidP="00000000" w:rsidRDefault="00000000" w:rsidRPr="00000000" w14:paraId="00000086">
      <w:pPr>
        <w:spacing w:after="0" w:before="0" w:line="36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bookmarkStart w:colFirst="0" w:colLast="0" w:name="_j7jawdn9aaox" w:id="14"/>
      <w:bookmarkEnd w:id="14"/>
      <w:r w:rsidDel="00000000" w:rsidR="00000000" w:rsidRPr="00000000">
        <w:rPr>
          <w:rtl w:val="0"/>
        </w:rPr>
        <w:t xml:space="preserve">1.6 Estructura General de la Tesis</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1 presenta la introducción completa: identificación del problema, pregunta de investigación, hipótesis, objetivos, justificación y estructura general del trabajo.</w:t>
      </w:r>
      <w:r w:rsidDel="00000000" w:rsidR="00000000" w:rsidRPr="00000000">
        <w:rPr>
          <w:rtl w:val="0"/>
        </w:rPr>
      </w:r>
    </w:p>
    <w:p w:rsidR="00000000" w:rsidDel="00000000" w:rsidP="00000000" w:rsidRDefault="00000000" w:rsidRPr="00000000" w14:paraId="0000008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2 desarrolla el marco teórico y el estado del arte, con los cuatro antecedentes relevados y sus respectivas citas en norma APA 7.</w:t>
      </w:r>
      <w:r w:rsidDel="00000000" w:rsidR="00000000" w:rsidRPr="00000000">
        <w:rPr>
          <w:rtl w:val="0"/>
        </w:rPr>
      </w:r>
    </w:p>
    <w:p w:rsidR="00000000" w:rsidDel="00000000" w:rsidP="00000000" w:rsidRDefault="00000000" w:rsidRPr="00000000" w14:paraId="0000008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3 describe la metodología de la investigación: paradigma DSR, diseño experimental, variables, dataset y procedimiento.</w:t>
      </w:r>
      <w:r w:rsidDel="00000000" w:rsidR="00000000" w:rsidRPr="00000000">
        <w:rPr>
          <w:rtl w:val="0"/>
        </w:rPr>
      </w:r>
    </w:p>
    <w:p w:rsidR="00000000" w:rsidDel="00000000" w:rsidP="00000000" w:rsidRDefault="00000000" w:rsidRPr="00000000" w14:paraId="0000008C">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4 detalla el diseño del framework: arquitectura, pipeline de ingesta con Spark, base vectorial y módulo de evaluación.</w:t>
      </w:r>
      <w:r w:rsidDel="00000000" w:rsidR="00000000" w:rsidRPr="00000000">
        <w:rPr>
          <w:rtl w:val="0"/>
        </w:rPr>
      </w:r>
    </w:p>
    <w:p w:rsidR="00000000" w:rsidDel="00000000" w:rsidP="00000000" w:rsidRDefault="00000000" w:rsidRPr="00000000" w14:paraId="0000008D">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5 describe la implementación y el prototipo funcional: stack tecnológico, configuración de modelos LLM y dashboard en Streamlit.</w:t>
      </w:r>
      <w:r w:rsidDel="00000000" w:rsidR="00000000" w:rsidRPr="00000000">
        <w:rPr>
          <w:rtl w:val="0"/>
        </w:rPr>
      </w:r>
    </w:p>
    <w:p w:rsidR="00000000" w:rsidDel="00000000" w:rsidP="00000000" w:rsidRDefault="00000000" w:rsidRPr="00000000" w14:paraId="0000008E">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6 presenta la experimentación y los resultados: diseño experimental, análisis comparativo y discusión de hipótesis.</w:t>
      </w:r>
      <w:r w:rsidDel="00000000" w:rsidR="00000000" w:rsidRPr="00000000">
        <w:rPr>
          <w:rtl w:val="0"/>
        </w:rPr>
      </w:r>
    </w:p>
    <w:p w:rsidR="00000000" w:rsidDel="00000000" w:rsidP="00000000" w:rsidRDefault="00000000" w:rsidRPr="00000000" w14:paraId="0000008F">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Conclusiones sintetizan los hallazgos y presentan la guía de selección de modelo.</w:t>
      </w:r>
      <w:r w:rsidDel="00000000" w:rsidR="00000000" w:rsidRPr="00000000">
        <w:rPr>
          <w:rtl w:val="0"/>
        </w:rPr>
      </w:r>
    </w:p>
    <w:p w:rsidR="00000000" w:rsidDel="00000000" w:rsidP="00000000" w:rsidRDefault="00000000" w:rsidRPr="00000000" w14:paraId="00000090">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Líneas Futuras de Investigación proponen continuaciones vinculadas a las limitaciones del trabajo.</w:t>
      </w:r>
      <w:r w:rsidDel="00000000" w:rsidR="00000000" w:rsidRPr="00000000">
        <w:rPr>
          <w:rtl w:val="0"/>
        </w:rPr>
      </w:r>
    </w:p>
    <w:p w:rsidR="00000000" w:rsidDel="00000000" w:rsidP="00000000" w:rsidRDefault="00000000" w:rsidRPr="00000000" w14:paraId="00000091">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Referencias, Anexos y Acrónimos completan el trabajo con bibliografía APA 7, código fuente y glosario.</w:t>
      </w:r>
      <w:r w:rsidDel="00000000" w:rsidR="00000000" w:rsidRPr="00000000">
        <w:rPr>
          <w:rtl w:val="0"/>
        </w:rPr>
      </w:r>
    </w:p>
    <w:p w:rsidR="00000000" w:rsidDel="00000000" w:rsidP="00000000" w:rsidRDefault="00000000" w:rsidRPr="00000000" w14:paraId="00000092">
      <w:pPr>
        <w:spacing w:after="0" w:before="0" w:line="360" w:lineRule="auto"/>
        <w:rPr/>
      </w:pPr>
      <w:r w:rsidDel="00000000" w:rsidR="00000000" w:rsidRPr="00000000">
        <w:rPr>
          <w:rtl w:val="0"/>
        </w:rPr>
      </w:r>
    </w:p>
    <w:p w:rsidR="00000000" w:rsidDel="00000000" w:rsidP="00000000" w:rsidRDefault="00000000" w:rsidRPr="00000000" w14:paraId="00000094">
      <w:pPr>
        <w:pStyle w:val="Heading1"/>
        <w:pageBreakBefore/>
        <w:spacing w:after="200" w:before="400" w:lineRule="auto"/>
        <w:jc w:val="center"/>
        <w:rPr/>
      </w:pPr>
      <w:bookmarkStart w:colFirst="0" w:colLast="0" w:name="_sylgmgf7mrz8" w:id="15"/>
      <w:bookmarkEnd w:id="15"/>
      <w:r w:rsidDel="00000000" w:rsidR="00000000" w:rsidRPr="00000000">
        <w:rPr>
          <w:rtl w:val="0"/>
        </w:rPr>
        <w:t xml:space="preserve">Capítulo 2 - Marco Teórico y Estado del Arte</w:t>
      </w:r>
    </w:p>
    <w:p w:rsidR="00000000" w:rsidDel="00000000" w:rsidP="00000000" w:rsidRDefault="00000000" w:rsidRPr="00000000" w14:paraId="00000095">
      <w:pPr>
        <w:spacing w:after="0" w:before="0" w:line="36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bookmarkStart w:colFirst="0" w:colLast="0" w:name="_cmd6k582zx0a" w:id="16"/>
      <w:bookmarkEnd w:id="16"/>
      <w:r w:rsidDel="00000000" w:rsidR="00000000" w:rsidRPr="00000000">
        <w:rPr>
          <w:rtl w:val="0"/>
        </w:rPr>
        <w:t xml:space="preserve">2.1 Modelos de Lenguaje de Gran Escala</w:t>
      </w:r>
    </w:p>
    <w:p w:rsidR="00000000" w:rsidDel="00000000" w:rsidP="00000000" w:rsidRDefault="00000000" w:rsidRPr="00000000" w14:paraId="0000009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Grandes Modelos de Lenguaje son sistemas de inteligencia artificial basados en arquitecturas de redes neuronales tipo Transformer, entrenados sobre grandes volúmenes de texto para comprender y generar lenguaje natural. A diferencia de los modelos de procesamiento de lenguaje natural (NLP) tradicionales, los LLMs no requieren entrenamiento específico por tarea: demuestran capacidades emergentes ante instrucciones en lenguaje natural (prompts), lo que los hace adaptables a una amplia variedad de dominios y aplicaciones (Garzón-Quiroz et al., 2025).</w:t>
      </w:r>
      <w:r w:rsidDel="00000000" w:rsidR="00000000" w:rsidRPr="00000000">
        <w:rPr>
          <w:rtl w:val="0"/>
        </w:rPr>
      </w:r>
    </w:p>
    <w:p w:rsidR="00000000" w:rsidDel="00000000" w:rsidP="00000000" w:rsidRDefault="00000000" w:rsidRPr="00000000" w14:paraId="00000098">
      <w:pPr>
        <w:spacing w:after="0" w:before="0" w:line="360" w:lineRule="auto"/>
        <w:rPr/>
      </w:pPr>
      <w:r w:rsidDel="00000000" w:rsidR="00000000" w:rsidRPr="00000000">
        <w:rPr>
          <w:rtl w:val="0"/>
        </w:rPr>
      </w:r>
    </w:p>
    <w:p w:rsidR="00000000" w:rsidDel="00000000" w:rsidP="00000000" w:rsidRDefault="00000000" w:rsidRPr="00000000" w14:paraId="0000009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ecosistema actual de LLMs incluye modelos propietarios como GPT-4o de OpenAI y modelos de código abierto como LLaMA 3 de Meta y Mistral de Mistral AI. Estos últimos permiten su descarga, ejecución local y personalización sin restricciones de licencia, lo que representa una ventaja estratégica para organizaciones con restricciones presupuestarias o requisitos de privacidad de datos (Barandoni et al., 2024).</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tl w:val="0"/>
        </w:rPr>
      </w:r>
    </w:p>
    <w:p w:rsidR="00000000" w:rsidDel="00000000" w:rsidP="00000000" w:rsidRDefault="00000000" w:rsidRPr="00000000" w14:paraId="0000009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desarrollo de estos modelos se apoya en una serie de avances sucesivos que conviene reseñar. El punto de inflexión lo constituye la arquitectura Transformer, presentada por Vaswani et al. (2017), que prescinde de los mecanismos recurrentes y convolucionales dominantes hasta ese momento y los reemplaza por un mecanismo de atención capaz de modelar dependencias entre elementos distantes de una secuencia sin procesarla de manera secuencial. Su consecuencia práctica más relevante es la paralelización del entrenamiento, que habilitó el escalamiento a modelos de miles de millones de parámetros.</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Sobre esa base, Devlin et al. (2019) introducen BERT, modelo de representación bidireccional preentrenado que estableció el paradigma de preentrenamiento seguido de ajuste fino. Dicho paradigma sigue vigente en aplicaciones que requieren representaciones semánticas densas, entre ellas la métrica de evaluación empleada en este trabajo. Posteriormente, Brown et al. (2020) demostraron con GPT-3 que el escalamiento de parámetros y datos produce capacidades emergentes de aprendizaje en contexto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modelo resuelve tareas nuevas a partir de instrucciones en lenguaje natural, sin reentrenamiento. Este hallazgo resulta central para la presente investigación, dado que habilita el uso de LLMs en soporte al cliente sin incurrir en los costos asociados al ajuste fino sobre datos propios.</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 los modelos de código abierto considerados, Touvron et al. (2023) presentan LLaMA 2 como una familia de modelos de fundación optimizados para diálogo y distribuidos bajo licencia permisiva, mientras que Jiang et al. (2023) introducen Mistral 7B, modelo de siete mil millones de parámetros que, mediante mecanismos de atención agrupada y de ventana deslizante, supera en desempeño a modelos de mayor tamaño con un costo de inferencia sensiblemente menor. Esta observación resulta particularmente relevante, </w:t>
      </w:r>
      <w:r w:rsidDel="00000000" w:rsidR="00000000" w:rsidRPr="00000000">
        <w:rPr>
          <w:rtl w:val="0"/>
        </w:rPr>
        <w:t xml:space="preserve">ya que</w:t>
      </w:r>
      <w:r w:rsidDel="00000000" w:rsidR="00000000" w:rsidRPr="00000000">
        <w:rPr>
          <w:rFonts w:ascii="Times New Roman" w:cs="Times New Roman" w:eastAsia="Times New Roman" w:hAnsi="Times New Roman"/>
          <w:sz w:val="24"/>
          <w:szCs w:val="24"/>
          <w:rtl w:val="0"/>
        </w:rPr>
        <w:t xml:space="preserve"> sugiere que la relación entre tamaño de modelo y calidad de respuesta no es lineal y que un modelo abierto de escala media puede resultar competitivo frente a alternativas propietarias mayores en dominios acotados.</w:t>
      </w:r>
      <w:r w:rsidDel="00000000" w:rsidR="00000000" w:rsidRPr="00000000">
        <w:rPr>
          <w:rtl w:val="0"/>
        </w:rPr>
      </w:r>
    </w:p>
    <w:p w:rsidR="00000000" w:rsidDel="00000000" w:rsidP="00000000" w:rsidRDefault="00000000" w:rsidRPr="00000000" w14:paraId="0000009E">
      <w:pPr>
        <w:pStyle w:val="Heading2"/>
        <w:spacing w:after="120" w:before="280" w:lineRule="auto"/>
        <w:rPr/>
      </w:pPr>
      <w:bookmarkStart w:colFirst="0" w:colLast="0" w:name="_en61jvdiq65f" w:id="17"/>
      <w:bookmarkEnd w:id="17"/>
      <w:r w:rsidDel="00000000" w:rsidR="00000000" w:rsidRPr="00000000">
        <w:rPr>
          <w:rtl w:val="0"/>
        </w:rPr>
        <w:t xml:space="preserve">2.2 Recuperación Aumentada con Generación</w:t>
      </w:r>
    </w:p>
    <w:p w:rsidR="00000000" w:rsidDel="00000000" w:rsidP="00000000" w:rsidRDefault="00000000" w:rsidRPr="00000000" w14:paraId="0000009F">
      <w:pPr>
        <w:spacing w:after="0" w:before="0" w:line="360" w:lineRule="auto"/>
        <w:rPr/>
      </w:pP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técnica de Recuperación Aumentada con Generación combina la capacidad generativa de los LLMs con un mecanismo de recuperación de información sobre una base de conocimiento externa. Ante una consulta del usuario, el sistema recupera los fragmentos de texto más relevantes de la base de conocimiento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indexada mediante embeddings vectoriales en motores como FAISS o ChromaDB</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los incorpora como contexto adicional en el prompt enviado al LLM. Esto permite que el modelo genere respuestas fundamentadas en información específica de la organización, reduciendo las alucinaciones y mejorando la pertinencia de las respuestas (Vega et al., 2025).</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origen de esta técnica se encuentra en el trabajo de Lewis et al. (2020), quienes identifican tres limitaciones de la memoria paramétrica de los LLMs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conocimiento queda fijado a la fecha de corte del entrenamiento, no resulta actualizable sin reentrenar el modelo y no permite trazar el origen de una afirmación determinada. Frente a ello, los autores proponen combinar dicha memoria paramétrica con una memoria no paramétrica constituida por un índice vectorial denso sobre un corpus externo, de modo que la respuesta se fundamente en información verificable y actualizable sin modificar el modelo subyacente.</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Gao et al. (2023) sistematizan la evolución posterior del campo y distinguen tres paradigmas sucesivos: el RAG ingenuo, que implementa el ciclo básico de indexación, recuperación y generación; el RAG avanzado, que incorpora optimizaciones previas y posteriores a la recuperación, tales como la reescritura de consultas y el reordenamiento de fragmentos; y el RAG modular, que reorganiza los componentes en módulos intercambiables. Los mismos autores destacan que la calidad final del sistema depende de manera conjunta de la etapa de recuperación y de la capacidad generativa del modelo, lo que implica que un mismo esquema RAG puede producir resultados divergentes según el LLM sobre el cual se implemente. Esta observación fundamenta directamente la tercera hipótesis del presente trabajo.</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al componente de indexación, Johnson et al. (2019) desarrollaron FAISS, biblioteca de búsqueda por similitud que implementa algoritmos de cuantización y particionamiento del espacio vectorial, con soporte para ejecución sobre unidades de procesamiento gráfico. La biblioteca permite operar sobre conjuntos de miles de millones de vectores manteniendo tiempos de respuesta compatibles con aplicaciones interactivas. Su carácter de código abierto y su ejecución local la convierten en una opción adecuada para organizaciones con requisitos de privacidad sobre sus datos, dado que el corpus no requiere ser transferido a servicios de terceros. Por estas razones se adopta como componente de indexación en el framework propuesto.</w:t>
      </w:r>
      <w:r w:rsidDel="00000000" w:rsidR="00000000" w:rsidRPr="00000000">
        <w:rPr>
          <w:rtl w:val="0"/>
        </w:rPr>
      </w:r>
    </w:p>
    <w:p w:rsidR="00000000" w:rsidDel="00000000" w:rsidP="00000000" w:rsidRDefault="00000000" w:rsidRPr="00000000" w14:paraId="000000A5">
      <w:pPr>
        <w:pStyle w:val="Heading2"/>
        <w:spacing w:after="120" w:before="280" w:lineRule="auto"/>
        <w:rPr/>
      </w:pPr>
      <w:bookmarkStart w:colFirst="0" w:colLast="0" w:name="_xiy6olpx7omr" w:id="18"/>
      <w:bookmarkEnd w:id="18"/>
      <w:r w:rsidDel="00000000" w:rsidR="00000000" w:rsidRPr="00000000">
        <w:rPr>
          <w:rtl w:val="0"/>
        </w:rPr>
        <w:t xml:space="preserve">2.3 Métricas de Evaluación en NLP</w:t>
      </w:r>
    </w:p>
    <w:p w:rsidR="00000000" w:rsidDel="00000000" w:rsidP="00000000" w:rsidRDefault="00000000" w:rsidRPr="00000000" w14:paraId="000000A6">
      <w:pPr>
        <w:spacing w:after="0" w:before="0" w:line="360" w:lineRule="auto"/>
        <w:rPr/>
      </w:pP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evaluación automática de la calidad de respuestas generadas por LLMs es un campo activo en NLP. Las métricas más utilizadas son:</w:t>
      </w: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tl w:val="0"/>
        </w:rPr>
      </w:r>
    </w:p>
    <w:p w:rsidR="00000000" w:rsidDel="00000000" w:rsidP="00000000" w:rsidRDefault="00000000" w:rsidRPr="00000000" w14:paraId="000000A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BERTScore: evalúa la similitud semántica entre la respuesta generada y una referencia humana, utilizando representaciones vectoriales del modelo BERT. A diferencia de métricas basadas en solapamiento de tokens, captura la equivalencia de significado aunque las palabras utilizadas sean distintas.</w:t>
      </w:r>
      <w:r w:rsidDel="00000000" w:rsidR="00000000" w:rsidRPr="00000000">
        <w:rPr>
          <w:rtl w:val="0"/>
        </w:rPr>
      </w:r>
    </w:p>
    <w:p w:rsidR="00000000" w:rsidDel="00000000" w:rsidP="00000000" w:rsidRDefault="00000000" w:rsidRPr="00000000" w14:paraId="000000A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ROUGE (Recall-Oriented Understudy for Gisting Evaluation): mide el solapamiento de n-gramas entre la respuesta generada y la referencia. Es ampliamente utilizado en tareas de resumen y generación de texto.</w:t>
      </w:r>
      <w:r w:rsidDel="00000000" w:rsidR="00000000" w:rsidRPr="00000000">
        <w:rPr>
          <w:rtl w:val="0"/>
        </w:rPr>
      </w:r>
    </w:p>
    <w:p w:rsidR="00000000" w:rsidDel="00000000" w:rsidP="00000000" w:rsidRDefault="00000000" w:rsidRPr="00000000" w14:paraId="000000A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LLM-as-judge: emplea un modelo LLM adicional para evaluar la calidad de las respuestas en dimensiones subjetivas como claridad, completitud y tono, complementando las métricas automáticas (Barandoni et al., 2024).</w:t>
      </w:r>
      <w:r w:rsidDel="00000000" w:rsidR="00000000" w:rsidRPr="00000000">
        <w:rPr>
          <w:rtl w:val="0"/>
        </w:rPr>
      </w:r>
    </w:p>
    <w:p w:rsidR="00000000" w:rsidDel="00000000" w:rsidP="00000000" w:rsidRDefault="00000000" w:rsidRPr="00000000" w14:paraId="000000AC">
      <w:pPr>
        <w:spacing w:after="0" w:before="0" w:line="360" w:lineRule="auto"/>
        <w:rPr/>
      </w:pPr>
      <w:r w:rsidDel="00000000" w:rsidR="00000000" w:rsidRPr="00000000">
        <w:rPr>
          <w:rtl w:val="0"/>
        </w:rPr>
      </w:r>
    </w:p>
    <w:p w:rsidR="00000000" w:rsidDel="00000000" w:rsidP="00000000" w:rsidRDefault="00000000" w:rsidRPr="00000000" w14:paraId="000000A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métricas disponibles se organizan en tres familias cuyas propiedades conviene distinguir para justificar las decisiones de medición adoptadas. La primera corresponde a las métricas basadas en solapamiento léxico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Papineni et al. (2002) introdujeron BLEU para la evaluación de traducción automática, midiendo la coincidencia de n-gramas entre la salida del sistema y una o más referencias humanas, mientras que Lin (2004) propuso posteriormente ROUGE, orientado a tareas de resumen, que privilegia la cobertura de la referencia por parte del texto generado. Ambas resultan computacionalmente económicas e interpretables, pero comparten una limitación sustantiva: penalizan las reformulaciones semánticamente equivalentes que emplean vocabulario distinto, situación frecuente en respuestas de soporte al cliente.</w:t>
      </w:r>
      <w:r w:rsidDel="00000000" w:rsidR="00000000" w:rsidRPr="00000000">
        <w:rPr>
          <w:rtl w:val="0"/>
        </w:rPr>
      </w:r>
    </w:p>
    <w:p w:rsidR="00000000" w:rsidDel="00000000" w:rsidP="00000000" w:rsidRDefault="00000000" w:rsidRPr="00000000" w14:paraId="000000A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segunda familia responde precisamente a esa limitación. Zhang et al. (2020) proponen BERTScore, métrica que calcula la similitud entre el texto generado y la referencia a partir de representaciones contextuales obtenidas de un modelo preentrenado, en lugar de coincidencias exactas de tokens. Los autores demuestran, sobre las salidas de trescientos sesenta y tres sistemas de traducción y descripción de imágenes, que la métrica correlaciona mejor con el juicio humano que las alternativas basadas en solapamiento y que resulta más robusta ante paráfrasis adversarias. Por esta razón, BERTScore se adopta como métrica principal de calidad en el presente trabajo, con ROUGE como indicador complementario.</w:t>
      </w:r>
      <w:r w:rsidDel="00000000" w:rsidR="00000000" w:rsidRPr="00000000">
        <w:rPr>
          <w:rtl w:val="0"/>
        </w:rPr>
      </w:r>
    </w:p>
    <w:p w:rsidR="00000000" w:rsidDel="00000000" w:rsidP="00000000" w:rsidRDefault="00000000" w:rsidRPr="00000000" w14:paraId="000000A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tercera familia emplea un modelo de lenguaje como evaluador. Zheng et al. (2023) analizan sistemáticamente esta modalidad y reportan que evaluadores basados en modelos de alta capacidad alcanzan niveles de concordancia con las preferencias humanas superiores al ochenta por ciento, equivalentes al acuerdo observado entre evaluadores humanos. Los mismos autores identifican no obstante sesgos sistemáticos de posición, de verbosidad y de autopreferencia, que exigen precauciones metodológicas en su aplicación. Esta modalidad se contempla como instrumento complementario en dimensiones cualitativas tales como claridad y adecuación del tono, que las métricas automáticas no capturan.</w:t>
      </w:r>
      <w:r w:rsidDel="00000000" w:rsidR="00000000" w:rsidRPr="00000000">
        <w:rPr>
          <w:rtl w:val="0"/>
        </w:rPr>
      </w:r>
    </w:p>
    <w:p w:rsidR="00000000" w:rsidDel="00000000" w:rsidP="00000000" w:rsidRDefault="00000000" w:rsidRPr="00000000" w14:paraId="000000B0">
      <w:pPr>
        <w:pStyle w:val="Heading2"/>
        <w:spacing w:after="120" w:before="280" w:lineRule="auto"/>
        <w:rPr/>
      </w:pPr>
      <w:bookmarkStart w:colFirst="0" w:colLast="0" w:name="_esy3ul8xth1b" w:id="19"/>
      <w:bookmarkEnd w:id="19"/>
      <w:r w:rsidDel="00000000" w:rsidR="00000000" w:rsidRPr="00000000">
        <w:rPr>
          <w:rtl w:val="0"/>
        </w:rPr>
        <w:t xml:space="preserve">2.4 Big Data aplicado al procesamiento de texto</w:t>
      </w:r>
    </w:p>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procesamiento de grandes volúmenes de conversaciones de soporte al cliente requiere herramientas capaces de escalar horizontalmente. Apache Spark es un motor de procesamiento distribuido que permite ejecutar pipelines de transformación de datos en modo local o en clústeres, mediante su API de DataFrames y su módulo de procesamiento de lenguaje natural (Spark NLP). En el contexto de este trabajo, Spark se utiliza para la ingesta, limpieza y preprocesamiento del corpus de conversaciones, garantizando que el framework sea reproducible a distintas escalas de volumen de datos.</w:t>
      </w:r>
      <w:r w:rsidDel="00000000" w:rsidR="00000000" w:rsidRPr="00000000">
        <w:rPr>
          <w:rtl w:val="0"/>
        </w:rPr>
      </w:r>
    </w:p>
    <w:p w:rsidR="00000000" w:rsidDel="00000000" w:rsidP="00000000" w:rsidRDefault="00000000" w:rsidRPr="00000000" w14:paraId="000000B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Zaharia et al. (2016) presentan Apache Spark como un motor unificado de procesamiento distribuido que integra, bajo una misma interfaz de programación, operaciones por lotes, consultas estructuradas, procesamiento de flujos y aprendizaje automático. La arquitectura del sistema se apoya en conjuntos de datos distribuidos resilientes, abstracción que permite recuperar particiones ante fallos sin necesidad de replicación explícita.</w:t>
      </w:r>
      <w:r w:rsidDel="00000000" w:rsidR="00000000" w:rsidRPr="00000000">
        <w:rPr>
          <w:rtl w:val="0"/>
        </w:rPr>
      </w:r>
    </w:p>
    <w:p w:rsidR="00000000" w:rsidDel="00000000" w:rsidP="00000000" w:rsidRDefault="00000000" w:rsidRPr="00000000" w14:paraId="000000B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decisión de utilizarlo en modo local no responde a una necesidad de cómputo distribuido en la escala experimental prevista, sino a un criterio de reproducibilidad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pipeline construido resulta transferible sin modificaciones a un entorno de clúster cuando el volumen de datos lo requiera, lo que preserva la aplicabilidad del framework en organizaciones con corpus de magnitud considerablemente mayor.</w:t>
      </w:r>
      <w:r w:rsidDel="00000000" w:rsidR="00000000" w:rsidRPr="00000000">
        <w:rPr>
          <w:rtl w:val="0"/>
        </w:rPr>
      </w:r>
    </w:p>
    <w:p w:rsidR="00000000" w:rsidDel="00000000" w:rsidP="00000000" w:rsidRDefault="00000000" w:rsidRPr="00000000" w14:paraId="000000B5">
      <w:pPr>
        <w:pStyle w:val="Heading2"/>
        <w:spacing w:after="120" w:before="280" w:lineRule="auto"/>
        <w:rPr/>
      </w:pPr>
      <w:bookmarkStart w:colFirst="0" w:colLast="0" w:name="_jrll2q5g0luc" w:id="20"/>
      <w:bookmarkEnd w:id="20"/>
      <w:r w:rsidDel="00000000" w:rsidR="00000000" w:rsidRPr="00000000">
        <w:rPr>
          <w:rtl w:val="0"/>
        </w:rPr>
        <w:t xml:space="preserve">2.5 Estado del Arte - Antecedentes Relevados</w:t>
      </w:r>
    </w:p>
    <w:p w:rsidR="00000000" w:rsidDel="00000000" w:rsidP="00000000" w:rsidRDefault="00000000" w:rsidRPr="00000000" w14:paraId="000000B6">
      <w:pPr>
        <w:spacing w:after="0" w:before="0" w:line="360" w:lineRule="auto"/>
        <w:rPr/>
      </w:pPr>
      <w:r w:rsidDel="00000000" w:rsidR="00000000" w:rsidRPr="00000000">
        <w:rPr>
          <w:rtl w:val="0"/>
        </w:rPr>
      </w:r>
    </w:p>
    <w:p w:rsidR="00000000" w:rsidDel="00000000" w:rsidP="00000000" w:rsidRDefault="00000000" w:rsidRPr="00000000" w14:paraId="000000B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presentan los cuatro antecedentes seleccionados mediante búsqueda en Google Scholar, Redalyc, SciELO y Dialnet. Los criterios de selección priorizaron trabajos publicados entre 2024 y 2025, con acceso abierto verificado, que abordaran la evaluación de LLMs, la implementación de RAG o la automatización del soporte al cliente.</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tl w:val="0"/>
        </w:rPr>
      </w:r>
    </w:p>
    <w:p w:rsidR="00000000" w:rsidDel="00000000" w:rsidP="00000000" w:rsidRDefault="00000000" w:rsidRPr="00000000" w14:paraId="000000B9">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1</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Análisis sistemático sobre la eficiencia comunicativa entre chatbots basados en reglas y modelos de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Garzón-Quiroz, M., Del Campo-Saltos, G., y Loor-Ávila,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Universitas-XXI, Revista de Ciencias Sociales y Humanas, Vol. 42, pp. 167-192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Redalyc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7b0d1e"/>
                <w:sz w:val="20"/>
                <w:szCs w:val="20"/>
                <w:rtl w:val="0"/>
              </w:rPr>
              <w:t xml:space="preserve">DOI /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hyperlink r:id="rId7">
              <w:r w:rsidDel="00000000" w:rsidR="00000000" w:rsidRPr="00000000">
                <w:rPr>
                  <w:color w:val="1155cc"/>
                  <w:u w:val="single"/>
                  <w:rtl w:val="0"/>
                </w:rPr>
                <w:t xml:space="preserve">https://doi.org/10.17163/uni.n42.2025.07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hyperlink r:id="rId8">
              <w:r w:rsidDel="00000000" w:rsidR="00000000" w:rsidRPr="00000000">
                <w:rPr>
                  <w:color w:val="1155cc"/>
                  <w:u w:val="single"/>
                  <w:rtl w:val="0"/>
                </w:rPr>
                <w:t xml:space="preserve">https://www.redalyc.org/journal/4761/476181404007/html/</w:t>
              </w:r>
            </w:hyperlink>
            <w:r w:rsidDel="00000000" w:rsidR="00000000" w:rsidRPr="00000000">
              <w:rPr>
                <w:rtl w:val="0"/>
              </w:rPr>
            </w:r>
          </w:p>
        </w:tc>
      </w:tr>
    </w:tbl>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C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estudio se fundamentó en una revisión sistemática de 175 documentos sobre las eficiencias comunicativas de chatbots basados en reglas versus chatbots impulsados por modelos de lenguaje natural. Los resultados revelaron diferencias significativas: los sistemas basados en reglas son simples y económicos, óptimos para tareas repetitivas, pero limitados para interacciones complejas. Los sistemas basados en LLMs ofrecen interacciones más adaptativas, aunque requieren mayor inversión. La elección entre enfoques depende del contexto, los recursos disponibles y las necesidades de la organización.</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p>
    <w:p w:rsidR="00000000" w:rsidDel="00000000" w:rsidP="00000000" w:rsidRDefault="00000000" w:rsidRPr="00000000" w14:paraId="000000CF">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Provee el marco conceptual fundamental para justificar el problema de investigación: demuestra</w:t>
      </w:r>
    </w:p>
    <w:p w:rsidR="00000000" w:rsidDel="00000000" w:rsidP="00000000" w:rsidRDefault="00000000" w:rsidRPr="00000000" w14:paraId="000000D1">
      <w:pPr>
        <w:rPr/>
      </w:pPr>
      <w:r w:rsidDel="00000000" w:rsidR="00000000" w:rsidRPr="00000000">
        <w:rPr>
          <w:rtl w:val="0"/>
        </w:rPr>
        <w:t xml:space="preserve">empíricamente que los chatbots basados en reglas son insuficientes para interacciones complejas</w:t>
      </w:r>
    </w:p>
    <w:p w:rsidR="00000000" w:rsidDel="00000000" w:rsidP="00000000" w:rsidRDefault="00000000" w:rsidRPr="00000000" w14:paraId="000000D2">
      <w:pPr>
        <w:rPr/>
      </w:pPr>
      <w:r w:rsidDel="00000000" w:rsidR="00000000" w:rsidRPr="00000000">
        <w:rPr>
          <w:rtl w:val="0"/>
        </w:rPr>
        <w:t xml:space="preserve">y que los LLMs representan la alternativa tecnológicamente superior. Su revisión de 175 documentos consolida el estado del campo a nivel latinoamericano. Publicado en Redalyc, fuente</w:t>
      </w:r>
    </w:p>
    <w:p w:rsidR="00000000" w:rsidDel="00000000" w:rsidP="00000000" w:rsidRDefault="00000000" w:rsidRPr="00000000" w14:paraId="000000D3">
      <w:pPr>
        <w:rPr/>
      </w:pPr>
      <w:r w:rsidDel="00000000" w:rsidR="00000000" w:rsidRPr="00000000">
        <w:rPr>
          <w:rtl w:val="0"/>
        </w:rPr>
        <w:t xml:space="preserve">de acceso abierto requerida por la consigna.</w:t>
      </w:r>
    </w:p>
    <w:p w:rsidR="00000000" w:rsidDel="00000000" w:rsidP="00000000" w:rsidRDefault="00000000" w:rsidRPr="00000000" w14:paraId="000000D4">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tl w:val="0"/>
        </w:rPr>
      </w:r>
    </w:p>
    <w:p w:rsidR="00000000" w:rsidDel="00000000" w:rsidP="00000000" w:rsidRDefault="00000000" w:rsidRPr="00000000" w14:paraId="000000D6">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2</w:t>
      </w:r>
      <w:r w:rsidDel="00000000" w:rsidR="00000000" w:rsidRPr="00000000">
        <w:rPr>
          <w:rtl w:val="0"/>
        </w:rPr>
      </w:r>
    </w:p>
    <w:p w:rsidR="00000000" w:rsidDel="00000000" w:rsidP="00000000" w:rsidRDefault="00000000" w:rsidRPr="00000000" w14:paraId="000000D7">
      <w:pPr>
        <w:spacing w:after="0" w:before="0" w:line="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Desarrollo de un chatbot inteligente con LLM para diagnóstico médico de la enfermedad pulmonar obstructiva crónica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0"/>
                <w:szCs w:val="20"/>
                <w:rtl w:val="0"/>
              </w:rPr>
              <w:t xml:space="preserve">Vega, A. A., Zambrano, F. D., Cartuche, J. J., y Hernández, D.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Revista Espacios, Vol. 46, N° 6, pp. 196-207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SciELO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7b0d1e"/>
                <w:sz w:val="20"/>
                <w:szCs w:val="20"/>
                <w:rtl w:val="0"/>
              </w:rPr>
              <w:t xml:space="preserve">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hyperlink r:id="rId9">
              <w:r w:rsidDel="00000000" w:rsidR="00000000" w:rsidRPr="00000000">
                <w:rPr>
                  <w:color w:val="1155cc"/>
                  <w:u w:val="single"/>
                  <w:rtl w:val="0"/>
                </w:rPr>
                <w:t xml:space="preserve">https://doi.org/10.48082/espacios-a25v46n06p17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4">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hyperlink r:id="rId10">
              <w:r w:rsidDel="00000000" w:rsidR="00000000" w:rsidRPr="00000000">
                <w:rPr>
                  <w:color w:val="1155cc"/>
                  <w:u w:val="single"/>
                  <w:rtl w:val="0"/>
                </w:rPr>
                <w:t xml:space="preserve">https://ve.scielo.org/scielo.php?script=sci_arttext&amp;pid=S0798-101520250</w:t>
              </w:r>
            </w:hyperlink>
            <w:r w:rsidDel="00000000" w:rsidR="00000000" w:rsidRPr="00000000">
              <w:rPr>
                <w:rtl w:val="0"/>
              </w:rPr>
            </w:r>
          </w:p>
          <w:p w:rsidR="00000000" w:rsidDel="00000000" w:rsidP="00000000" w:rsidRDefault="00000000" w:rsidRPr="00000000" w14:paraId="000000E6">
            <w:pPr>
              <w:rPr/>
            </w:pPr>
            <w:hyperlink r:id="rId11">
              <w:r w:rsidDel="00000000" w:rsidR="00000000" w:rsidRPr="00000000">
                <w:rPr>
                  <w:color w:val="1155cc"/>
                  <w:u w:val="single"/>
                  <w:rtl w:val="0"/>
                </w:rPr>
                <w:t xml:space="preserve">00600196</w:t>
              </w:r>
            </w:hyperlink>
            <w:r w:rsidDel="00000000" w:rsidR="00000000" w:rsidRPr="00000000">
              <w:rPr>
                <w:rtl w:val="0"/>
              </w:rPr>
            </w:r>
          </w:p>
        </w:tc>
      </w:tr>
    </w:tbl>
    <w:p w:rsidR="00000000" w:rsidDel="00000000" w:rsidP="00000000" w:rsidRDefault="00000000" w:rsidRPr="00000000" w14:paraId="000000E7">
      <w:pPr>
        <w:spacing w:after="0" w:before="0" w:line="360" w:lineRule="auto"/>
        <w:rPr/>
      </w:pPr>
      <w:r w:rsidDel="00000000" w:rsidR="00000000" w:rsidRPr="00000000">
        <w:rPr>
          <w:rtl w:val="0"/>
        </w:rPr>
      </w:r>
    </w:p>
    <w:p w:rsidR="00000000" w:rsidDel="00000000" w:rsidP="00000000" w:rsidRDefault="00000000" w:rsidRPr="00000000" w14:paraId="000000E8">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E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presenta un prototipo de chatbot inteligente construido con LLM que integra FAISS y embeddings semánticos para la fragmentación de datos clínicos. Implementa un esquema RAG que combina recuperación vectorial con generación de texto mediante GPT-4o para mejorar la precisión de las respuestas. Los datos en formato PDF son indexados en FAISS para búsquedas de similitud vectorial. Los resultados demuestran coherencia validada por especialistas, confirmando la utilidad práctica del sistema en un dominio acotado.</w:t>
      </w: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r>
    </w:p>
    <w:p w:rsidR="00000000" w:rsidDel="00000000" w:rsidP="00000000" w:rsidRDefault="00000000" w:rsidRPr="00000000" w14:paraId="000000E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Demuestra la viabilidad técnica de implementar un chatbot con LLM y RAG sobre datos propios</w:t>
      </w:r>
    </w:p>
    <w:p w:rsidR="00000000" w:rsidDel="00000000" w:rsidP="00000000" w:rsidRDefault="00000000" w:rsidRPr="00000000" w14:paraId="000000ED">
      <w:pPr>
        <w:rPr/>
      </w:pPr>
      <w:r w:rsidDel="00000000" w:rsidR="00000000" w:rsidRPr="00000000">
        <w:rPr>
          <w:rtl w:val="0"/>
        </w:rPr>
        <w:t xml:space="preserve">de una organización en un dominio acotado, usando FAISS como motor de búsqueda vectorial,</w:t>
      </w:r>
    </w:p>
    <w:p w:rsidR="00000000" w:rsidDel="00000000" w:rsidP="00000000" w:rsidRDefault="00000000" w:rsidRPr="00000000" w14:paraId="000000EE">
      <w:pPr>
        <w:rPr/>
      </w:pPr>
      <w:r w:rsidDel="00000000" w:rsidR="00000000" w:rsidRPr="00000000">
        <w:rPr>
          <w:rtl w:val="0"/>
        </w:rPr>
        <w:t xml:space="preserve">que es exactamente la arquitectura propuesta en el framework del presente trabajo. Aunque el</w:t>
      </w:r>
    </w:p>
    <w:p w:rsidR="00000000" w:rsidDel="00000000" w:rsidP="00000000" w:rsidRDefault="00000000" w:rsidRPr="00000000" w14:paraId="000000EF">
      <w:pPr>
        <w:rPr/>
      </w:pPr>
      <w:r w:rsidDel="00000000" w:rsidR="00000000" w:rsidRPr="00000000">
        <w:rPr>
          <w:rtl w:val="0"/>
        </w:rPr>
        <w:t xml:space="preserve">dominio es médico y no de soporte al cliente, la arquitectura RAG + FAISS + LLM es directamente transferible. Publicado en SciELO, fuente de acceso abierto requerida por la consigna.</w:t>
      </w:r>
    </w:p>
    <w:p w:rsidR="00000000" w:rsidDel="00000000" w:rsidP="00000000" w:rsidRDefault="00000000" w:rsidRPr="00000000" w14:paraId="000000F0">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F1">
      <w:pPr>
        <w:spacing w:after="0" w:before="0" w:line="360" w:lineRule="auto"/>
        <w:rPr/>
      </w:pPr>
      <w:r w:rsidDel="00000000" w:rsidR="00000000" w:rsidRPr="00000000">
        <w:rPr>
          <w:rtl w:val="0"/>
        </w:rPr>
      </w:r>
    </w:p>
    <w:p w:rsidR="00000000" w:rsidDel="00000000" w:rsidP="00000000" w:rsidRDefault="00000000" w:rsidRPr="00000000" w14:paraId="000000F2">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3</w:t>
      </w:r>
      <w:r w:rsidDel="00000000" w:rsidR="00000000" w:rsidRPr="00000000">
        <w:rPr>
          <w:rtl w:val="0"/>
        </w:rPr>
      </w:r>
    </w:p>
    <w:p w:rsidR="00000000" w:rsidDel="00000000" w:rsidP="00000000" w:rsidRDefault="00000000" w:rsidRPr="00000000" w14:paraId="000000F3">
      <w:pPr>
        <w:spacing w:after="0" w:before="0" w:line="3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An Empirical Study on the Efficacy of LLM-Powered Chatbots in Basic Information Retrieval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Faysal, N.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Proyecto de Maestría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Master of Science in Information Systems and Technology, California State University, San Bernardino (CSUSB)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Google Scholar / CSUSB ScholarWorks (repositorio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hyperlink r:id="rId12">
              <w:r w:rsidDel="00000000" w:rsidR="00000000" w:rsidRPr="00000000">
                <w:rPr>
                  <w:color w:val="1155cc"/>
                  <w:u w:val="single"/>
                  <w:rtl w:val="0"/>
                </w:rPr>
                <w:t xml:space="preserve">https://scholarworks.lib.csusb.edu/etd/1938</w:t>
              </w:r>
            </w:hyperlink>
            <w:r w:rsidDel="00000000" w:rsidR="00000000" w:rsidRPr="00000000">
              <w:rPr>
                <w:rtl w:val="0"/>
              </w:rPr>
            </w:r>
          </w:p>
        </w:tc>
      </w:tr>
    </w:tbl>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0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empíricamente la eficacia de chatbots basados en LLMs frente a la navegación web tradicional (GUI) en tareas de recuperación de información, con 165 participantes. Formula dos hipótesis formales contrastadas mediante el test de Wilcoxon signed-rank. Los resultados confirmaron ambas hipótesis: los usuarios de chatbots LLM encontraron información significativamente más rápido y con mayor precisión que los usuarios de navegación web. Es el único antecedente relevado con hipótesis formales explícitas y prueba estadística de contraste.</w:t>
      </w:r>
      <w:r w:rsidDel="00000000" w:rsidR="00000000" w:rsidRPr="00000000">
        <w:rPr>
          <w:rtl w:val="0"/>
        </w:rPr>
      </w:r>
    </w:p>
    <w:p w:rsidR="00000000" w:rsidDel="00000000" w:rsidP="00000000" w:rsidRDefault="00000000" w:rsidRPr="00000000" w14:paraId="00000103">
      <w:pPr>
        <w:spacing w:after="0" w:before="0" w:line="360" w:lineRule="auto"/>
        <w:rPr/>
      </w:pPr>
      <w:r w:rsidDel="00000000" w:rsidR="00000000" w:rsidRPr="00000000">
        <w:rPr>
          <w:rtl w:val="0"/>
        </w:rPr>
      </w:r>
    </w:p>
    <w:p w:rsidR="00000000" w:rsidDel="00000000" w:rsidP="00000000" w:rsidRDefault="00000000" w:rsidRPr="00000000" w14:paraId="0000010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 el antecedente metodológico más relevante: el único de los cuatro que formula hipótesis</w:t>
      </w:r>
    </w:p>
    <w:p w:rsidR="00000000" w:rsidDel="00000000" w:rsidP="00000000" w:rsidRDefault="00000000" w:rsidRPr="00000000" w14:paraId="00000106">
      <w:pPr>
        <w:rPr/>
      </w:pPr>
      <w:r w:rsidDel="00000000" w:rsidR="00000000" w:rsidRPr="00000000">
        <w:rPr>
          <w:rtl w:val="0"/>
        </w:rPr>
        <w:t xml:space="preserve">formales H+/H0 y las contrasta estadísticamente, lo que lo convierte en el modelo de referencia</w:t>
      </w:r>
    </w:p>
    <w:p w:rsidR="00000000" w:rsidDel="00000000" w:rsidP="00000000" w:rsidRDefault="00000000" w:rsidRPr="00000000" w14:paraId="00000107">
      <w:pPr>
        <w:rPr/>
      </w:pPr>
      <w:r w:rsidDel="00000000" w:rsidR="00000000" w:rsidRPr="00000000">
        <w:rPr>
          <w:rtl w:val="0"/>
        </w:rPr>
        <w:t xml:space="preserve">para la formulación de hipótesis del presente trabajo. Evalúa empíricamente chatbots LLM sobre</w:t>
      </w:r>
    </w:p>
    <w:p w:rsidR="00000000" w:rsidDel="00000000" w:rsidP="00000000" w:rsidRDefault="00000000" w:rsidRPr="00000000" w14:paraId="00000108">
      <w:pPr>
        <w:rPr/>
      </w:pPr>
      <w:r w:rsidDel="00000000" w:rsidR="00000000" w:rsidRPr="00000000">
        <w:rPr>
          <w:rtl w:val="0"/>
        </w:rPr>
        <w:t xml:space="preserve">datos propios de una organización con usuarios reales. Disponible en Google Scholar a través del</w:t>
      </w:r>
    </w:p>
    <w:p w:rsidR="00000000" w:rsidDel="00000000" w:rsidP="00000000" w:rsidRDefault="00000000" w:rsidRPr="00000000" w14:paraId="00000109">
      <w:pPr>
        <w:rPr/>
      </w:pPr>
      <w:r w:rsidDel="00000000" w:rsidR="00000000" w:rsidRPr="00000000">
        <w:rPr>
          <w:rtl w:val="0"/>
        </w:rPr>
        <w:t xml:space="preserve">repositorio abierto CSUSB ScholarWorks.</w:t>
      </w:r>
    </w:p>
    <w:p w:rsidR="00000000" w:rsidDel="00000000" w:rsidP="00000000" w:rsidRDefault="00000000" w:rsidRPr="00000000" w14:paraId="0000010A">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rtl w:val="0"/>
        </w:rPr>
      </w:r>
    </w:p>
    <w:p w:rsidR="00000000" w:rsidDel="00000000" w:rsidP="00000000" w:rsidRDefault="00000000" w:rsidRPr="00000000" w14:paraId="0000010C">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4</w:t>
      </w:r>
      <w:r w:rsidDel="00000000" w:rsidR="00000000" w:rsidRPr="00000000">
        <w:rPr>
          <w:rtl w:val="0"/>
        </w:rPr>
      </w:r>
    </w:p>
    <w:p w:rsidR="00000000" w:rsidDel="00000000" w:rsidP="00000000" w:rsidRDefault="00000000" w:rsidRPr="00000000" w14:paraId="0000010D">
      <w:pPr>
        <w:spacing w:after="0" w:before="0" w:line="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Automating Customer Needs Analysis: A Comparative Study of Large Language Models in the Travel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Barandoni, S., Chiarello, F., Cascone, L., Marrale, E., y Puccio,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Artículo de investigación (preprint) — arXiv:2404.17975v2, University of Pisa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Google Scholar / arXiv (acceso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7b0d1e"/>
                <w:sz w:val="20"/>
                <w:szCs w:val="20"/>
                <w:rtl w:val="0"/>
              </w:rPr>
              <w:t xml:space="preserve">Acceso </w:t>
            </w:r>
            <w:r w:rsidDel="00000000" w:rsidR="00000000" w:rsidRPr="00000000">
              <w:rPr>
                <w:b w:val="1"/>
                <w:bCs w:val="1"/>
                <w:color w:val="7b0d1e"/>
                <w:sz w:val="20"/>
                <w:szCs w:val="20"/>
                <w:rtl w:val="0"/>
              </w:rPr>
              <w:t xml:space="preserve">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hyperlink r:id="rId13">
              <w:r w:rsidDel="00000000" w:rsidR="00000000" w:rsidRPr="00000000">
                <w:rPr>
                  <w:color w:val="1155cc"/>
                  <w:u w:val="single"/>
                  <w:rtl w:val="0"/>
                </w:rPr>
                <w:t xml:space="preserve">https://arxiv.org/abs/2404.17975</w:t>
              </w:r>
            </w:hyperlink>
            <w:r w:rsidDel="00000000" w:rsidR="00000000" w:rsidRPr="00000000">
              <w:rPr>
                <w:rtl w:val="0"/>
              </w:rPr>
            </w:r>
          </w:p>
        </w:tc>
      </w:tr>
    </w:tbl>
    <w:p w:rsidR="00000000" w:rsidDel="00000000" w:rsidP="00000000" w:rsidRDefault="00000000" w:rsidRPr="00000000" w14:paraId="0000011A">
      <w:pPr>
        <w:spacing w:after="0" w:before="0" w:line="360" w:lineRule="auto"/>
        <w:rPr/>
      </w:pPr>
      <w:r w:rsidDel="00000000" w:rsidR="00000000" w:rsidRPr="00000000">
        <w:rPr>
          <w:rtl w:val="0"/>
        </w:rPr>
      </w:r>
    </w:p>
    <w:p w:rsidR="00000000" w:rsidDel="00000000" w:rsidP="00000000" w:rsidRDefault="00000000" w:rsidRPr="00000000" w14:paraId="0000011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1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múltiples LLMs para automatizar el análisis de necesidades de clientes en la industria del turismo. Aplica métricas automáticas BERTScore, ROUGE y BLEU sobre un corpus de reseñas y consultas de clientes. Evalúa modelos propietarios (GPT-4) y de código abierto (LLaMA, Mistral). Los hallazgos indican que los modelos open-source de mediano tamaño, en particular Mistral 7B, alcanzan rendimiento comparable al de modelos propietarios de mayor escala, con ventajas en costo y posibilidad de personalización.</w:t>
      </w:r>
      <w:r w:rsidDel="00000000" w:rsidR="00000000" w:rsidRPr="00000000">
        <w:rPr>
          <w:rtl w:val="0"/>
        </w:rPr>
      </w:r>
    </w:p>
    <w:p w:rsidR="00000000" w:rsidDel="00000000" w:rsidP="00000000" w:rsidRDefault="00000000" w:rsidRPr="00000000" w14:paraId="0000011D">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 el antecedente temáticamente más cercano: compara múltiples LLMs sobre datos de</w:t>
      </w:r>
    </w:p>
    <w:p w:rsidR="00000000" w:rsidDel="00000000" w:rsidP="00000000" w:rsidRDefault="00000000" w:rsidRPr="00000000" w14:paraId="0000011F">
      <w:pPr>
        <w:rPr/>
      </w:pPr>
      <w:r w:rsidDel="00000000" w:rsidR="00000000" w:rsidRPr="00000000">
        <w:rPr>
          <w:rtl w:val="0"/>
        </w:rPr>
        <w:t xml:space="preserve">interacción con clientes usando las mismas métricas automáticas (BERTScore, ROUGE) que el</w:t>
      </w:r>
    </w:p>
    <w:p w:rsidR="00000000" w:rsidDel="00000000" w:rsidP="00000000" w:rsidRDefault="00000000" w:rsidRPr="00000000" w14:paraId="00000120">
      <w:pPr>
        <w:rPr/>
      </w:pPr>
      <w:r w:rsidDel="00000000" w:rsidR="00000000" w:rsidRPr="00000000">
        <w:rPr>
          <w:rtl w:val="0"/>
        </w:rPr>
        <w:t xml:space="preserve">presente trabajo propone aplicar. Su hallazgo central, que los modelos open-source de mediano</w:t>
      </w:r>
    </w:p>
    <w:p w:rsidR="00000000" w:rsidDel="00000000" w:rsidP="00000000" w:rsidRDefault="00000000" w:rsidRPr="00000000" w14:paraId="00000121">
      <w:pPr>
        <w:rPr/>
      </w:pPr>
      <w:r w:rsidDel="00000000" w:rsidR="00000000" w:rsidRPr="00000000">
        <w:rPr>
          <w:rtl w:val="0"/>
        </w:rPr>
        <w:t xml:space="preserve">tamaño son competitivos con los propietarios, es exactamente la hipótesis que el framework</w:t>
      </w:r>
    </w:p>
    <w:p w:rsidR="00000000" w:rsidDel="00000000" w:rsidP="00000000" w:rsidRDefault="00000000" w:rsidRPr="00000000" w14:paraId="00000122">
      <w:pPr>
        <w:rPr/>
      </w:pPr>
      <w:r w:rsidDel="00000000" w:rsidR="00000000" w:rsidRPr="00000000">
        <w:rPr>
          <w:rtl w:val="0"/>
        </w:rPr>
        <w:t xml:space="preserve">busca validar en el contexto de soporte al cliente. Disponible en Google Scholar a través de</w:t>
      </w:r>
    </w:p>
    <w:p w:rsidR="00000000" w:rsidDel="00000000" w:rsidP="00000000" w:rsidRDefault="00000000" w:rsidRPr="00000000" w14:paraId="00000123">
      <w:pPr>
        <w:rPr/>
      </w:pPr>
      <w:r w:rsidDel="00000000" w:rsidR="00000000" w:rsidRPr="00000000">
        <w:rPr>
          <w:rtl w:val="0"/>
        </w:rPr>
        <w:t xml:space="preserve">arXiv.</w:t>
      </w:r>
    </w:p>
    <w:p w:rsidR="00000000" w:rsidDel="00000000" w:rsidP="00000000" w:rsidRDefault="00000000" w:rsidRPr="00000000" w14:paraId="00000124">
      <w:pPr>
        <w:pStyle w:val="Heading2"/>
        <w:spacing w:after="120" w:before="280" w:lineRule="auto"/>
        <w:rPr/>
      </w:pPr>
      <w:r w:rsidDel="00000000" w:rsidR="00000000" w:rsidRPr="00000000">
        <w:rPr>
          <w:rtl w:val="0"/>
        </w:rPr>
        <w:t xml:space="preserve">2.6 Síntesis crítica y vacío identificado</w:t>
      </w:r>
    </w:p>
    <w:p w:rsidR="00000000" w:rsidDel="00000000" w:rsidP="00000000" w:rsidRDefault="00000000" w:rsidRPr="00000000" w14:paraId="0000012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revisión precedente permite formular tres observaciones. En primer lugar, existe consenso en la literatura respecto de la superioridad de los sistemas basados en LLM frente a las alternativas tradicionales para el soporte al cliente (Casazola Cruz et al., 2021; Garzón-Quiroz et al., 2025), así como evidencia consistente de que los modelos de código abierto resultan competitivos frente a los propietarios en dominios acotados (Barandoni et al., 2024; Li et al., 2024). En segundo lugar, la técnica RAG se encuentra consolidada tanto en su formulación teórica (Lewis et al., 2020; Gao et al., 2023) como en su aplicación práctica sobre datos organizacionales (Vega et al., 2025).</w:t>
      </w:r>
      <w:r w:rsidDel="00000000" w:rsidR="00000000" w:rsidRPr="00000000">
        <w:rPr>
          <w:rtl w:val="0"/>
        </w:rPr>
      </w:r>
    </w:p>
    <w:p w:rsidR="00000000" w:rsidDel="00000000" w:rsidP="00000000" w:rsidRDefault="00000000" w:rsidRPr="00000000" w14:paraId="0000012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tercer lugar, y en esto reside el vacío que el presente trabajo se propone cubrir, ninguno de los antecedentes relevados integra en un único instrumento las tres dimensiones que condicionan efectivamente la decisión organizacional. Barandoni et al. (2024) y Li et al. (2024) evalúan calidad sin considerar costo ni latencia; Faysal (2024) mide velocidad y precisión pero no compara modelos entre sí; Vega et al. (2025) demuestran viabilidad técnica sin realizar evaluación comparativa alguna. Asimismo, el impacto diferencial del RAG según el modelo sobre el cual se implementa, variabilidad advertida por Gao et al. (2023), no ha sido medido de manera sistemática en contextos de soporte al cliente.</w:t>
      </w:r>
      <w:r w:rsidDel="00000000" w:rsidR="00000000" w:rsidRPr="00000000">
        <w:rPr>
          <w:rtl w:val="0"/>
        </w:rPr>
      </w:r>
    </w:p>
    <w:p w:rsidR="00000000" w:rsidDel="00000000" w:rsidP="00000000" w:rsidRDefault="00000000" w:rsidRPr="00000000" w14:paraId="000001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propuesto en este Trabajo Final aborda dicho vacío mediante la integración de la calidad semántica, el costo operativo y la latencia en un índice compuesto, evaluado sobre un diseño experimental que contempla las condiciones con y sin RAG para cada modelo considerado.</w:t>
      </w:r>
      <w:r w:rsidDel="00000000" w:rsidR="00000000" w:rsidRPr="00000000">
        <w:rPr>
          <w:rtl w:val="0"/>
        </w:rPr>
      </w:r>
    </w:p>
    <w:p w:rsidR="00000000" w:rsidDel="00000000" w:rsidP="00000000" w:rsidRDefault="00000000" w:rsidRPr="00000000" w14:paraId="00000128">
      <w:pPr>
        <w:pStyle w:val="Heading1"/>
        <w:pageBreakBefore/>
        <w:spacing w:after="200" w:before="400" w:lineRule="auto"/>
        <w:jc w:val="center"/>
        <w:rPr/>
      </w:pPr>
      <w:bookmarkStart w:colFirst="0" w:colLast="0" w:name="_p9yrhgkmqa5p" w:id="21"/>
      <w:bookmarkEnd w:id="21"/>
      <w:r w:rsidDel="00000000" w:rsidR="00000000" w:rsidRPr="00000000">
        <w:rPr>
          <w:rtl w:val="0"/>
        </w:rPr>
        <w:t xml:space="preserve">Capítulo 3 - Metodología de la Investigación</w:t>
      </w:r>
    </w:p>
    <w:p>
      <w:pPr>
        <w:spacing w:before="0" w:after="160" w:line="360" w:lineRule="auto"/>
        <w:jc w:val="both"/>
      </w:pPr>
      <w:r>
        <w:rPr>
          <w:rFonts w:ascii="Times New Roman" w:hAnsi="Times New Roman"/>
          <w:b w:val="0"/>
          <w:i w:val="0"/>
          <w:sz w:val="24"/>
        </w:rPr>
      </w:r>
    </w:p>
    <w:p>
      <w:pPr>
        <w:pStyle w:val="Heading2"/>
        <w:keepNext/>
      </w:pPr>
      <w:r>
        <w:rPr>
          <w:color w:val="000000"/>
        </w:rPr>
        <w:t>3.1 Paradigma y enfoque metodológico</w:t>
      </w:r>
    </w:p>
    <w:p>
      <w:pPr>
        <w:spacing w:before="0" w:after="160" w:line="360" w:lineRule="auto"/>
        <w:jc w:val="both"/>
      </w:pPr>
      <w:r>
        <w:rPr>
          <w:rFonts w:ascii="Times New Roman" w:hAnsi="Times New Roman"/>
          <w:b w:val="0"/>
          <w:i w:val="0"/>
          <w:sz w:val="24"/>
        </w:rPr>
        <w:t>La investigación se enmarca en Design Science Research (DSR), porque construye y evalúa un artefacto informático: el framework comparativo de LLM. El enfoque es cuantitativo y experimental. Se registran métricas numéricas de calidad, latencia, uso de tokens y costo, y se mantienen constantes las consultas, los prompts, la temperatura y los criterios de evaluación entre condiciones.</w:t>
      </w:r>
    </w:p>
    <w:p>
      <w:pPr>
        <w:pStyle w:val="Heading2"/>
        <w:keepNext/>
      </w:pPr>
      <w:r>
        <w:rPr>
          <w:color w:val="000000"/>
        </w:rPr>
        <w:t>3.2 Diseño de la investigación</w:t>
      </w:r>
    </w:p>
    <w:p>
      <w:pPr>
        <w:spacing w:before="0" w:after="160" w:line="360" w:lineRule="auto"/>
        <w:jc w:val="both"/>
      </w:pPr>
      <w:r>
        <w:rPr>
          <w:rFonts w:ascii="Times New Roman" w:hAnsi="Times New Roman"/>
          <w:b w:val="0"/>
          <w:i w:val="0"/>
          <w:sz w:val="24"/>
        </w:rPr>
        <w:t>El diseño compara tres modelos (GPT-4o mini, LLaMA 3.1 8B y Mistral) en dos condiciones: baseline sin RAG y generación con RAG. Cada combinación modelo-condición procesa las mismas 20 consultas, por lo que el piloto contiene 120 respuestas evaluadas en total. La comparación principal utiliza un baseline repetido con calentamiento previo y ejecutado en la misma sesión que RAG, para reducir el sesgo que producirían el arranque en frío y cambios de entorno.</w:t>
      </w:r>
    </w:p>
    <w:p>
      <w:pPr>
        <w:spacing w:before="0" w:after="160" w:line="360" w:lineRule="auto"/>
        <w:jc w:val="both"/>
      </w:pPr>
      <w:r>
        <w:rPr>
          <w:rFonts w:ascii="Times New Roman" w:hAnsi="Times New Roman"/>
          <w:b w:val="0"/>
          <w:i w:val="0"/>
          <w:sz w:val="24"/>
        </w:rPr>
        <w:t>La condición sin RAG funciona como control. La condición con RAG agrega únicamente el contexto recuperado. Esta separación permite atribuir las diferencias descriptivas al pipeline completo de recuperación y generación, aunque no permite una inferencia causal definitiva por el tamaño de la muestra y la variabilidad temporal de la API.</w:t>
      </w:r>
    </w:p>
    <w:p>
      <w:pPr>
        <w:pStyle w:val="Heading2"/>
        <w:keepNext/>
      </w:pPr>
      <w:r>
        <w:rPr>
          <w:color w:val="000000"/>
        </w:rPr>
        <w:t>3.3 Variables e instrumentos de medición</w:t>
      </w:r>
    </w:p>
    <w:p>
      <w:pPr>
        <w:spacing w:before="0" w:after="80" w:line="360" w:lineRule="auto"/>
        <w:ind w:left="518" w:hanging="259"/>
        <w:jc w:val="left"/>
      </w:pPr>
      <w:r>
        <w:rPr>
          <w:rFonts w:ascii="Times New Roman" w:hAnsi="Times New Roman"/>
          <w:b w:val="0"/>
          <w:i w:val="0"/>
          <w:sz w:val="24"/>
        </w:rPr>
        <w:t>• Calidad semántica: BERTScore F1 y ROUGE-L contra la respuesta de referencia.</w:t>
      </w:r>
    </w:p>
    <w:p>
      <w:pPr>
        <w:spacing w:before="0" w:after="80" w:line="360" w:lineRule="auto"/>
        <w:ind w:left="518" w:hanging="259"/>
        <w:jc w:val="left"/>
      </w:pPr>
      <w:r>
        <w:rPr>
          <w:rFonts w:ascii="Times New Roman" w:hAnsi="Times New Roman"/>
          <w:b w:val="0"/>
          <w:i w:val="0"/>
          <w:sz w:val="24"/>
        </w:rPr>
        <w:t>• Recuperación: Hit@1 y Hit@3 según la intención esperada, más latencia del recuperador.</w:t>
      </w:r>
    </w:p>
    <w:p>
      <w:pPr>
        <w:spacing w:before="0" w:after="80" w:line="360" w:lineRule="auto"/>
        <w:ind w:left="518" w:hanging="259"/>
        <w:jc w:val="left"/>
      </w:pPr>
      <w:r>
        <w:rPr>
          <w:rFonts w:ascii="Times New Roman" w:hAnsi="Times New Roman"/>
          <w:b w:val="0"/>
          <w:i w:val="0"/>
          <w:sz w:val="24"/>
        </w:rPr>
        <w:t>• Eficiencia: latencia total, tokens de entrada y salida, costo por consulta y costo por 1.000 consultas.</w:t>
      </w:r>
    </w:p>
    <w:p>
      <w:pPr>
        <w:spacing w:before="0" w:after="80" w:line="360" w:lineRule="auto"/>
        <w:ind w:left="518" w:hanging="259"/>
        <w:jc w:val="left"/>
      </w:pPr>
      <w:r>
        <w:rPr>
          <w:rFonts w:ascii="Times New Roman" w:hAnsi="Times New Roman"/>
          <w:b w:val="0"/>
          <w:i w:val="0"/>
          <w:sz w:val="24"/>
        </w:rPr>
        <w:t>• Robustez descriptiva: cantidad de consultas que mejoran o empeoran y comparación entre aciertos y fallos de recuperación.</w:t>
      </w:r>
    </w:p>
    <w:p>
      <w:pPr>
        <w:spacing w:before="0" w:after="160" w:line="360" w:lineRule="auto"/>
        <w:jc w:val="both"/>
      </w:pPr>
      <w:r>
        <w:rPr>
          <w:rFonts w:ascii="Times New Roman" w:hAnsi="Times New Roman"/>
          <w:b w:val="0"/>
          <w:i w:val="0"/>
          <w:sz w:val="24"/>
        </w:rPr>
        <w:t>BERTScore capta similitud semántica contextual y ROUGE-L mide coincidencia de secuencias. Las dos métricas se informan en conjunto porque una respuesta válida puede expresar la misma idea con diferente redacción. No se utiliza una única métrica como sustituto de la evaluación humana.</w:t>
      </w:r>
    </w:p>
    <w:p>
      <w:pPr>
        <w:pStyle w:val="Heading2"/>
        <w:keepNext/>
      </w:pPr>
      <w:r>
        <w:rPr>
          <w:color w:val="000000"/>
        </w:rPr>
        <w:t>3.4 Dataset y corpus de datos</w:t>
      </w:r>
    </w:p>
    <w:p>
      <w:pPr>
        <w:spacing w:before="0" w:after="160" w:line="360" w:lineRule="auto"/>
        <w:jc w:val="both"/>
      </w:pPr>
      <w:r>
        <w:rPr>
          <w:rFonts w:ascii="Times New Roman" w:hAnsi="Times New Roman"/>
          <w:b w:val="0"/>
          <w:i w:val="0"/>
          <w:sz w:val="24"/>
        </w:rPr>
        <w:t>La fuente es Bitext Customer Support LLM Chatbot Training Dataset (Bitext, s. f.), con 26.872 registros, 11 categorías y 27 intenciones. La muestra experimental contiene 20 consultas estratificadas y sus respuestas de referencia. Ambas se tradujeron al español una sola vez y se guardaron en el repositorio para que todas las corridas utilicen exactamente el mismo insumo.</w:t>
      </w:r>
    </w:p>
    <w:p>
      <w:pPr>
        <w:spacing w:before="0" w:after="160" w:line="360" w:lineRule="auto"/>
        <w:jc w:val="both"/>
      </w:pPr>
      <w:r>
        <w:rPr>
          <w:rFonts w:ascii="Times New Roman" w:hAnsi="Times New Roman"/>
          <w:b w:val="0"/>
          <w:i w:val="0"/>
          <w:sz w:val="24"/>
        </w:rPr>
        <w:t>La base de conocimiento RAG se construyó con tres documentos por intención, para un total de 81. Antes de seleccionarlos se normalizó el texto y se eliminaron 2.800 duplicados internos. También se excluyeron las 20 coincidencias exactas con las consultas de evaluación y 54 variantes con similitud superficial mayor o igual a 0,90. Este control evita que el recuperador memorice la muestra que luego se usa para medirlo.</w:t>
      </w:r>
    </w:p>
    <w:p>
      <w:pPr>
        <w:pStyle w:val="Heading2"/>
        <w:keepNext/>
      </w:pPr>
      <w:r>
        <w:rPr>
          <w:color w:val="000000"/>
        </w:rPr>
        <w:t>3.5 Procedimiento experimental</w:t>
      </w:r>
    </w:p>
    <w:p>
      <w:pPr>
        <w:spacing w:before="0" w:after="80" w:line="360" w:lineRule="auto"/>
        <w:ind w:left="518" w:hanging="259"/>
        <w:jc w:val="left"/>
      </w:pPr>
      <w:r>
        <w:rPr>
          <w:rFonts w:ascii="Times New Roman" w:hAnsi="Times New Roman"/>
          <w:b w:val="0"/>
          <w:i w:val="0"/>
          <w:sz w:val="24"/>
        </w:rPr>
        <w:t>• Preparar la muestra traducida y auditar duplicados y solapamientos.</w:t>
      </w:r>
    </w:p>
    <w:p>
      <w:pPr>
        <w:spacing w:before="0" w:after="80" w:line="360" w:lineRule="auto"/>
        <w:ind w:left="518" w:hanging="259"/>
        <w:jc w:val="left"/>
      </w:pPr>
      <w:r>
        <w:rPr>
          <w:rFonts w:ascii="Times New Roman" w:hAnsi="Times New Roman"/>
          <w:b w:val="0"/>
          <w:i w:val="0"/>
          <w:sz w:val="24"/>
        </w:rPr>
        <w:t>• Construir los 81 documentos de conocimiento y generar sus embeddings.</w:t>
      </w:r>
    </w:p>
    <w:p>
      <w:pPr>
        <w:spacing w:before="0" w:after="80" w:line="360" w:lineRule="auto"/>
        <w:ind w:left="518" w:hanging="259"/>
        <w:jc w:val="left"/>
      </w:pPr>
      <w:r>
        <w:rPr>
          <w:rFonts w:ascii="Times New Roman" w:hAnsi="Times New Roman"/>
          <w:b w:val="0"/>
          <w:i w:val="0"/>
          <w:sz w:val="24"/>
        </w:rPr>
        <w:t>• Recuperar los tres documentos más próximos para cada consulta mediante similitud coseno exacta.</w:t>
      </w:r>
    </w:p>
    <w:p>
      <w:pPr>
        <w:spacing w:before="0" w:after="80" w:line="360" w:lineRule="auto"/>
        <w:ind w:left="518" w:hanging="259"/>
        <w:jc w:val="left"/>
      </w:pPr>
      <w:r>
        <w:rPr>
          <w:rFonts w:ascii="Times New Roman" w:hAnsi="Times New Roman"/>
          <w:b w:val="0"/>
          <w:i w:val="0"/>
          <w:sz w:val="24"/>
        </w:rPr>
        <w:t>• Ejecutar las 60 generaciones RAG y, en la misma sesión, las 60 generaciones del baseline controlado.</w:t>
      </w:r>
    </w:p>
    <w:p>
      <w:pPr>
        <w:spacing w:before="0" w:after="80" w:line="360" w:lineRule="auto"/>
        <w:ind w:left="518" w:hanging="259"/>
        <w:jc w:val="left"/>
      </w:pPr>
      <w:r>
        <w:rPr>
          <w:rFonts w:ascii="Times New Roman" w:hAnsi="Times New Roman"/>
          <w:b w:val="0"/>
          <w:i w:val="0"/>
          <w:sz w:val="24"/>
        </w:rPr>
        <w:t>• Calcular BERTScore, ROUGE-L, Hit@1, Hit@3, latencia, tokens y costos con las mismas funciones.</w:t>
      </w:r>
    </w:p>
    <w:p>
      <w:pPr>
        <w:spacing w:before="0" w:after="80" w:line="360" w:lineRule="auto"/>
        <w:ind w:left="518" w:hanging="259"/>
        <w:jc w:val="left"/>
      </w:pPr>
      <w:r>
        <w:rPr>
          <w:rFonts w:ascii="Times New Roman" w:hAnsi="Times New Roman"/>
          <w:b w:val="0"/>
          <w:i w:val="0"/>
          <w:sz w:val="24"/>
        </w:rPr>
        <w:t>• Comparar diferencias agregadas y por consulta, conservando los resultados crudos y evaluados en archivos CSV.</w:t>
      </w:r>
    </w:p>
    <w:p>
      <w:pPr>
        <w:pStyle w:val="Heading2"/>
        <w:keepNext/>
      </w:pPr>
      <w:r>
        <w:rPr>
          <w:color w:val="000000"/>
        </w:rPr>
        <w:t>3.6 Alcance y controles del piloto RAG</w:t>
      </w:r>
    </w:p>
    <w:p>
      <w:pPr>
        <w:spacing w:before="0" w:after="160" w:line="360" w:lineRule="auto"/>
        <w:jc w:val="both"/>
      </w:pPr>
      <w:r>
        <w:rPr>
          <w:rFonts w:ascii="Times New Roman" w:hAnsi="Times New Roman"/>
          <w:b w:val="0"/>
          <w:i w:val="0"/>
          <w:sz w:val="24"/>
        </w:rPr>
        <w:t>El tamaño n = 20 por configuración se define como piloto de factibilidad. Permite verificar el pipeline, detectar errores, estimar tiempos y observar tendencias, pero no alcanza para pruebas inferenciales estables ni para confirmar las hipótesis. Por esa razón, los resultados se presentan como evidencia descriptiva y las expresiones de causalidad o significancia se reservan para una muestra ampliada.</w:t>
      </w:r>
    </w:p>
    <w:p>
      <w:pPr>
        <w:spacing w:before="0" w:after="160" w:line="360" w:lineRule="auto"/>
        <w:jc w:val="both"/>
      </w:pPr>
      <w:r>
        <w:rPr>
          <w:rFonts w:ascii="Times New Roman" w:hAnsi="Times New Roman"/>
          <w:b w:val="0"/>
          <w:i w:val="0"/>
          <w:sz w:val="24"/>
        </w:rPr>
        <w:t>Se fijaron temperatura 0, semilla 42 y máximo de 300 tokens. Los modelos locales se calentaron antes de la medición controlada. No se editaron documentos para corregir las consultas fallidas, porque hacerlo después de observar los resultados introduciría sobreajuste sobre las 20 preguntas.</w:t>
      </w:r>
    </w:p>
    <w:p>
      <w:pPr>
        <w:pStyle w:val="Heading2"/>
        <w:keepNext/>
      </w:pPr>
      <w:r>
        <w:rPr>
          <w:color w:val="000000"/>
        </w:rPr>
        <w:t>3.7 Modelo de costos y fuentes</w:t>
      </w:r>
    </w:p>
    <w:p>
      <w:pPr>
        <w:spacing w:before="0" w:after="160" w:line="360" w:lineRule="auto"/>
        <w:jc w:val="both"/>
      </w:pPr>
      <w:r>
        <w:rPr>
          <w:rFonts w:ascii="Times New Roman" w:hAnsi="Times New Roman"/>
          <w:b w:val="0"/>
          <w:i w:val="0"/>
          <w:sz w:val="24"/>
        </w:rPr>
        <w:t>GPT-4o mini se calcula con los tokens realmente informados por la API: USD 0,15 por millón de tokens de entrada y USD 0,60 por millón de tokens de salida (OpenAI, s. f.). Para los modelos abiertos se adopta como comparación principal una instancia Lambda Cloud con NVIDIA Quadro RTX 6000 de 24 GB, publicada a USD 0,69 por GPU-hora (Lambda, s. f.). El costo por consulta se obtiene como precio-hora multiplicado por la latencia total y dividido por 3.600.</w:t>
      </w:r>
    </w:p>
    <w:p>
      <w:pPr>
        <w:spacing w:before="0" w:after="160" w:line="360" w:lineRule="auto"/>
        <w:jc w:val="both"/>
      </w:pPr>
      <w:r>
        <w:rPr>
          <w:rFonts w:ascii="Times New Roman" w:hAnsi="Times New Roman"/>
          <w:b w:val="0"/>
          <w:i w:val="0"/>
          <w:sz w:val="24"/>
        </w:rPr>
        <w:t>Como análisis de sensibilidad se estima electricidad con una potencia máxima de referencia de 415 W: 350 W de la RTX 3080 Ti y 65 W del Ryzen 5 5600X (Advanced Micro Devices, s. f.; NVIDIA, s. f.). Se usa el precio comercial medio de Estados Unidos de julio de 2026, USD 0,1453/kWh (U.S. Energy Information Administration, 2026). Esta cifra no es una tarifa argentina ni una medición en pared. La estimación cloud tampoco representa una factura real, ya que combina el precio de una instancia publicada con la latencia observada en el equipo local. Ambas se informan como escenarios reproducibles y sujetos a actualización.</w:t>
      </w:r>
    </w:p>
    <w:p w:rsidR="00000000" w:rsidDel="00000000" w:rsidP="00000000" w:rsidRDefault="00000000" w:rsidRPr="00000000" w14:paraId="0000014A">
      <w:pPr>
        <w:pStyle w:val="Heading1"/>
        <w:pageBreakBefore/>
        <w:spacing w:after="200" w:before="400" w:lineRule="auto"/>
        <w:jc w:val="center"/>
        <w:rPr/>
      </w:pPr>
      <w:bookmarkStart w:colFirst="0" w:colLast="0" w:name="_t01y384neuv8" w:id="27"/>
      <w:bookmarkEnd w:id="27"/>
      <w:r w:rsidDel="00000000" w:rsidR="00000000" w:rsidRPr="00000000">
        <w:rPr>
          <w:rtl w:val="0"/>
        </w:rPr>
        <w:t xml:space="preserve">Capítulo 4 - Diseño del Framework</w:t>
      </w:r>
    </w:p>
    <w:p>
      <w:pPr>
        <w:spacing w:before="0" w:after="160" w:line="360" w:lineRule="auto"/>
        <w:jc w:val="both"/>
      </w:pPr>
      <w:r>
        <w:rPr>
          <w:rFonts w:ascii="Times New Roman" w:hAnsi="Times New Roman"/>
          <w:b w:val="0"/>
          <w:i w:val="0"/>
          <w:sz w:val="24"/>
        </w:rPr>
      </w:r>
    </w:p>
    <w:p>
      <w:pPr>
        <w:pStyle w:val="Heading2"/>
        <w:keepNext/>
      </w:pPr>
      <w:r>
        <w:rPr>
          <w:color w:val="000000"/>
        </w:rPr>
        <w:t>4.1 Arquitectura implementada</w:t>
      </w:r>
    </w:p>
    <w:p>
      <w:pPr>
        <w:spacing w:before="0" w:after="160" w:line="360" w:lineRule="auto"/>
        <w:jc w:val="both"/>
      </w:pPr>
      <w:r>
        <w:rPr>
          <w:rFonts w:ascii="Times New Roman" w:hAnsi="Times New Roman"/>
          <w:b w:val="0"/>
          <w:i w:val="0"/>
          <w:sz w:val="24"/>
        </w:rPr>
        <w:t>El framework separa cuatro componentes: preparación de datos, recuperación, generación y evaluación. Los datos persistidos alimentan un índice en memoria; el recuperador devuelve tres documentos y sus puntajes; el cliente unificado envía la consulta con o sin contexto; y el módulo de evaluación agrega calidad, latencia, tokens y costos en una estructura común. Esta separación permite repetir una etapa sin volver a ejecutar las restantes.</w:t>
      </w:r>
    </w:p>
    <w:p>
      <w:pPr>
        <w:pStyle w:val="Heading2"/>
        <w:keepNext/>
      </w:pPr>
      <w:r>
        <w:rPr>
          <w:color w:val="000000"/>
        </w:rPr>
        <w:t>4.2 Recuperación vectorial</w:t>
      </w:r>
    </w:p>
    <w:p>
      <w:pPr>
        <w:spacing w:before="0" w:after="160" w:line="360" w:lineRule="auto"/>
        <w:jc w:val="both"/>
      </w:pPr>
      <w:r>
        <w:rPr>
          <w:rFonts w:ascii="Times New Roman" w:hAnsi="Times New Roman"/>
          <w:b w:val="0"/>
          <w:i w:val="0"/>
          <w:sz w:val="24"/>
        </w:rPr>
        <w:t>Los embeddings se generan con sentence-transformers/paraphrase-multilingual-MiniLM-L12-v2. La búsqueda usa similitud coseno exacta con NumPy y top_k = 3. Para 81 documentos, la búsqueda exhaustiva es simple, auditable y suficientemente rápida; incorporar FAISS o LangChain en esta escala agregaría complejidad sin una mejora medible. La indexación aproximada se reserva para la fase de escalamiento.</w:t>
      </w:r>
    </w:p>
    <w:p>
      <w:pPr>
        <w:pStyle w:val="Heading2"/>
        <w:keepNext/>
      </w:pPr>
      <w:r>
        <w:rPr>
          <w:color w:val="000000"/>
        </w:rPr>
        <w:t>4.3 Control de contaminación</w:t>
      </w:r>
    </w:p>
    <w:p>
      <w:pPr>
        <w:spacing w:before="0" w:after="160" w:line="360" w:lineRule="auto"/>
        <w:jc w:val="both"/>
      </w:pPr>
      <w:r>
        <w:rPr>
          <w:rFonts w:ascii="Times New Roman" w:hAnsi="Times New Roman"/>
          <w:b w:val="0"/>
          <w:i w:val="0"/>
          <w:sz w:val="24"/>
        </w:rPr>
        <w:t>El constructor del corpus aplica normalización, deduplicación y exclusión de coincidencias con la evaluación antes de seleccionar documentos. La auditoría se persiste en JSON e informa el universo inicial, los descartes y la composición final. De esta manera, una mejora de calidad no puede explicarse por haber incluido la pregunta evaluada dentro del conocimiento recuperable.</w:t>
      </w:r>
    </w:p>
    <w:p>
      <w:pPr>
        <w:pStyle w:val="Heading2"/>
        <w:keepNext/>
      </w:pPr>
      <w:r>
        <w:rPr>
          <w:color w:val="000000"/>
        </w:rPr>
        <w:t>4.4 Estrategia multilingüe</w:t>
      </w:r>
    </w:p>
    <w:p>
      <w:pPr>
        <w:spacing w:before="0" w:after="160" w:line="360" w:lineRule="auto"/>
        <w:jc w:val="both"/>
      </w:pPr>
      <w:r>
        <w:rPr>
          <w:rFonts w:ascii="Times New Roman" w:hAnsi="Times New Roman"/>
          <w:b w:val="0"/>
          <w:i w:val="0"/>
          <w:sz w:val="24"/>
        </w:rPr>
        <w:t>Se evaluaron dos variantes del conocimiento. El corpus original en inglés obtuvo Hit@1 de 80 % y Hit@3 de 90 %, mientras que su traducción al español alcanzó 70 % y 85 %. También se probaron la concatenación bilingüe y otro modelo de embeddings, sin superar al corpus inglés con MiniLM. Por ello, la condición generativa fijó consultas en español y documentos originales en inglés. La traducción queda como análisis de sensibilidad y no como configuración principal.</w:t>
      </w:r>
    </w:p>
    <w:p>
      <w:pPr>
        <w:pStyle w:val="Heading2"/>
        <w:keepNext/>
      </w:pPr>
      <w:r>
        <w:rPr>
          <w:color w:val="000000"/>
        </w:rPr>
        <w:t>4.5 Diseño de la medición de costos</w:t>
      </w:r>
    </w:p>
    <w:p>
      <w:pPr>
        <w:spacing w:before="0" w:after="160" w:line="360" w:lineRule="auto"/>
        <w:jc w:val="both"/>
      </w:pPr>
      <w:r>
        <w:rPr>
          <w:rFonts w:ascii="Times New Roman" w:hAnsi="Times New Roman"/>
          <w:b w:val="0"/>
          <w:i w:val="0"/>
          <w:sz w:val="24"/>
        </w:rPr>
        <w:t>El módulo de costos distingue modelos propietarios y abiertos. Para GPT calcula consumo por tokens. Para LLaMA y Mistral calcula dos escenarios: electricidad conservadora y amortización de instancia GPU. La columna costo_oficial_usd utiliza el precio de API para GPT y el escenario cloud para los modelos abiertos, lo que permite una comparación uniforme sin presentar la electricidad como costo total de propiedad.</w:t>
      </w:r>
    </w:p>
    <w:p>
      <w:pPr>
        <w:keepNext/>
        <w:spacing w:before="120" w:after="80" w:line="360" w:lineRule="auto"/>
        <w:jc w:val="center"/>
      </w:pPr>
      <w:r>
        <w:rPr>
          <w:rFonts w:ascii="Times New Roman" w:hAnsi="Times New Roman"/>
          <w:b/>
          <w:i w:val="0"/>
          <w:sz w:val="22"/>
        </w:rPr>
        <w:t>Parámetros de costo utilizados en el piloto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448"/>
            <w:vAlign w:val="center"/>
            <w:tcMar>
              <w:top w:w="90" w:type="dxa"/>
              <w:start w:w="100" w:type="dxa"/>
              <w:bottom w:w="90" w:type="dxa"/>
              <w:end w:w="100" w:type="dxa"/>
            </w:tcMar>
            <w:shd w:fill="D9EAF7"/>
          </w:tcPr>
          <w:p>
            <w:pPr>
              <w:spacing w:before="0" w:after="0" w:line="240" w:lineRule="auto"/>
              <w:jc w:val="left"/>
            </w:pPr>
            <w:r>
              <w:rPr>
                <w:rFonts w:ascii="Times New Roman" w:hAnsi="Times New Roman"/>
                <w:b/>
                <w:sz w:val="19"/>
              </w:rPr>
              <w:t>Parámetro</w:t>
            </w:r>
          </w:p>
        </w:tc>
        <w:tc>
          <w:tcPr>
            <w:tcW w:type="dxa" w:w="3240"/>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Valor</w:t>
            </w:r>
          </w:p>
        </w:tc>
        <w:tc>
          <w:tcPr>
            <w:tcW w:type="dxa" w:w="3168"/>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Uso</w:t>
            </w:r>
          </w:p>
        </w:tc>
      </w:tr>
      <w:tr>
        <w:tc>
          <w:tcPr>
            <w:tcW w:type="dxa" w:w="2448"/>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GPT-4o mini</w:t>
            </w:r>
          </w:p>
        </w:tc>
        <w:tc>
          <w:tcPr>
            <w:tcW w:type="dxa" w:w="3240"/>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USD 0,15 entrada / USD 0,60 salida por 1 M tokens</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Costo API real por tokens</w:t>
            </w:r>
          </w:p>
        </w:tc>
      </w:tr>
      <w:tr>
        <w:tc>
          <w:tcPr>
            <w:tcW w:type="dxa" w:w="2448"/>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Instancia GPU</w:t>
            </w:r>
          </w:p>
        </w:tc>
        <w:tc>
          <w:tcPr>
            <w:tcW w:type="dxa" w:w="3240"/>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USD 0,69 por GPU-hora</w:t>
            </w:r>
          </w:p>
        </w:tc>
        <w:tc>
          <w:tcPr>
            <w:tcW w:type="dxa" w:w="3168"/>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Comparación principal de modelos abiertos</w:t>
            </w:r>
          </w:p>
        </w:tc>
      </w:tr>
      <w:tr>
        <w:tc>
          <w:tcPr>
            <w:tcW w:type="dxa" w:w="2448"/>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Potencia de referencia</w:t>
            </w:r>
          </w:p>
        </w:tc>
        <w:tc>
          <w:tcPr>
            <w:tcW w:type="dxa" w:w="3240"/>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415 W</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Sensibilidad eléctrica conservadora</w:t>
            </w:r>
          </w:p>
        </w:tc>
      </w:tr>
      <w:tr>
        <w:tc>
          <w:tcPr>
            <w:tcW w:type="dxa" w:w="2448"/>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Precio eléctrico</w:t>
            </w:r>
          </w:p>
        </w:tc>
        <w:tc>
          <w:tcPr>
            <w:tcW w:type="dxa" w:w="3240"/>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USD 0,1453/kWh</w:t>
            </w:r>
          </w:p>
        </w:tc>
        <w:tc>
          <w:tcPr>
            <w:tcW w:type="dxa" w:w="3168"/>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Benchmark comercial; no tarifa argentina</w:t>
            </w:r>
          </w:p>
        </w:tc>
      </w:tr>
    </w:tbl>
    <w:p>
      <w:pPr>
        <w:spacing w:after="80"/>
      </w:pPr>
    </w:p>
    <w:p w:rsidR="00000000" w:rsidDel="00000000" w:rsidP="00000000" w:rsidRDefault="00000000" w:rsidRPr="00000000" w14:paraId="0000014F">
      <w:pPr>
        <w:pStyle w:val="Heading1"/>
        <w:pageBreakBefore/>
        <w:spacing w:after="200" w:before="400" w:lineRule="auto"/>
        <w:jc w:val="center"/>
        <w:rPr/>
      </w:pPr>
      <w:bookmarkStart w:colFirst="0" w:colLast="0" w:name="_cp5g65h0480f" w:id="28"/>
      <w:bookmarkEnd w:id="28"/>
      <w:r w:rsidDel="00000000" w:rsidR="00000000" w:rsidRPr="00000000">
        <w:rPr>
          <w:rtl w:val="0"/>
        </w:rPr>
        <w:t xml:space="preserve">Capítulo 5 - Implementación y Prototipo</w:t>
      </w:r>
    </w:p>
    <w:p>
      <w:pPr>
        <w:spacing w:before="0" w:after="160" w:line="360" w:lineRule="auto"/>
        <w:jc w:val="both"/>
      </w:pPr>
      <w:r>
        <w:rPr>
          <w:rFonts w:ascii="Times New Roman" w:hAnsi="Times New Roman"/>
          <w:b w:val="0"/>
          <w:i w:val="0"/>
          <w:sz w:val="24"/>
        </w:rPr>
      </w:r>
    </w:p>
    <w:p>
      <w:pPr>
        <w:pStyle w:val="Heading2"/>
        <w:keepNext/>
      </w:pPr>
      <w:r>
        <w:rPr>
          <w:color w:val="000000"/>
        </w:rPr>
        <w:t>5.1 Entorno y modelos</w:t>
      </w:r>
    </w:p>
    <w:p>
      <w:pPr>
        <w:spacing w:before="0" w:after="160" w:line="360" w:lineRule="auto"/>
        <w:jc w:val="both"/>
      </w:pPr>
      <w:r>
        <w:rPr>
          <w:rFonts w:ascii="Times New Roman" w:hAnsi="Times New Roman"/>
          <w:b w:val="0"/>
          <w:i w:val="0"/>
          <w:sz w:val="24"/>
        </w:rPr>
        <w:t>El prototipo se ejecuta en Windows con Python 3.11. GPT-4o mini se consume mediante la API de OpenAI; LLaMA 3.1 8B y Mistral se sirven localmente con Ollama sobre una NVIDIA RTX 3080 Ti y un AMD Ryzen 5 5600X. Las respuestas se generan con una interfaz común que registra texto, latencia, tokens y error. Las credenciales se leen desde variables de entorno y no se versionan.</w:t>
      </w:r>
    </w:p>
    <w:p>
      <w:pPr>
        <w:pStyle w:val="Heading2"/>
        <w:keepNext/>
      </w:pPr>
      <w:r>
        <w:rPr>
          <w:color w:val="000000"/>
        </w:rPr>
        <w:t>5.2 Construcción del corpus RAG</w:t>
      </w:r>
    </w:p>
    <w:p>
      <w:pPr>
        <w:spacing w:before="0" w:after="160" w:line="360" w:lineRule="auto"/>
        <w:jc w:val="both"/>
      </w:pPr>
      <w:r>
        <w:rPr>
          <w:rFonts w:ascii="Times New Roman" w:hAnsi="Times New Roman"/>
          <w:b w:val="0"/>
          <w:i w:val="0"/>
          <w:sz w:val="24"/>
        </w:rPr>
        <w:t>El script construir_corpus_rag.py produce la base de 81 documentos y su auditoría. La traducción opcional del corpus utilizó gpt-4o-mini-2024-07-18: 17.466 tokens de entrada, 13.799 de salida y USD 0,010899 de costo. Dos marcadores variables fueron alterados por la traducción y se restauraron determinísticamente; la validación final informó cero diferencias de placeholders.</w:t>
      </w:r>
    </w:p>
    <w:p>
      <w:pPr>
        <w:pStyle w:val="Heading2"/>
        <w:keepNext/>
      </w:pPr>
      <w:r>
        <w:rPr>
          <w:color w:val="000000"/>
        </w:rPr>
        <w:t>5.3 Pipeline reproducible</w:t>
      </w:r>
    </w:p>
    <w:p>
      <w:pPr>
        <w:spacing w:before="0" w:after="160" w:line="360" w:lineRule="auto"/>
        <w:jc w:val="both"/>
      </w:pPr>
      <w:r>
        <w:rPr>
          <w:rFonts w:ascii="Times New Roman" w:hAnsi="Times New Roman"/>
          <w:b w:val="0"/>
          <w:i w:val="0"/>
          <w:sz w:val="24"/>
        </w:rPr>
        <w:t>La ejecución se divide en scripts independientes para construir, traducir y validar el corpus, realizar el smoke test, ejecutar RAG, repetir el baseline controlado y evaluar ambos resultados. El notebook 03_rag_piloto.ipynb carga los archivos ya evaluados por defecto; las generaciones solo se habilitan mediante una bandera explícita. Este diseño evita gastos y repeticiones accidentales.</w:t>
      </w:r>
    </w:p>
    <w:p>
      <w:pPr>
        <w:spacing w:before="0" w:after="80" w:line="360" w:lineRule="auto"/>
        <w:ind w:left="518" w:hanging="259"/>
        <w:jc w:val="left"/>
      </w:pPr>
      <w:r>
        <w:rPr>
          <w:rFonts w:ascii="Times New Roman" w:hAnsi="Times New Roman"/>
          <w:b w:val="0"/>
          <w:i w:val="0"/>
          <w:sz w:val="24"/>
        </w:rPr>
        <w:t>• comparacion_controlada_rag.csv: comparación principal baseline-RAG.</w:t>
      </w:r>
    </w:p>
    <w:p>
      <w:pPr>
        <w:spacing w:before="0" w:after="80" w:line="360" w:lineRule="auto"/>
        <w:ind w:left="518" w:hanging="259"/>
        <w:jc w:val="left"/>
      </w:pPr>
      <w:r>
        <w:rPr>
          <w:rFonts w:ascii="Times New Roman" w:hAnsi="Times New Roman"/>
          <w:b w:val="0"/>
          <w:i w:val="0"/>
          <w:sz w:val="24"/>
        </w:rPr>
        <w:t>• resultados_baseline_controlado_evaluados.csv: 60 respuestas del control con métricas.</w:t>
      </w:r>
    </w:p>
    <w:p>
      <w:pPr>
        <w:spacing w:before="0" w:after="80" w:line="360" w:lineRule="auto"/>
        <w:ind w:left="518" w:hanging="259"/>
        <w:jc w:val="left"/>
      </w:pPr>
      <w:r>
        <w:rPr>
          <w:rFonts w:ascii="Times New Roman" w:hAnsi="Times New Roman"/>
          <w:b w:val="0"/>
          <w:i w:val="0"/>
          <w:sz w:val="24"/>
        </w:rPr>
        <w:t>• resultados_rag_piloto_evaluados.csv: 60 respuestas RAG con recuperación, calidad y costos.</w:t>
      </w:r>
    </w:p>
    <w:p>
      <w:pPr>
        <w:spacing w:before="0" w:after="80" w:line="360" w:lineRule="auto"/>
        <w:ind w:left="518" w:hanging="259"/>
        <w:jc w:val="left"/>
      </w:pPr>
      <w:r>
        <w:rPr>
          <w:rFonts w:ascii="Times New Roman" w:hAnsi="Times New Roman"/>
          <w:b w:val="0"/>
          <w:i w:val="0"/>
          <w:sz w:val="24"/>
        </w:rPr>
        <w:t>• data/conocimiento_rag_auditoria.json: trazabilidad de la base de conocimiento.</w:t>
      </w:r>
    </w:p>
    <w:p>
      <w:pPr>
        <w:pStyle w:val="Heading2"/>
        <w:keepNext/>
      </w:pPr>
      <w:r>
        <w:rPr>
          <w:color w:val="000000"/>
        </w:rPr>
        <w:t>5.4 Verificación técnica</w:t>
      </w:r>
    </w:p>
    <w:p>
      <w:pPr>
        <w:spacing w:before="0" w:after="160" w:line="360" w:lineRule="auto"/>
        <w:jc w:val="both"/>
      </w:pPr>
      <w:r>
        <w:rPr>
          <w:rFonts w:ascii="Times New Roman" w:hAnsi="Times New Roman"/>
          <w:b w:val="0"/>
          <w:i w:val="0"/>
          <w:sz w:val="24"/>
        </w:rPr>
        <w:t>El smoke test local completó cuatro generaciones de dos consultas en LLaMA y Mistral. La corrida completa produjo 60 de 60 respuestas válidas en RAG y otras 60 de 60 en el baseline controlado. La suite automatizada finalizó con 27 pruebas aprobadas. Durante el smoke test, Mistral inventó un canal de correo que no estaba respaldado por el contexto; este caso confirma que RAG reduce el espacio de respuesta, pero no garantiza por sí mismo la ausencia de alucinaciones.</w:t>
      </w:r>
    </w:p>
    <w:p w:rsidR="00000000" w:rsidDel="00000000" w:rsidP="00000000" w:rsidRDefault="00000000" w:rsidRPr="00000000" w14:paraId="00000154">
      <w:pPr>
        <w:pStyle w:val="Heading1"/>
        <w:pageBreakBefore/>
        <w:spacing w:after="200" w:before="400" w:lineRule="auto"/>
        <w:jc w:val="center"/>
        <w:rPr/>
      </w:pPr>
      <w:bookmarkStart w:colFirst="0" w:colLast="0" w:name="_kjpof9hrgtgt" w:id="29"/>
      <w:bookmarkEnd w:id="29"/>
      <w:r w:rsidDel="00000000" w:rsidR="00000000" w:rsidRPr="00000000">
        <w:rPr>
          <w:rtl w:val="0"/>
        </w:rPr>
        <w:t xml:space="preserve">Capítulo 6 - Experimentación y Resultados</w:t>
      </w:r>
    </w:p>
    <w:p>
      <w:pPr>
        <w:spacing w:before="0" w:after="160" w:line="360" w:lineRule="auto"/>
        <w:jc w:val="both"/>
      </w:pPr>
      <w:r>
        <w:rPr>
          <w:rFonts w:ascii="Times New Roman" w:hAnsi="Times New Roman"/>
          <w:b w:val="0"/>
          <w:i w:val="0"/>
          <w:sz w:val="24"/>
        </w:rPr>
      </w:r>
    </w:p>
    <w:p>
      <w:pPr>
        <w:pStyle w:val="Heading2"/>
        <w:keepNext/>
      </w:pPr>
      <w:r>
        <w:rPr>
          <w:color w:val="000000"/>
        </w:rPr>
        <w:t>6.1 Diseño del piloto controlado</w:t>
      </w:r>
    </w:p>
    <w:p>
      <w:pPr>
        <w:spacing w:before="0" w:after="160" w:line="360" w:lineRule="auto"/>
        <w:jc w:val="both"/>
      </w:pPr>
      <w:r>
        <w:rPr>
          <w:rFonts w:ascii="Times New Roman" w:hAnsi="Times New Roman"/>
          <w:b w:val="0"/>
          <w:i w:val="0"/>
          <w:sz w:val="24"/>
        </w:rPr>
        <w:t>La comparación controlada usa las mismas 20 consultas, referencias, modelos y parámetros de generación en ambas condiciones. El baseline se repitió con calentamiento en la misma sesión que RAG. Se obtuvieron 60 observaciones por condición sin errores. Todos los resultados siguientes son promedios descriptivos por modelo.</w:t>
      </w:r>
    </w:p>
    <w:p>
      <w:pPr>
        <w:pStyle w:val="Heading2"/>
        <w:keepNext/>
      </w:pPr>
      <w:r>
        <w:rPr>
          <w:color w:val="000000"/>
        </w:rPr>
        <w:t>6.2 Rendimiento del recuperador</w:t>
      </w:r>
    </w:p>
    <w:p>
      <w:pPr>
        <w:keepNext/>
        <w:spacing w:before="120" w:after="80" w:line="360" w:lineRule="auto"/>
        <w:jc w:val="center"/>
      </w:pPr>
      <w:r>
        <w:rPr>
          <w:rFonts w:ascii="Times New Roman" w:hAnsi="Times New Roman"/>
          <w:b/>
          <w:i w:val="0"/>
          <w:sz w:val="22"/>
        </w:rPr>
        <w:t>Auditoría y desempeño de recuperación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3384"/>
            <w:vAlign w:val="center"/>
            <w:tcMar>
              <w:top w:w="90" w:type="dxa"/>
              <w:start w:w="100" w:type="dxa"/>
              <w:bottom w:w="90" w:type="dxa"/>
              <w:end w:w="100" w:type="dxa"/>
            </w:tcMar>
            <w:shd w:fill="D9EAF7"/>
          </w:tcPr>
          <w:p>
            <w:pPr>
              <w:spacing w:before="0" w:after="0" w:line="240" w:lineRule="auto"/>
              <w:jc w:val="left"/>
            </w:pPr>
            <w:r>
              <w:rPr>
                <w:rFonts w:ascii="Times New Roman" w:hAnsi="Times New Roman"/>
                <w:b/>
                <w:sz w:val="19"/>
              </w:rPr>
              <w:t>Indicador</w:t>
            </w:r>
          </w:p>
        </w:tc>
        <w:tc>
          <w:tcPr>
            <w:tcW w:type="dxa" w:w="2736"/>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Corpus inglés</w:t>
            </w:r>
          </w:p>
        </w:tc>
        <w:tc>
          <w:tcPr>
            <w:tcW w:type="dxa" w:w="2736"/>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Corpus traducido</w:t>
            </w:r>
          </w:p>
        </w:tc>
      </w:tr>
      <w:tr>
        <w:tc>
          <w:tcPr>
            <w:tcW w:type="dxa" w:w="3384"/>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Documentos / intenciones</w:t>
            </w:r>
          </w:p>
        </w:tc>
        <w:tc>
          <w:tcPr>
            <w:tcW w:type="dxa" w:w="2736"/>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81 / 27</w:t>
            </w:r>
          </w:p>
        </w:tc>
        <w:tc>
          <w:tcPr>
            <w:tcW w:type="dxa" w:w="2736"/>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81 / 27</w:t>
            </w:r>
          </w:p>
        </w:tc>
      </w:tr>
      <w:tr>
        <w:tc>
          <w:tcPr>
            <w:tcW w:type="dxa" w:w="3384"/>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Hit@1</w:t>
            </w:r>
          </w:p>
        </w:tc>
        <w:tc>
          <w:tcPr>
            <w:tcW w:type="dxa" w:w="2736"/>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80 %</w:t>
            </w:r>
          </w:p>
        </w:tc>
        <w:tc>
          <w:tcPr>
            <w:tcW w:type="dxa" w:w="2736"/>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70 %</w:t>
            </w:r>
          </w:p>
        </w:tc>
      </w:tr>
      <w:tr>
        <w:tc>
          <w:tcPr>
            <w:tcW w:type="dxa" w:w="3384"/>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Hit@3</w:t>
            </w:r>
          </w:p>
        </w:tc>
        <w:tc>
          <w:tcPr>
            <w:tcW w:type="dxa" w:w="2736"/>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90 %</w:t>
            </w:r>
          </w:p>
        </w:tc>
        <w:tc>
          <w:tcPr>
            <w:tcW w:type="dxa" w:w="2736"/>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85 %</w:t>
            </w:r>
          </w:p>
        </w:tc>
      </w:tr>
      <w:tr>
        <w:tc>
          <w:tcPr>
            <w:tcW w:type="dxa" w:w="3384"/>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Latencia media</w:t>
            </w:r>
          </w:p>
        </w:tc>
        <w:tc>
          <w:tcPr>
            <w:tcW w:type="dxa" w:w="2736"/>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14,40 ms</w:t>
            </w:r>
          </w:p>
        </w:tc>
        <w:tc>
          <w:tcPr>
            <w:tcW w:type="dxa" w:w="2736"/>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14,56 ms</w:t>
            </w:r>
          </w:p>
        </w:tc>
      </w:tr>
    </w:tbl>
    <w:p>
      <w:pPr>
        <w:spacing w:after="80"/>
      </w:pPr>
    </w:p>
    <w:p>
      <w:pPr>
        <w:spacing w:before="0" w:after="160" w:line="360" w:lineRule="auto"/>
        <w:jc w:val="both"/>
      </w:pPr>
      <w:r>
        <w:rPr>
          <w:rFonts w:ascii="Times New Roman" w:hAnsi="Times New Roman"/>
          <w:b w:val="0"/>
          <w:i w:val="0"/>
          <w:sz w:val="24"/>
        </w:rPr>
        <w:t>La diferencia favorece al conocimiento original en inglés a pesar de que las consultas están en español, lo que muestra que traducir el corpus no garantizó una mejor vecindad semántica. La configuración inglesa se fijó antes de la generación completa y se mantuvo sin ajustar los dos fallos de Hit@3.</w:t>
      </w:r>
    </w:p>
    <w:p>
      <w:pPr>
        <w:pStyle w:val="Heading2"/>
        <w:keepNext/>
      </w:pPr>
      <w:r>
        <w:rPr>
          <w:color w:val="000000"/>
        </w:rPr>
        <w:t>6.3 Calidad por modelo y condición</w:t>
      </w:r>
    </w:p>
    <w:p>
      <w:pPr>
        <w:keepNext/>
        <w:spacing w:before="120" w:after="80" w:line="360" w:lineRule="auto"/>
        <w:jc w:val="center"/>
      </w:pPr>
      <w:r>
        <w:rPr>
          <w:rFonts w:ascii="Times New Roman" w:hAnsi="Times New Roman"/>
          <w:b/>
          <w:i w:val="0"/>
          <w:sz w:val="22"/>
        </w:rPr>
        <w:t>Calidad semántica en la comparación controlada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232"/>
            <w:vAlign w:val="center"/>
            <w:tcMar>
              <w:top w:w="90" w:type="dxa"/>
              <w:start w:w="100" w:type="dxa"/>
              <w:bottom w:w="90" w:type="dxa"/>
              <w:end w:w="100" w:type="dxa"/>
            </w:tcMar>
            <w:shd w:fill="D9EAF7"/>
          </w:tcPr>
          <w:p>
            <w:pPr>
              <w:spacing w:before="0" w:after="0" w:line="240" w:lineRule="auto"/>
              <w:jc w:val="left"/>
            </w:pPr>
            <w:r>
              <w:rPr>
                <w:rFonts w:ascii="Times New Roman" w:hAnsi="Times New Roman"/>
                <w:b/>
                <w:sz w:val="19"/>
              </w:rPr>
              <w:t>Modelo</w:t>
            </w:r>
          </w:p>
        </w:tc>
        <w:tc>
          <w:tcPr>
            <w:tcW w:type="dxa" w:w="3384"/>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BERTScore base / RAG / delta</w:t>
            </w:r>
          </w:p>
        </w:tc>
        <w:tc>
          <w:tcPr>
            <w:tcW w:type="dxa" w:w="3384"/>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ROUGE-L base / RAG / delta</w:t>
            </w:r>
          </w:p>
        </w:tc>
      </w:tr>
      <w:tr>
        <w:tc>
          <w:tcPr>
            <w:tcW w:type="dxa" w:w="2232"/>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GPT-4o mini</w:t>
            </w:r>
          </w:p>
        </w:tc>
        <w:tc>
          <w:tcPr>
            <w:tcW w:type="dxa" w:w="3384"/>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0,7121 / 0,7526 / +0,0405</w:t>
            </w:r>
          </w:p>
        </w:tc>
        <w:tc>
          <w:tcPr>
            <w:tcW w:type="dxa" w:w="3384"/>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0,2364 / 0,3054 / +0,0690</w:t>
            </w:r>
          </w:p>
        </w:tc>
      </w:tr>
      <w:tr>
        <w:tc>
          <w:tcPr>
            <w:tcW w:type="dxa" w:w="2232"/>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LLaMA 3.1 8B</w:t>
            </w:r>
          </w:p>
        </w:tc>
        <w:tc>
          <w:tcPr>
            <w:tcW w:type="dxa" w:w="3384"/>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0,7151 / 0,7213 / +0,0061</w:t>
            </w:r>
          </w:p>
        </w:tc>
        <w:tc>
          <w:tcPr>
            <w:tcW w:type="dxa" w:w="3384"/>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0,2479 / 0,2224 / -0,0255</w:t>
            </w:r>
          </w:p>
        </w:tc>
      </w:tr>
      <w:tr>
        <w:tc>
          <w:tcPr>
            <w:tcW w:type="dxa" w:w="2232"/>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Mistral</w:t>
            </w:r>
          </w:p>
        </w:tc>
        <w:tc>
          <w:tcPr>
            <w:tcW w:type="dxa" w:w="3384"/>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0,7058 / 0,7333 / +0,0275</w:t>
            </w:r>
          </w:p>
        </w:tc>
        <w:tc>
          <w:tcPr>
            <w:tcW w:type="dxa" w:w="3384"/>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0,2356 / 0,2770 / +0,0414</w:t>
            </w:r>
          </w:p>
        </w:tc>
      </w:tr>
    </w:tbl>
    <w:p>
      <w:pPr>
        <w:spacing w:after="80"/>
      </w:pPr>
    </w:p>
    <w:p>
      <w:pPr>
        <w:spacing w:before="0" w:after="160" w:line="360" w:lineRule="auto"/>
        <w:jc w:val="both"/>
      </w:pPr>
      <w:r>
        <w:rPr>
          <w:rFonts w:ascii="Times New Roman" w:hAnsi="Times New Roman"/>
          <w:b w:val="0"/>
          <w:i w:val="0"/>
          <w:sz w:val="24"/>
        </w:rPr>
        <w:t>GPT-4o mini presentó la mayor mejora agregada y el mejor BERTScore con RAG. Mistral también mejoró en ambas métricas. LLaMA aumentó levemente BERTScore, pero redujo ROUGE-L; además, RAG mejoró su BERTScore en 12 de 20 consultas y su ROUGE-L solo en 7 de 20. Por lo tanto, el efecto no fue uniforme ni entre modelos ni entre consultas.</w:t>
      </w:r>
    </w:p>
    <w:p>
      <w:pPr>
        <w:pStyle w:val="Heading2"/>
        <w:keepNext/>
      </w:pPr>
      <w:r>
        <w:rPr>
          <w:color w:val="000000"/>
        </w:rPr>
        <w:t>6.4 Latencia, tokens y costos</w:t>
      </w:r>
    </w:p>
    <w:p>
      <w:pPr>
        <w:keepNext/>
        <w:spacing w:before="120" w:after="80" w:line="360" w:lineRule="auto"/>
        <w:jc w:val="center"/>
      </w:pPr>
      <w:r>
        <w:rPr>
          <w:rFonts w:ascii="Times New Roman" w:hAnsi="Times New Roman"/>
          <w:b/>
          <w:i w:val="0"/>
          <w:sz w:val="22"/>
        </w:rPr>
        <w:t>Eficiencia operativa en la comparación controlada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1944"/>
            <w:vAlign w:val="center"/>
            <w:tcMar>
              <w:top w:w="90" w:type="dxa"/>
              <w:start w:w="100" w:type="dxa"/>
              <w:bottom w:w="90" w:type="dxa"/>
              <w:end w:w="100" w:type="dxa"/>
            </w:tcMar>
            <w:shd w:fill="D9EAF7"/>
          </w:tcPr>
          <w:p>
            <w:pPr>
              <w:spacing w:before="0" w:after="0" w:line="240" w:lineRule="auto"/>
              <w:jc w:val="left"/>
            </w:pPr>
            <w:r>
              <w:rPr>
                <w:rFonts w:ascii="Times New Roman" w:hAnsi="Times New Roman"/>
                <w:b/>
                <w:sz w:val="19"/>
              </w:rPr>
              <w:t>Modelo</w:t>
            </w:r>
          </w:p>
        </w:tc>
        <w:tc>
          <w:tcPr>
            <w:tcW w:type="dxa" w:w="2232"/>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Latencia base / RAG</w:t>
            </w:r>
          </w:p>
        </w:tc>
        <w:tc>
          <w:tcPr>
            <w:tcW w:type="dxa" w:w="2520"/>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Tokens entrada base / RAG</w:t>
            </w:r>
          </w:p>
        </w:tc>
        <w:tc>
          <w:tcPr>
            <w:tcW w:type="dxa" w:w="2592"/>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USD por 1.000 base / RAG</w:t>
            </w:r>
          </w:p>
        </w:tc>
      </w:tr>
      <w:tr>
        <w:tc>
          <w:tcPr>
            <w:tcW w:type="dxa" w:w="1944"/>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GPT-4o mini</w:t>
            </w:r>
          </w:p>
        </w:tc>
        <w:tc>
          <w:tcPr>
            <w:tcW w:type="dxa" w:w="2232"/>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1,723 / 1,591 s</w:t>
            </w:r>
          </w:p>
        </w:tc>
        <w:tc>
          <w:tcPr>
            <w:tcW w:type="dxa" w:w="2520"/>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1.295 / 12.110</w:t>
            </w:r>
          </w:p>
        </w:tc>
        <w:tc>
          <w:tcPr>
            <w:tcW w:type="dxa" w:w="2592"/>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0,0667 / 0,1479</w:t>
            </w:r>
          </w:p>
        </w:tc>
      </w:tr>
      <w:tr>
        <w:tc>
          <w:tcPr>
            <w:tcW w:type="dxa" w:w="1944"/>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LLaMA 3.1 8B</w:t>
            </w:r>
          </w:p>
        </w:tc>
        <w:tc>
          <w:tcPr>
            <w:tcW w:type="dxa" w:w="2232"/>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1,213 / 1,496 s</w:t>
            </w:r>
          </w:p>
        </w:tc>
        <w:tc>
          <w:tcPr>
            <w:tcW w:type="dxa" w:w="2520"/>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1.511 / 13.164</w:t>
            </w:r>
          </w:p>
        </w:tc>
        <w:tc>
          <w:tcPr>
            <w:tcW w:type="dxa" w:w="2592"/>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0,2325 / 0,2867</w:t>
            </w:r>
          </w:p>
        </w:tc>
      </w:tr>
      <w:tr>
        <w:tc>
          <w:tcPr>
            <w:tcW w:type="dxa" w:w="1944"/>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Mistral</w:t>
            </w:r>
          </w:p>
        </w:tc>
        <w:tc>
          <w:tcPr>
            <w:tcW w:type="dxa" w:w="2232"/>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1,350 / 1,867 s</w:t>
            </w:r>
          </w:p>
        </w:tc>
        <w:tc>
          <w:tcPr>
            <w:tcW w:type="dxa" w:w="2520"/>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1.566 / 15.247</w:t>
            </w:r>
          </w:p>
        </w:tc>
        <w:tc>
          <w:tcPr>
            <w:tcW w:type="dxa" w:w="2592"/>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0,2587 / 0,3579</w:t>
            </w:r>
          </w:p>
        </w:tc>
      </w:tr>
    </w:tbl>
    <w:p>
      <w:pPr>
        <w:spacing w:after="80"/>
      </w:pPr>
    </w:p>
    <w:p>
      <w:pPr>
        <w:spacing w:before="0" w:after="160" w:line="360" w:lineRule="auto"/>
        <w:jc w:val="both"/>
      </w:pPr>
      <w:r>
        <w:rPr>
          <w:rFonts w:ascii="Times New Roman" w:hAnsi="Times New Roman"/>
          <w:b w:val="0"/>
          <w:i w:val="0"/>
          <w:sz w:val="24"/>
        </w:rPr>
        <w:t>RAG agregó 0,283 segundos en LLaMA (+23,3 %) y 0,517 segundos en Mistral (+38,3 %). En GPT la latencia media fue 7,6 % menor, aun cuando los tokens de entrada crecieron 9,35 veces. Debido a que la llamada depende de red, carga y proveedor, esa disminución se trata como variabilidad y no como una mejora causada por RAG.</w:t>
      </w:r>
    </w:p>
    <w:p>
      <w:pPr>
        <w:spacing w:before="0" w:after="160" w:line="360" w:lineRule="auto"/>
        <w:jc w:val="both"/>
      </w:pPr>
      <w:r>
        <w:rPr>
          <w:rFonts w:ascii="Times New Roman" w:hAnsi="Times New Roman"/>
          <w:b w:val="0"/>
          <w:i w:val="0"/>
          <w:sz w:val="24"/>
        </w:rPr>
        <w:t>GPT consumió USD 0,001333 para las 20 respuestas del baseline y USD 0,002958 para las 20 con RAG. El costo por 1.000 consultas aumentó en los tres modelos. Bajo el escenario cloud seleccionado, GPT conservó el menor costo por consulta; los modelos abiertos no mostraron la ventaja económica esperada en este piloto. La sensibilidad eléctrica produjo cifras menores, pero no incluye compra, amortización, mantenimiento ni capacidad ociosa del hardware.</w:t>
      </w:r>
    </w:p>
    <w:p>
      <w:pPr>
        <w:pStyle w:val="Heading2"/>
        <w:keepNext/>
      </w:pPr>
      <w:r>
        <w:rPr>
          <w:color w:val="000000"/>
        </w:rPr>
        <w:t>6.5 Aciertos de recuperación y calidad</w:t>
      </w:r>
    </w:p>
    <w:p>
      <w:pPr>
        <w:keepNext/>
        <w:spacing w:before="120" w:after="80" w:line="360" w:lineRule="auto"/>
        <w:jc w:val="center"/>
      </w:pPr>
      <w:r>
        <w:rPr>
          <w:rFonts w:ascii="Times New Roman" w:hAnsi="Times New Roman"/>
          <w:b/>
          <w:i w:val="0"/>
          <w:sz w:val="22"/>
        </w:rPr>
        <w:t>Calidad media según Hit@3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520"/>
            <w:vAlign w:val="center"/>
            <w:tcMar>
              <w:top w:w="90" w:type="dxa"/>
              <w:start w:w="100" w:type="dxa"/>
              <w:bottom w:w="90" w:type="dxa"/>
              <w:end w:w="100" w:type="dxa"/>
            </w:tcMar>
            <w:shd w:fill="D9EAF7"/>
          </w:tcPr>
          <w:p>
            <w:pPr>
              <w:spacing w:before="0" w:after="0" w:line="240" w:lineRule="auto"/>
              <w:jc w:val="left"/>
            </w:pPr>
            <w:r>
              <w:rPr>
                <w:rFonts w:ascii="Times New Roman" w:hAnsi="Times New Roman"/>
                <w:b/>
                <w:sz w:val="19"/>
              </w:rPr>
              <w:t>Modelo</w:t>
            </w:r>
          </w:p>
        </w:tc>
        <w:tc>
          <w:tcPr>
            <w:tcW w:type="dxa" w:w="3168"/>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BERTScore acierto / fallo</w:t>
            </w:r>
          </w:p>
        </w:tc>
        <w:tc>
          <w:tcPr>
            <w:tcW w:type="dxa" w:w="3168"/>
            <w:vAlign w:val="center"/>
            <w:tcMar>
              <w:top w:w="90" w:type="dxa"/>
              <w:start w:w="100" w:type="dxa"/>
              <w:bottom w:w="90" w:type="dxa"/>
              <w:end w:w="100" w:type="dxa"/>
            </w:tcMar>
            <w:shd w:fill="D9EAF7"/>
          </w:tcPr>
          <w:p>
            <w:pPr>
              <w:spacing w:before="0" w:after="0" w:line="240" w:lineRule="auto"/>
              <w:jc w:val="center"/>
            </w:pPr>
            <w:r>
              <w:rPr>
                <w:rFonts w:ascii="Times New Roman" w:hAnsi="Times New Roman"/>
                <w:b/>
                <w:sz w:val="19"/>
              </w:rPr>
              <w:t>ROUGE-L acierto / fallo</w:t>
            </w:r>
          </w:p>
        </w:tc>
      </w:tr>
      <w:tr>
        <w:tc>
          <w:tcPr>
            <w:tcW w:type="dxa" w:w="2520"/>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GPT-4o mini</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0,7539 / 0,7407</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0,3089 / 0,2745</w:t>
            </w:r>
          </w:p>
        </w:tc>
      </w:tr>
      <w:tr>
        <w:tc>
          <w:tcPr>
            <w:tcW w:type="dxa" w:w="2520"/>
            <w:vAlign w:val="center"/>
            <w:tcMar>
              <w:top w:w="90" w:type="dxa"/>
              <w:start w:w="100" w:type="dxa"/>
              <w:bottom w:w="90" w:type="dxa"/>
              <w:end w:w="100" w:type="dxa"/>
            </w:tcMar>
            <w:shd w:fill="F7FAFC"/>
          </w:tcPr>
          <w:p>
            <w:pPr>
              <w:spacing w:before="0" w:after="0" w:line="240" w:lineRule="auto"/>
              <w:jc w:val="left"/>
            </w:pPr>
            <w:r>
              <w:rPr>
                <w:rFonts w:ascii="Times New Roman" w:hAnsi="Times New Roman"/>
                <w:b w:val="0"/>
                <w:sz w:val="19"/>
              </w:rPr>
              <w:t>LLaMA 3.1 8B</w:t>
            </w:r>
          </w:p>
        </w:tc>
        <w:tc>
          <w:tcPr>
            <w:tcW w:type="dxa" w:w="3168"/>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0,7227 / 0,7086</w:t>
            </w:r>
          </w:p>
        </w:tc>
        <w:tc>
          <w:tcPr>
            <w:tcW w:type="dxa" w:w="3168"/>
            <w:vAlign w:val="center"/>
            <w:tcMar>
              <w:top w:w="90" w:type="dxa"/>
              <w:start w:w="100" w:type="dxa"/>
              <w:bottom w:w="90" w:type="dxa"/>
              <w:end w:w="100" w:type="dxa"/>
            </w:tcMar>
            <w:shd w:fill="F7FAFC"/>
          </w:tcPr>
          <w:p>
            <w:pPr>
              <w:spacing w:before="0" w:after="0" w:line="240" w:lineRule="auto"/>
              <w:jc w:val="center"/>
            </w:pPr>
            <w:r>
              <w:rPr>
                <w:rFonts w:ascii="Times New Roman" w:hAnsi="Times New Roman"/>
                <w:b w:val="0"/>
                <w:sz w:val="19"/>
              </w:rPr>
              <w:t>0,2259 / 0,1908</w:t>
            </w:r>
          </w:p>
        </w:tc>
      </w:tr>
      <w:tr>
        <w:tc>
          <w:tcPr>
            <w:tcW w:type="dxa" w:w="2520"/>
            <w:vAlign w:val="center"/>
            <w:tcMar>
              <w:top w:w="90" w:type="dxa"/>
              <w:start w:w="100" w:type="dxa"/>
              <w:bottom w:w="90" w:type="dxa"/>
              <w:end w:w="100" w:type="dxa"/>
            </w:tcMar>
            <w:shd w:fill="FFFFFF"/>
          </w:tcPr>
          <w:p>
            <w:pPr>
              <w:spacing w:before="0" w:after="0" w:line="240" w:lineRule="auto"/>
              <w:jc w:val="left"/>
            </w:pPr>
            <w:r>
              <w:rPr>
                <w:rFonts w:ascii="Times New Roman" w:hAnsi="Times New Roman"/>
                <w:b w:val="0"/>
                <w:sz w:val="19"/>
              </w:rPr>
              <w:t>Mistral</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0,7365 / 0,7042</w:t>
            </w:r>
          </w:p>
        </w:tc>
        <w:tc>
          <w:tcPr>
            <w:tcW w:type="dxa" w:w="3168"/>
            <w:vAlign w:val="center"/>
            <w:tcMar>
              <w:top w:w="90" w:type="dxa"/>
              <w:start w:w="100" w:type="dxa"/>
              <w:bottom w:w="90" w:type="dxa"/>
              <w:end w:w="100" w:type="dxa"/>
            </w:tcMar>
            <w:shd w:fill="FFFFFF"/>
          </w:tcPr>
          <w:p>
            <w:pPr>
              <w:spacing w:before="0" w:after="0" w:line="240" w:lineRule="auto"/>
              <w:jc w:val="center"/>
            </w:pPr>
            <w:r>
              <w:rPr>
                <w:rFonts w:ascii="Times New Roman" w:hAnsi="Times New Roman"/>
                <w:b w:val="0"/>
                <w:sz w:val="19"/>
              </w:rPr>
              <w:t>0,2859 / 0,1972</w:t>
            </w:r>
          </w:p>
        </w:tc>
      </w:tr>
    </w:tbl>
    <w:p>
      <w:pPr>
        <w:spacing w:after="80"/>
      </w:pPr>
    </w:p>
    <w:p>
      <w:pPr>
        <w:spacing w:before="0" w:after="160" w:line="360" w:lineRule="auto"/>
        <w:jc w:val="both"/>
      </w:pPr>
      <w:r>
        <w:rPr>
          <w:rFonts w:ascii="Times New Roman" w:hAnsi="Times New Roman"/>
          <w:b w:val="0"/>
          <w:i w:val="0"/>
          <w:sz w:val="24"/>
        </w:rPr>
        <w:t>En los tres modelos, las 18 consultas con Hit@3 tuvieron mayor calidad media que los dos fallos. La dirección del resultado es coherente con el diseño de RAG, pero dos observaciones fallidas son insuficientes para estimar con precisión el tamaño del efecto.</w:t>
      </w:r>
    </w:p>
    <w:p>
      <w:pPr>
        <w:pStyle w:val="Heading2"/>
        <w:keepNext/>
      </w:pPr>
      <w:r>
        <w:rPr>
          <w:color w:val="000000"/>
        </w:rPr>
        <w:t>6.6 Discusión de las hipótesis</w:t>
      </w:r>
    </w:p>
    <w:p>
      <w:pPr>
        <w:spacing w:before="0" w:after="160" w:line="360" w:lineRule="auto"/>
        <w:jc w:val="both"/>
      </w:pPr>
      <w:r>
        <w:rPr>
          <w:rFonts w:ascii="Times New Roman" w:hAnsi="Times New Roman"/>
          <w:b w:val="0"/>
          <w:i w:val="0"/>
          <w:sz w:val="24"/>
        </w:rPr>
        <w:t>La Hipótesis 1 recibe apoyo parcial. Mistral quedó a 0,0193 puntos de GPT en BERTScore con RAG, mientras que LLaMA quedó a 0,0313. La cercanía observada en Mistral es compatible con una calidad comparable, pero el piloto no define equivalencia estadística.</w:t>
      </w:r>
    </w:p>
    <w:p>
      <w:pPr>
        <w:spacing w:before="0" w:after="160" w:line="360" w:lineRule="auto"/>
        <w:jc w:val="both"/>
      </w:pPr>
      <w:r>
        <w:rPr>
          <w:rFonts w:ascii="Times New Roman" w:hAnsi="Times New Roman"/>
          <w:b w:val="0"/>
          <w:i w:val="0"/>
          <w:sz w:val="24"/>
        </w:rPr>
        <w:t>La Hipótesis 2 no recibe apoyo en esta iteración. GPT costó USD 0,1479 por 1.000 consultas con RAG, frente a USD 0,2867 de LLaMA y USD 0,3579 de Mistral bajo el escenario cloud. Además, la diferencia de BERTScore entre GPT y LLaMA superó el umbral de 0,02 formulado en la hipótesis.</w:t>
      </w:r>
    </w:p>
    <w:p>
      <w:pPr>
        <w:spacing w:before="0" w:after="160" w:line="360" w:lineRule="auto"/>
        <w:jc w:val="both"/>
      </w:pPr>
      <w:r>
        <w:rPr>
          <w:rFonts w:ascii="Times New Roman" w:hAnsi="Times New Roman"/>
          <w:b w:val="0"/>
          <w:i w:val="0"/>
          <w:sz w:val="24"/>
        </w:rPr>
        <w:t>La Hipótesis 3 tampoco recibe apoyo descriptivo. El índice compuesto exploratorio ubicó primero a GPT-4o mini (0,784), seguido por LLaMA (0,696) y Mistral (0,673). Este índice depende de la normalización dentro de la muestra y de los supuestos de costo; por ello no se utiliza como prueba definitiva.</w:t>
      </w:r>
    </w:p>
    <w:p>
      <w:pPr>
        <w:pStyle w:val="Heading2"/>
        <w:keepNext/>
      </w:pPr>
      <w:r>
        <w:rPr>
          <w:color w:val="000000"/>
        </w:rPr>
        <w:t>6.7 Limitaciones del piloto</w:t>
      </w:r>
    </w:p>
    <w:p>
      <w:pPr>
        <w:spacing w:before="0" w:after="80" w:line="360" w:lineRule="auto"/>
        <w:ind w:left="518" w:hanging="259"/>
        <w:jc w:val="left"/>
      </w:pPr>
      <w:r>
        <w:rPr>
          <w:rFonts w:ascii="Times New Roman" w:hAnsi="Times New Roman"/>
          <w:b w:val="0"/>
          <w:i w:val="0"/>
          <w:sz w:val="24"/>
        </w:rPr>
        <w:t>• La muestra de 20 consultas por configuración no permite inferencia estadística ni generalización.</w:t>
      </w:r>
    </w:p>
    <w:p>
      <w:pPr>
        <w:spacing w:before="0" w:after="80" w:line="360" w:lineRule="auto"/>
        <w:ind w:left="518" w:hanging="259"/>
        <w:jc w:val="left"/>
      </w:pPr>
      <w:r>
        <w:rPr>
          <w:rFonts w:ascii="Times New Roman" w:hAnsi="Times New Roman"/>
          <w:b w:val="0"/>
          <w:i w:val="0"/>
          <w:sz w:val="24"/>
        </w:rPr>
        <w:t>• BERTScore y ROUGE-L no reemplazan la evaluación humana de exactitud, utilidad y alucinaciones.</w:t>
      </w:r>
    </w:p>
    <w:p>
      <w:pPr>
        <w:spacing w:before="0" w:after="80" w:line="360" w:lineRule="auto"/>
        <w:ind w:left="518" w:hanging="259"/>
        <w:jc w:val="left"/>
      </w:pPr>
      <w:r>
        <w:rPr>
          <w:rFonts w:ascii="Times New Roman" w:hAnsi="Times New Roman"/>
          <w:b w:val="0"/>
          <w:i w:val="0"/>
          <w:sz w:val="24"/>
        </w:rPr>
        <w:t>• El corpus de conocimiento es pequeño, sintético y derivado del mismo dominio que la evaluación, aunque se controló el solapamiento.</w:t>
      </w:r>
    </w:p>
    <w:p>
      <w:pPr>
        <w:spacing w:before="0" w:after="80" w:line="360" w:lineRule="auto"/>
        <w:ind w:left="518" w:hanging="259"/>
        <w:jc w:val="left"/>
      </w:pPr>
      <w:r>
        <w:rPr>
          <w:rFonts w:ascii="Times New Roman" w:hAnsi="Times New Roman"/>
          <w:b w:val="0"/>
          <w:i w:val="0"/>
          <w:sz w:val="24"/>
        </w:rPr>
        <w:t>• Las latencias corresponden a una sesión, una red y un equipo; la API y Ollama pueden variar entre corridas.</w:t>
      </w:r>
    </w:p>
    <w:p>
      <w:pPr>
        <w:spacing w:before="0" w:after="80" w:line="360" w:lineRule="auto"/>
        <w:ind w:left="518" w:hanging="259"/>
        <w:jc w:val="left"/>
      </w:pPr>
      <w:r>
        <w:rPr>
          <w:rFonts w:ascii="Times New Roman" w:hAnsi="Times New Roman"/>
          <w:b w:val="0"/>
          <w:i w:val="0"/>
          <w:sz w:val="24"/>
        </w:rPr>
        <w:t>• El costo cloud combina un precio publicado con latencias locales y debe leerse como escenario comparativo, no como factura observada.</w:t>
      </w:r>
    </w:p>
    <w:p>
      <w:pPr>
        <w:spacing w:before="0" w:after="80" w:line="360" w:lineRule="auto"/>
        <w:ind w:left="518" w:hanging="259"/>
        <w:jc w:val="left"/>
      </w:pPr>
      <w:r>
        <w:rPr>
          <w:rFonts w:ascii="Times New Roman" w:hAnsi="Times New Roman"/>
          <w:b w:val="0"/>
          <w:i w:val="0"/>
          <w:sz w:val="24"/>
        </w:rPr>
        <w:t>• La potencia de 415 W es una cota de componentes, no una medición de consumo en pared, y el precio eléctrico no es una tarifa argentina.</w:t>
      </w:r>
    </w:p>
    <w:p>
      <w:pPr>
        <w:spacing w:before="0" w:after="80" w:line="360" w:lineRule="auto"/>
        <w:ind w:left="518" w:hanging="259"/>
        <w:jc w:val="left"/>
      </w:pPr>
      <w:r>
        <w:rPr>
          <w:rFonts w:ascii="Times New Roman" w:hAnsi="Times New Roman"/>
          <w:b w:val="0"/>
          <w:i w:val="0"/>
          <w:sz w:val="24"/>
        </w:rPr>
        <w:t>• La búsqueda exacta es adecuada para 81 documentos, pero su escalabilidad debe validarse con un corpus mayor.</w:t>
      </w:r>
    </w:p>
    <w:p w:rsidR="00000000" w:rsidDel="00000000" w:rsidP="00000000" w:rsidRDefault="00000000" w:rsidRPr="00000000" w14:paraId="00000159">
      <w:pPr>
        <w:pStyle w:val="Heading1"/>
        <w:pageBreakBefore/>
        <w:spacing w:after="200" w:before="400" w:lineRule="auto"/>
        <w:jc w:val="center"/>
        <w:rPr/>
      </w:pPr>
      <w:bookmarkStart w:colFirst="0" w:colLast="0" w:name="_xe7dxo5vlxj0" w:id="30"/>
      <w:bookmarkEnd w:id="30"/>
      <w:r w:rsidDel="00000000" w:rsidR="00000000" w:rsidRPr="00000000">
        <w:rPr>
          <w:rtl w:val="0"/>
        </w:rPr>
        <w:t xml:space="preserve">Conclusiones</w:t>
      </w:r>
    </w:p>
    <w:p>
      <w:pPr>
        <w:spacing w:before="0" w:after="160" w:line="360" w:lineRule="auto"/>
        <w:jc w:val="both"/>
      </w:pPr>
      <w:r>
        <w:rPr>
          <w:rFonts w:ascii="Times New Roman" w:hAnsi="Times New Roman"/>
          <w:b w:val="0"/>
          <w:i w:val="0"/>
          <w:sz w:val="24"/>
        </w:rPr>
      </w:r>
    </w:p>
    <w:p>
      <w:pPr>
        <w:spacing w:before="0" w:after="160" w:line="360" w:lineRule="auto"/>
        <w:jc w:val="both"/>
      </w:pPr>
      <w:r>
        <w:rPr>
          <w:rFonts w:ascii="Times New Roman" w:hAnsi="Times New Roman"/>
          <w:b w:val="0"/>
          <w:i w:val="0"/>
          <w:sz w:val="24"/>
        </w:rPr>
        <w:t>El Subproyecto 2 completa una comparación RAG funcional, trazable y controlada. El recuperador alcanzó Hit@3 de 90 % y las 120 respuestas comparables se generaron sin errores. RAG mejoró el BERTScore medio de los tres modelos, pero no produjo un beneficio uniforme: LLaMA perdió ROUGE-L y los modelos locales aumentaron latencia y costo bajo el escenario cloud.</w:t>
      </w:r>
    </w:p>
    <w:p>
      <w:pPr>
        <w:spacing w:before="0" w:after="160" w:line="360" w:lineRule="auto"/>
        <w:jc w:val="both"/>
      </w:pPr>
      <w:r>
        <w:rPr>
          <w:rFonts w:ascii="Times New Roman" w:hAnsi="Times New Roman"/>
          <w:b w:val="0"/>
          <w:i w:val="0"/>
          <w:sz w:val="24"/>
        </w:rPr>
        <w:t>En este piloto, GPT-4o mini obtuvo la mejor calidad agregada, el menor costo comparativo y la mejor posición en el índice exploratorio. Mistral fue el modelo abierto más cercano en calidad, aunque con mayor latencia y costo. Estos hallazgos no confirman ni rechazan definitivamente las hipótesis: delimitan qué debe validarse con una muestra mayor y evaluación humana.</w:t>
      </w:r>
    </w:p>
    <w:p>
      <w:pPr>
        <w:spacing w:before="0" w:after="160" w:line="360" w:lineRule="auto"/>
        <w:jc w:val="both"/>
      </w:pPr>
      <w:r>
        <w:rPr>
          <w:rFonts w:ascii="Times New Roman" w:hAnsi="Times New Roman"/>
          <w:b w:val="0"/>
          <w:i w:val="0"/>
          <w:sz w:val="24"/>
        </w:rPr>
        <w:t>El aporte de esta iteración es metodológico y técnico. El framework conserva consultas, corpus, auditorías, resultados crudos, resultados evaluados y fuentes de costo; además separa recuperación y generación para que cada etapa pueda repetirse sin alterar las demás.</w:t>
      </w:r>
    </w:p>
    <w:p w:rsidR="00000000" w:rsidDel="00000000" w:rsidP="00000000" w:rsidRDefault="00000000" w:rsidRPr="00000000" w14:paraId="0000015D">
      <w:pPr>
        <w:pStyle w:val="Heading1"/>
        <w:spacing w:after="200" w:before="400" w:lineRule="auto"/>
        <w:jc w:val="center"/>
        <w:rPr/>
      </w:pPr>
      <w:bookmarkStart w:colFirst="0" w:colLast="0" w:name="_1javjldikxag" w:id="31"/>
      <w:bookmarkEnd w:id="31"/>
      <w:r w:rsidDel="00000000" w:rsidR="00000000" w:rsidRPr="00000000">
        <w:rPr>
          <w:rtl w:val="0"/>
        </w:rPr>
        <w:t xml:space="preserve">Líneas Futuras de Investigación</w:t>
      </w:r>
    </w:p>
    <w:p>
      <w:pPr>
        <w:spacing w:before="0" w:after="160" w:line="360" w:lineRule="auto"/>
        <w:jc w:val="both"/>
      </w:pPr>
      <w:r>
        <w:rPr>
          <w:rFonts w:ascii="Times New Roman" w:hAnsi="Times New Roman"/>
          <w:b w:val="0"/>
          <w:i w:val="0"/>
          <w:sz w:val="24"/>
        </w:rPr>
      </w:r>
    </w:p>
    <w:p>
      <w:pPr>
        <w:keepLines/>
        <w:spacing w:before="0" w:after="40" w:line="240" w:lineRule="auto"/>
        <w:ind w:left="518" w:hanging="259"/>
        <w:jc w:val="left"/>
      </w:pPr>
      <w:r>
        <w:rPr>
          <w:rFonts w:ascii="Times New Roman" w:hAnsi="Times New Roman"/>
          <w:b w:val="0"/>
          <w:i w:val="0"/>
          <w:sz w:val="22"/>
        </w:rPr>
        <w:t>• Ampliar la muestra a entre 300 y 500 consultas por configuración y definir las pruebas estadísticas después de revisar la distribución de los datos.</w:t>
      </w:r>
    </w:p>
    <w:p>
      <w:pPr>
        <w:keepLines/>
        <w:spacing w:before="0" w:after="40" w:line="240" w:lineRule="auto"/>
        <w:ind w:left="518" w:hanging="259"/>
        <w:jc w:val="left"/>
      </w:pPr>
      <w:r>
        <w:rPr>
          <w:rFonts w:ascii="Times New Roman" w:hAnsi="Times New Roman"/>
          <w:b w:val="0"/>
          <w:i w:val="0"/>
          <w:sz w:val="22"/>
        </w:rPr>
        <w:t>• Incorporar evaluación humana ciega de exactitud, utilidad, completitud y alucinaciones.</w:t>
      </w:r>
    </w:p>
    <w:p>
      <w:pPr>
        <w:keepLines/>
        <w:spacing w:before="0" w:after="40" w:line="240" w:lineRule="auto"/>
        <w:ind w:left="518" w:hanging="259"/>
        <w:jc w:val="left"/>
      </w:pPr>
      <w:r>
        <w:rPr>
          <w:rFonts w:ascii="Times New Roman" w:hAnsi="Times New Roman"/>
          <w:b w:val="0"/>
          <w:i w:val="0"/>
          <w:sz w:val="22"/>
        </w:rPr>
        <w:t>• Repetir las mediciones en distintas sesiones y reportar dispersión, intervalos y estabilidad temporal.</w:t>
      </w:r>
    </w:p>
    <w:p>
      <w:pPr>
        <w:keepLines/>
        <w:spacing w:before="0" w:after="40" w:line="240" w:lineRule="auto"/>
        <w:ind w:left="518" w:hanging="259"/>
        <w:jc w:val="left"/>
      </w:pPr>
      <w:r>
        <w:rPr>
          <w:rFonts w:ascii="Times New Roman" w:hAnsi="Times New Roman"/>
          <w:b w:val="0"/>
          <w:i w:val="0"/>
          <w:sz w:val="22"/>
        </w:rPr>
        <w:t>• Medir energía con un dispositivo de pared y sustituir el benchmark eléctrico por la tarifa real documentada del lugar de ejecución.</w:t>
      </w:r>
    </w:p>
    <w:p>
      <w:pPr>
        <w:keepLines/>
        <w:spacing w:before="0" w:after="40" w:line="240" w:lineRule="auto"/>
        <w:ind w:left="518" w:hanging="259"/>
        <w:jc w:val="left"/>
      </w:pPr>
      <w:r>
        <w:rPr>
          <w:rFonts w:ascii="Times New Roman" w:hAnsi="Times New Roman"/>
          <w:b w:val="0"/>
          <w:i w:val="0"/>
          <w:sz w:val="22"/>
        </w:rPr>
        <w:t>• Evaluar un despliegue cloud real de los modelos abiertos para medir throughput y costo sin combinar hardware local con precio remoto.</w:t>
      </w:r>
    </w:p>
    <w:p>
      <w:pPr>
        <w:keepLines/>
        <w:spacing w:before="0" w:after="40" w:line="240" w:lineRule="auto"/>
        <w:ind w:left="518" w:hanging="259"/>
        <w:jc w:val="left"/>
      </w:pPr>
      <w:r>
        <w:rPr>
          <w:rFonts w:ascii="Times New Roman" w:hAnsi="Times New Roman"/>
          <w:b w:val="0"/>
          <w:i w:val="0"/>
          <w:sz w:val="22"/>
        </w:rPr>
        <w:t>• Escalar el corpus y comparar búsqueda exacta con FAISS; incorporar Spark solo cuando el volumen justifique su sobrecosto operativo.</w:t>
      </w:r>
    </w:p>
    <w:p>
      <w:pPr>
        <w:keepLines/>
        <w:spacing w:before="0" w:after="40" w:line="240" w:lineRule="auto"/>
        <w:ind w:left="518" w:hanging="259"/>
        <w:jc w:val="left"/>
      </w:pPr>
      <w:r>
        <w:rPr>
          <w:rFonts w:ascii="Times New Roman" w:hAnsi="Times New Roman"/>
          <w:b w:val="0"/>
          <w:i w:val="0"/>
          <w:sz w:val="22"/>
        </w:rPr>
        <w:t>• Agregar una evaluación específica de fidelidad al contexto y mecanismos de rechazo cuando la evidencia recuperada sea insuficiente.</w:t>
      </w:r>
    </w:p>
    <w:p w:rsidR="00000000" w:rsidDel="00000000" w:rsidP="00000000" w:rsidRDefault="00000000" w:rsidRPr="00000000" w14:paraId="00000162">
      <w:pPr>
        <w:pStyle w:val="Heading1"/>
        <w:pageBreakBefore/>
        <w:spacing w:after="200" w:before="400" w:lineRule="auto"/>
        <w:jc w:val="center"/>
        <w:rPr/>
      </w:pPr>
      <w:bookmarkStart w:colFirst="0" w:colLast="0" w:name="_fylbre2ubi46" w:id="32"/>
      <w:bookmarkEnd w:id="32"/>
      <w:r w:rsidDel="00000000" w:rsidR="00000000" w:rsidRPr="00000000">
        <w:rPr>
          <w:rtl w:val="0"/>
        </w:rPr>
        <w:t xml:space="preserve">Referencias</w:t>
      </w:r>
    </w:p>
    <w:p>
      <w:pPr>
        <w:spacing w:before="0" w:after="160" w:line="360" w:lineRule="auto"/>
        <w:jc w:val="both"/>
      </w:pPr>
      <w:r>
        <w:rPr>
          <w:rFonts w:ascii="Times New Roman" w:hAnsi="Times New Roman"/>
          <w:b w:val="0"/>
          <w:i w:val="0"/>
          <w:sz w:val="24"/>
        </w:rPr>
      </w:r>
    </w:p>
    <w:p>
      <w:pPr>
        <w:spacing w:before="0" w:after="120" w:line="360" w:lineRule="auto"/>
        <w:ind w:left="720" w:hanging="720"/>
        <w:jc w:val="left"/>
      </w:pPr>
      <w:r>
        <w:rPr>
          <w:rFonts w:ascii="Times New Roman" w:hAnsi="Times New Roman"/>
          <w:b w:val="0"/>
          <w:i w:val="0"/>
          <w:sz w:val="20"/>
        </w:rPr>
        <w:t>Advanced Micro Devices, Inc. (s. f.). AMD Ryzen 5 5600X desktop processors. Recuperado el 4 de octubre de 2026, de https://www.amd.com/en/products/processors/desktops/ryzen/5000-series/amd-ryzen-5-5600x.html</w:t>
      </w:r>
    </w:p>
    <w:p>
      <w:pPr>
        <w:spacing w:before="0" w:after="120" w:line="360" w:lineRule="auto"/>
        <w:ind w:left="720" w:hanging="720"/>
        <w:jc w:val="left"/>
      </w:pPr>
      <w:r>
        <w:rPr>
          <w:rFonts w:ascii="Times New Roman" w:hAnsi="Times New Roman"/>
          <w:b w:val="0"/>
          <w:i w:val="0"/>
          <w:sz w:val="20"/>
        </w:rPr>
        <w:t>Barandoni, S., Chiarello, F., Cascone, L., Marrale, E., y Puccio, S. (2024). Automating customer needs analysis: A comparative study of large language models in the travel industry. arXiv:2404.17975. https://arxiv.org/abs/2404.17975</w:t>
      </w:r>
    </w:p>
    <w:p>
      <w:pPr>
        <w:spacing w:before="0" w:after="120" w:line="360" w:lineRule="auto"/>
        <w:ind w:left="720" w:hanging="720"/>
        <w:jc w:val="left"/>
      </w:pPr>
      <w:r>
        <w:rPr>
          <w:rFonts w:ascii="Times New Roman" w:hAnsi="Times New Roman"/>
          <w:b w:val="0"/>
          <w:i w:val="0"/>
          <w:sz w:val="20"/>
        </w:rPr>
        <w:t>Bitext. (s. f.). Bitext Customer Support LLM Chatbot Training Dataset [Conjunto de datos]. Hugging Face. Recuperado el 14 de septiembre de 2026, de https://huggingface.co/datasets/bitext/Bitext-customer-support-llm-chatbot-training-dataset</w:t>
      </w:r>
    </w:p>
    <w:p>
      <w:pPr>
        <w:spacing w:before="0" w:after="120" w:line="360" w:lineRule="auto"/>
        <w:ind w:left="720" w:hanging="720"/>
        <w:jc w:val="left"/>
      </w:pPr>
      <w:r>
        <w:rPr>
          <w:rFonts w:ascii="Times New Roman" w:hAnsi="Times New Roman"/>
          <w:b w:val="0"/>
          <w:i w:val="0"/>
          <w:sz w:val="20"/>
        </w:rPr>
        <w:t>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p>
    <w:p>
      <w:pPr>
        <w:spacing w:before="0" w:after="120" w:line="360" w:lineRule="auto"/>
        <w:ind w:left="720" w:hanging="720"/>
        <w:jc w:val="left"/>
      </w:pPr>
      <w:r>
        <w:rPr>
          <w:rFonts w:ascii="Times New Roman" w:hAnsi="Times New Roman"/>
          <w:b w:val="0"/>
          <w:i w:val="0"/>
          <w:sz w:val="20"/>
        </w:rPr>
        <w:t>Casazola Cruz, O. D., Alfaro Mariño, G., Burgos Tejada, J., y Ramos More, O. A. (2021). La usabilidad percibida de los chatbots sobre la atención al cliente en las organizaciones: Una revisión de la literatura. Interfases, (14), 184-204. https://doi.org/10.26439/interfases2021.n014.5401</w:t>
      </w:r>
    </w:p>
    <w:p>
      <w:pPr>
        <w:spacing w:before="0" w:after="120" w:line="360" w:lineRule="auto"/>
        <w:ind w:left="720" w:hanging="720"/>
        <w:jc w:val="left"/>
      </w:pPr>
      <w:r>
        <w:rPr>
          <w:rFonts w:ascii="Times New Roman" w:hAnsi="Times New Roman"/>
          <w:b w:val="0"/>
          <w:i w:val="0"/>
          <w:sz w:val="20"/>
        </w:rPr>
        <w:t>Devlin, J., Chang, M.-W., Lee, K., y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w:t>
      </w:r>
    </w:p>
    <w:p>
      <w:pPr>
        <w:spacing w:before="0" w:after="120" w:line="360" w:lineRule="auto"/>
        <w:ind w:left="720" w:hanging="720"/>
        <w:jc w:val="left"/>
      </w:pPr>
      <w:r>
        <w:rPr>
          <w:rFonts w:ascii="Times New Roman" w:hAnsi="Times New Roman"/>
          <w:b w:val="0"/>
          <w:i w:val="0"/>
          <w:sz w:val="20"/>
        </w:rPr>
        <w:t>Faysal, N. M. (2024). An empirical study on the efficacy of LLM-powered chatbots in basic information retrieval tasks [Master's Project, California State University, San Bernardino]. CSUSB ScholarWorks. https://scholarworks.lib.csusb.edu/etd/1938</w:t>
      </w:r>
    </w:p>
    <w:p>
      <w:pPr>
        <w:spacing w:before="0" w:after="120" w:line="360" w:lineRule="auto"/>
        <w:ind w:left="720" w:hanging="720"/>
        <w:jc w:val="left"/>
      </w:pPr>
      <w:r>
        <w:rPr>
          <w:rFonts w:ascii="Times New Roman" w:hAnsi="Times New Roman"/>
          <w:b w:val="0"/>
          <w:i w:val="0"/>
          <w:sz w:val="20"/>
        </w:rPr>
        <w:t>Gao, Y., Xiong, Y., Gao, X., Jia, K., Pan, J., Bi, Y., Dai, Y., Sun, J., y Wang, H. (2023). Retrieval-augmented generation for large language models: A survey. arXiv. https://arxiv.org/abs/2312.10997</w:t>
      </w:r>
    </w:p>
    <w:p>
      <w:pPr>
        <w:spacing w:before="0" w:after="120" w:line="360" w:lineRule="auto"/>
        <w:ind w:left="720" w:hanging="720"/>
        <w:jc w:val="left"/>
      </w:pPr>
      <w:r>
        <w:rPr>
          <w:rFonts w:ascii="Times New Roman" w:hAnsi="Times New Roman"/>
          <w:b w:val="0"/>
          <w:i w:val="0"/>
          <w:sz w:val="20"/>
        </w:rPr>
        <w:t>Garzón-Quiroz, M., Del Campo-Saltos, G., y Loor-Ávila, B. (2025). Análisis sistemático sobre la eficiencia comunicativa entre chatbots basados en reglas y modelos de lenguaje natural. Universitas-XXI, Revista de Ciencias Sociales y Humanas, 42, 167-192. https://doi.org/10.17163/uni.n42.2025.07</w:t>
      </w:r>
    </w:p>
    <w:p>
      <w:pPr>
        <w:spacing w:before="0" w:after="120" w:line="360" w:lineRule="auto"/>
        <w:ind w:left="720" w:hanging="720"/>
        <w:jc w:val="left"/>
      </w:pPr>
      <w:r>
        <w:rPr>
          <w:rFonts w:ascii="Times New Roman" w:hAnsi="Times New Roman"/>
          <w:b w:val="0"/>
          <w:i w:val="0"/>
          <w:sz w:val="20"/>
        </w:rPr>
        <w:t>Hevner, A. R., March, S. T., Park, J., y Ram, S. (2004). Design science in information systems research. MIS Quarterly, 28(1), 75-105. https://doi.org/10.2307/25148625</w:t>
      </w:r>
    </w:p>
    <w:p>
      <w:pPr>
        <w:spacing w:before="0" w:after="120" w:line="360" w:lineRule="auto"/>
        <w:ind w:left="720" w:hanging="720"/>
        <w:jc w:val="left"/>
      </w:pPr>
      <w:r>
        <w:rPr>
          <w:rFonts w:ascii="Times New Roman" w:hAnsi="Times New Roman"/>
          <w:b w:val="0"/>
          <w:i w:val="0"/>
          <w:sz w:val="20"/>
        </w:rPr>
        <w:t>Jiang, A. Q., Sablayrolles, A., Mensch, A., Bamford, C., Chaplot, D. S., de las Casas, D., Bressand, F., Lengyel, G., Lample, G., Saulnier, L., Lavaud, L. R., Lachaux, M.-A., Stock, P., Le Scao, T., Lavril, T., Wang, T., Lacroix, T., y El Sayed, W. (2023). Mistral 7B. arXiv. https://arxiv.org/abs/2310.06825</w:t>
      </w:r>
    </w:p>
    <w:p>
      <w:pPr>
        <w:spacing w:before="0" w:after="120" w:line="360" w:lineRule="auto"/>
        <w:ind w:left="720" w:hanging="720"/>
        <w:jc w:val="left"/>
      </w:pPr>
      <w:r>
        <w:rPr>
          <w:rFonts w:ascii="Times New Roman" w:hAnsi="Times New Roman"/>
          <w:b w:val="0"/>
          <w:i w:val="0"/>
          <w:sz w:val="20"/>
        </w:rPr>
        <w:t>Johnson, J., Douze, M., y Jégou, H. (2019). Billion-scale similarity search with GPUs. IEEE Transactions on Big Data, 7(3), 535-547. https://doi.org/10.1109/TBDATA.2019.2921572</w:t>
      </w:r>
    </w:p>
    <w:p>
      <w:pPr>
        <w:spacing w:before="0" w:after="120" w:line="360" w:lineRule="auto"/>
        <w:ind w:left="720" w:hanging="720"/>
        <w:jc w:val="left"/>
      </w:pPr>
      <w:r>
        <w:rPr>
          <w:rFonts w:ascii="Times New Roman" w:hAnsi="Times New Roman"/>
          <w:b w:val="0"/>
          <w:i w:val="0"/>
          <w:sz w:val="20"/>
        </w:rPr>
        <w:t>Lambda, Inc. (s. f.). GPU cloud instances. Recuperado el 4 de octubre de 2026, de https://lambda.ai/instances</w:t>
      </w:r>
    </w:p>
    <w:p>
      <w:pPr>
        <w:spacing w:before="0" w:after="120" w:line="360" w:lineRule="auto"/>
        <w:ind w:left="720" w:hanging="720"/>
        <w:jc w:val="left"/>
      </w:pPr>
      <w:r>
        <w:rPr>
          <w:rFonts w:ascii="Times New Roman" w:hAnsi="Times New Roman"/>
          <w:b w:val="0"/>
          <w:i w:val="0"/>
          <w:sz w:val="20"/>
        </w:rPr>
        <w:t>Lewis, P., Perez, E., Piktus, A., Petroni, F., Karpukhin, V., Goyal, N., Küttler, H., Lewis, M., Yih, W., Rocktäschel, T., Riedel, S., y Kiela, D. (2020). Retrieval-augmented generation for knowledge-intensive NLP tasks. En Advances in Neural Information Processing Systems (Vol. 33, pp. 9459-9474). Curran Associates.</w:t>
      </w:r>
    </w:p>
    <w:p>
      <w:pPr>
        <w:spacing w:before="0" w:after="120" w:line="360" w:lineRule="auto"/>
        <w:ind w:left="720" w:hanging="720"/>
        <w:jc w:val="left"/>
      </w:pPr>
      <w:r>
        <w:rPr>
          <w:rFonts w:ascii="Times New Roman" w:hAnsi="Times New Roman"/>
          <w:b w:val="0"/>
          <w:i w:val="0"/>
          <w:sz w:val="20"/>
        </w:rPr>
        <w:t>Li, F., Wang, Y., Xu, Y., Wang, S., Liang, J., y Chen, Z. (2024). Performance evaluations of large language models for customer service. International Journal of Machine Learning and Cybernetics. https://doi.org/10.1007/s13042-024-02432-9</w:t>
      </w:r>
    </w:p>
    <w:p>
      <w:pPr>
        <w:spacing w:before="0" w:after="120" w:line="360" w:lineRule="auto"/>
        <w:ind w:left="720" w:hanging="720"/>
        <w:jc w:val="left"/>
      </w:pPr>
      <w:r>
        <w:rPr>
          <w:rFonts w:ascii="Times New Roman" w:hAnsi="Times New Roman"/>
          <w:b w:val="0"/>
          <w:i w:val="0"/>
          <w:sz w:val="20"/>
        </w:rPr>
        <w:t>Lin, C.-Y. (2004). ROUGE: A package for automatic evaluation of summaries. En Text Summarization Branches Out (pp. 74-81). Association for Computational Linguistics.</w:t>
      </w:r>
    </w:p>
    <w:p>
      <w:pPr>
        <w:spacing w:before="0" w:after="120" w:line="360" w:lineRule="auto"/>
        <w:ind w:left="720" w:hanging="720"/>
        <w:jc w:val="left"/>
      </w:pPr>
      <w:r>
        <w:rPr>
          <w:rFonts w:ascii="Times New Roman" w:hAnsi="Times New Roman"/>
          <w:b w:val="0"/>
          <w:i w:val="0"/>
          <w:sz w:val="20"/>
        </w:rPr>
        <w:t>NVIDIA Corporation. (s. f.). GeForce RTX 3080 family of graphics cards. Recuperado el 4 de octubre de 2026, de https://www.nvidia.com/en-us/geforce/graphics-cards/30-series/rtx-3080-3080ti/</w:t>
      </w:r>
    </w:p>
    <w:p>
      <w:pPr>
        <w:spacing w:before="0" w:after="120" w:line="360" w:lineRule="auto"/>
        <w:ind w:left="720" w:hanging="720"/>
        <w:jc w:val="left"/>
      </w:pPr>
      <w:r>
        <w:rPr>
          <w:rFonts w:ascii="Times New Roman" w:hAnsi="Times New Roman"/>
          <w:b w:val="0"/>
          <w:i w:val="0"/>
          <w:sz w:val="20"/>
        </w:rPr>
        <w:t>OpenAI. (s. f.). GPT-4o mini model. Recuperado el 4 de octubre de 2026, de https://developers.openai.com/api/docs/models/gpt-4o-mini</w:t>
      </w:r>
    </w:p>
    <w:p>
      <w:pPr>
        <w:spacing w:before="0" w:after="120" w:line="360" w:lineRule="auto"/>
        <w:ind w:left="720" w:hanging="720"/>
        <w:jc w:val="left"/>
      </w:pPr>
      <w:r>
        <w:rPr>
          <w:rFonts w:ascii="Times New Roman" w:hAnsi="Times New Roman"/>
          <w:b w:val="0"/>
          <w:i w:val="0"/>
          <w:sz w:val="20"/>
        </w:rPr>
        <w:t>Papineni, K., Roukos, S., Ward, T., y Zhu, W.-J. (2002). BLEU: A method for automatic evaluation of machine translation. En Proceedings of the 40th Annual Meeting of the Association for Computational Linguistics (pp. 311-318). Association for Computational Linguistics.</w:t>
      </w:r>
    </w:p>
    <w:p>
      <w:pPr>
        <w:spacing w:before="0" w:after="120" w:line="360" w:lineRule="auto"/>
        <w:ind w:left="720" w:hanging="720"/>
        <w:jc w:val="left"/>
      </w:pPr>
      <w:r>
        <w:rPr>
          <w:rFonts w:ascii="Times New Roman" w:hAnsi="Times New Roman"/>
          <w:b w:val="0"/>
          <w:i w:val="0"/>
          <w:sz w:val="20"/>
        </w:rPr>
        <w:t>Touvron, H., Martin, L., Stone, K., Albert, P., Almahairi, A., Babaei, Y., Bashlykov, N., Batra, S., Bhargava, P., Bhosale, S., Bikel, D., Blecher, L., Canton Ferrer, C., Chen, M., Cucurull, G., Esiobu, D., Fernandes, J., Fu, J., Fu, W., … Scialom, T. (2023). Llama 2: Open foundation and fine-tuned chat models. arXiv. https://arxiv.org/abs/2307.09288</w:t>
      </w:r>
    </w:p>
    <w:p>
      <w:pPr>
        <w:spacing w:before="0" w:after="120" w:line="360" w:lineRule="auto"/>
        <w:ind w:left="720" w:hanging="720"/>
        <w:jc w:val="left"/>
      </w:pPr>
      <w:r>
        <w:rPr>
          <w:rFonts w:ascii="Times New Roman" w:hAnsi="Times New Roman"/>
          <w:b w:val="0"/>
          <w:i w:val="0"/>
          <w:sz w:val="20"/>
        </w:rPr>
        <w:t>U.S. Energy Information Administration. (2026). Table 5.6.A. Average price of electricity to ultimate customers by end-use sector, by state, July 2026 and 2025. Electric Power Monthly. https://www.eia.gov/electricity/monthly/epm_table_grapher.php?t=epmt_5_6_a</w:t>
      </w:r>
    </w:p>
    <w:p>
      <w:pPr>
        <w:spacing w:before="0" w:after="120" w:line="360" w:lineRule="auto"/>
        <w:ind w:left="720" w:hanging="720"/>
        <w:jc w:val="left"/>
      </w:pPr>
      <w:r>
        <w:rPr>
          <w:rFonts w:ascii="Times New Roman" w:hAnsi="Times New Roman"/>
          <w:b w:val="0"/>
          <w:i w:val="0"/>
          <w:sz w:val="20"/>
        </w:rPr>
        <w:t>Vaswani, A., Shazeer, N., Parmar, N., Uszkoreit, J., Jones, L., Gomez, A. N., Kaiser, Ł., y Polosukhin, I. (2017). Attention is all you need. En Advances in Neural Information Processing Systems (Vol. 30, pp. 5998-6008). Curran Associates.</w:t>
      </w:r>
    </w:p>
    <w:p>
      <w:pPr>
        <w:spacing w:before="0" w:after="120" w:line="360" w:lineRule="auto"/>
        <w:ind w:left="720" w:hanging="720"/>
        <w:jc w:val="left"/>
      </w:pPr>
      <w:r>
        <w:rPr>
          <w:rFonts w:ascii="Times New Roman" w:hAnsi="Times New Roman"/>
          <w:b w:val="0"/>
          <w:i w:val="0"/>
          <w:sz w:val="20"/>
        </w:rPr>
        <w:t>Vega, A. A., Zambrano, F. D., Cartuche, J. J., y Hernández, D. L. (2025). Desarrollo de un chatbot inteligente con LLM para diagnóstico médico de la enfermedad pulmonar obstructiva crónica. Revista Espacios, 46(6), 196-207. https://doi.org/10.48082/espacios-a25v46n06p17</w:t>
      </w:r>
    </w:p>
    <w:p>
      <w:pPr>
        <w:spacing w:before="0" w:after="120" w:line="360" w:lineRule="auto"/>
        <w:ind w:left="720" w:hanging="720"/>
        <w:jc w:val="left"/>
      </w:pPr>
      <w:r>
        <w:rPr>
          <w:rFonts w:ascii="Times New Roman" w:hAnsi="Times New Roman"/>
          <w:b w:val="0"/>
          <w:i w:val="0"/>
          <w:sz w:val="20"/>
        </w:rPr>
        <w:t>Zaharia, M., Xin, R. S., Wendell, P., Das, T., Armbrust, M., Dave, A., Meng, X., Rosen, J., Venkataraman, S., Franklin, M. J., Ghodsi, A., Gonzalez, J., Shenker, S., y Stoica, I. (2016). Apache Spark: A unified engine for big data processing. Communications of the ACM, 59(11), 56-65. https://doi.org/10.1145/2934664</w:t>
      </w:r>
    </w:p>
    <w:p>
      <w:pPr>
        <w:spacing w:before="0" w:after="120" w:line="360" w:lineRule="auto"/>
        <w:ind w:left="720" w:hanging="720"/>
        <w:jc w:val="left"/>
      </w:pPr>
      <w:r>
        <w:rPr>
          <w:rFonts w:ascii="Times New Roman" w:hAnsi="Times New Roman"/>
          <w:b w:val="0"/>
          <w:i w:val="0"/>
          <w:sz w:val="20"/>
        </w:rPr>
        <w:t>Zhang, T., Kishore, V., Wu, F., Weinberger, K. Q., y Artzi, Y. (2020). BERTScore: Evaluating text generation with BERT. En 8th International Conference on Learning Representations (ICLR 2020). OpenReview.</w:t>
      </w:r>
    </w:p>
    <w:p>
      <w:pPr>
        <w:spacing w:before="0" w:after="120" w:line="360" w:lineRule="auto"/>
        <w:ind w:left="720" w:hanging="720"/>
        <w:jc w:val="left"/>
      </w:pPr>
      <w:r>
        <w:rPr>
          <w:rFonts w:ascii="Times New Roman" w:hAnsi="Times New Roman"/>
          <w:b w:val="0"/>
          <w:i w:val="0"/>
          <w:sz w:val="20"/>
        </w:rPr>
        <w:t>Zheng, L., Chiang, W.-L., Sheng, Y., Zhuang, S., Wu, Z., Zhuang, Y., Lin, Z., Li, Z., Li, D., Xing, E. P., Zhang, H., Gonzalez, J. E., y Stoica, I. (2023). Judging LLM-as-a-judge with MT-Bench and Chatbot Arena. En Advances in Neural Information Processing Systems (Vol. 36). Curran Associates.</w:t>
      </w:r>
    </w:p>
    <w:p w:rsidR="00000000" w:rsidDel="00000000" w:rsidP="00000000" w:rsidRDefault="00000000" w:rsidRPr="00000000" w14:paraId="0000017E">
      <w:pPr>
        <w:pStyle w:val="Heading1"/>
        <w:pageBreakBefore/>
        <w:spacing w:after="200" w:before="400" w:lineRule="auto"/>
        <w:jc w:val="center"/>
        <w:rPr/>
      </w:pPr>
      <w:bookmarkStart w:colFirst="0" w:colLast="0" w:name="_1q0j1q3m5z1k" w:id="33"/>
      <w:bookmarkEnd w:id="33"/>
      <w:r w:rsidDel="00000000" w:rsidR="00000000" w:rsidRPr="00000000">
        <w:rPr>
          <w:rtl w:val="0"/>
        </w:rPr>
        <w:t xml:space="preserve">Anexos y Acrónimos</w:t>
      </w:r>
    </w:p>
    <w:p w:rsidR="00000000" w:rsidDel="00000000" w:rsidP="00000000" w:rsidRDefault="00000000" w:rsidRPr="00000000" w14:paraId="0000017F">
      <w:pPr>
        <w:spacing w:after="0" w:before="0" w:line="360" w:lineRule="auto"/>
        <w:rPr/>
      </w:pPr>
      <w:r w:rsidDel="00000000" w:rsidR="00000000" w:rsidRPr="00000000">
        <w:rPr>
          <w:rtl w:val="0"/>
        </w:rPr>
      </w:r>
    </w:p>
    <w:p w:rsidR="00000000" w:rsidDel="00000000" w:rsidP="00000000" w:rsidRDefault="00000000" w:rsidRPr="00000000" w14:paraId="00000180">
      <w:pPr>
        <w:spacing w:after="160" w:before="0" w:line="360" w:lineRule="auto"/>
        <w:jc w:val="both"/>
        <w:rPr/>
      </w:pPr>
      <w:r>
        <w:rPr>
          <w:rFonts w:ascii="Times New Roman" w:hAnsi="Times New Roman"/>
          <w:sz w:val="24"/>
        </w:rPr>
        <w:t>Archivos de resultados y auditoría disponibles en la carpeta proyecto del repositorio.</w:t>
      </w:r>
    </w:p>
    <w:p w:rsidR="00000000" w:rsidDel="00000000" w:rsidP="00000000" w:rsidRDefault="00000000" w:rsidRPr="00000000" w14:paraId="00000181">
      <w:pPr>
        <w:spacing w:after="0" w:before="0" w:line="360" w:lineRule="auto"/>
        <w:rPr/>
      </w:pPr>
      <w:r w:rsidDel="00000000" w:rsidR="00000000" w:rsidRPr="00000000">
        <w:rPr>
          <w:rtl w:val="0"/>
        </w:rPr>
      </w:r>
    </w:p>
    <w:p w:rsidR="00000000" w:rsidDel="00000000" w:rsidP="00000000" w:rsidRDefault="00000000" w:rsidRPr="00000000" w14:paraId="00000182">
      <w:pPr>
        <w:spacing w:after="160" w:before="0" w:line="360" w:lineRule="auto"/>
        <w:jc w:val="both"/>
        <w:rPr/>
      </w:pPr>
      <w:r>
        <w:rPr>
          <w:rFonts w:ascii="Times New Roman" w:hAnsi="Times New Roman"/>
          <w:sz w:val="24"/>
        </w:rPr>
        <w:t>Siglas utilizadas en el documento: LLM: Large Language Model | RAG: Retrieval-Augmented Generation | NLP: Natural Language Processing | DSR: Design Science Research | FAISS: Facebook AI Similarity Search | API: Application Programming Interface</w:t>
      </w:r>
    </w:p>
    <w:sectPr>
      <w:headerReference r:id="rId14"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scielo.org/scielo.php?script=sci_arttext&amp;pid=S0798-101520250" TargetMode="External"/><Relationship Id="rId10" Type="http://schemas.openxmlformats.org/officeDocument/2006/relationships/hyperlink" Target="https://ve.scielo.org/scielo.php?script=sci_arttext&amp;pid=S0798-101520250" TargetMode="External"/><Relationship Id="rId13" Type="http://schemas.openxmlformats.org/officeDocument/2006/relationships/hyperlink" Target="https://arxiv.org/abs/2404.17975" TargetMode="External"/><Relationship Id="rId12" Type="http://schemas.openxmlformats.org/officeDocument/2006/relationships/hyperlink" Target="https://scholarworks.lib.csusb.edu/etd/19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082/espacios-a25v46n06p17"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17163/uni.n42.2025.07" TargetMode="External"/><Relationship Id="rId8" Type="http://schemas.openxmlformats.org/officeDocument/2006/relationships/hyperlink" Target="https://www.redalyc.org/journal/4761/476181404007/html/" TargetMode="External"/><Relationship Id="rId15" Type="http://schemas.openxmlformats.org/officeDocument/2006/relationships/hyperlink" Target="https://huggingface.co/datasets/bitext/Bitext-customer-support-llm-chatbot-training-dataset" TargetMode="External"/><Relationship Id="rId16" Type="http://schemas.openxmlformats.org/officeDocument/2006/relationships/header" Target="header2.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