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59BFD" w14:textId="77777777" w:rsidR="00910F71" w:rsidRDefault="00543A90">
      <w:pPr>
        <w:spacing w:before="400" w:after="600"/>
        <w:jc w:val="center"/>
      </w:pPr>
      <w:r>
        <w:rPr>
          <w:noProof/>
        </w:rPr>
        <w:drawing>
          <wp:inline distT="0" distB="0" distL="0" distR="0" wp14:anchorId="51B995D5" wp14:editId="57B5FC78">
            <wp:extent cx="2476500" cy="1066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2476500" cy="1066800"/>
                    </a:xfrm>
                    <a:prstGeom prst="rect">
                      <a:avLst/>
                    </a:prstGeom>
                    <a:ln/>
                  </pic:spPr>
                </pic:pic>
              </a:graphicData>
            </a:graphic>
          </wp:inline>
        </w:drawing>
      </w:r>
    </w:p>
    <w:p w14:paraId="109E3931" w14:textId="77777777" w:rsidR="00910F71" w:rsidRDefault="00543A90">
      <w:pPr>
        <w:pStyle w:val="Ttulo"/>
        <w:spacing w:after="600"/>
        <w:jc w:val="center"/>
        <w:rPr>
          <w:sz w:val="38"/>
          <w:szCs w:val="38"/>
        </w:rPr>
      </w:pPr>
      <w:r>
        <w:rPr>
          <w:sz w:val="38"/>
        </w:rPr>
        <w:t>Evaluación comparativa de modelos LLM con RAG para atención al cliente</w:t>
      </w:r>
    </w:p>
    <w:p w14:paraId="2104BF14" w14:textId="77777777" w:rsidR="00910F71" w:rsidRDefault="00543A90">
      <w:pPr>
        <w:spacing w:after="160"/>
        <w:jc w:val="center"/>
      </w:pPr>
      <w:r>
        <w:t>Trabajo Final de Carrera presentado para obtener el título de</w:t>
      </w:r>
    </w:p>
    <w:p w14:paraId="4E233789" w14:textId="77777777" w:rsidR="00910F71" w:rsidRDefault="00543A90">
      <w:pPr>
        <w:spacing w:after="160"/>
        <w:jc w:val="center"/>
      </w:pPr>
      <w:r>
        <w:rPr>
          <w:b/>
          <w:bCs/>
        </w:rPr>
        <w:t>Licenciatura en Gestión de la Tecnología Informática</w:t>
      </w:r>
    </w:p>
    <w:p w14:paraId="3816515F" w14:textId="77777777" w:rsidR="00910F71" w:rsidRDefault="00910F71"/>
    <w:p w14:paraId="4B3C71BE" w14:textId="77777777" w:rsidR="00910F71" w:rsidRDefault="00543A90">
      <w:pPr>
        <w:spacing w:after="160"/>
        <w:jc w:val="center"/>
      </w:pPr>
      <w:r>
        <w:rPr>
          <w:b/>
          <w:bCs/>
          <w:i/>
          <w:iCs/>
        </w:rPr>
        <w:t>Segunda entrega</w:t>
      </w:r>
    </w:p>
    <w:p w14:paraId="68E463C2" w14:textId="77777777" w:rsidR="00910F71" w:rsidRDefault="00543A90">
      <w:pPr>
        <w:spacing w:after="160"/>
        <w:jc w:val="center"/>
      </w:pPr>
      <w:r>
        <w:rPr>
          <w:b/>
          <w:bCs/>
        </w:rPr>
        <w:t xml:space="preserve">Alumno: </w:t>
      </w:r>
      <w:r>
        <w:t>Juan Bautista Xifro</w:t>
      </w:r>
    </w:p>
    <w:p w14:paraId="1CD3EC3C" w14:textId="77777777" w:rsidR="00910F71" w:rsidRDefault="00543A90">
      <w:pPr>
        <w:spacing w:after="160"/>
        <w:jc w:val="center"/>
      </w:pPr>
      <w:r>
        <w:rPr>
          <w:b/>
          <w:bCs/>
        </w:rPr>
        <w:t xml:space="preserve">Profesora de Trabajo Final: </w:t>
      </w:r>
      <w:r>
        <w:t>Samela, Marcela Rosalba</w:t>
      </w:r>
    </w:p>
    <w:p w14:paraId="091A7CB6" w14:textId="77777777" w:rsidR="00910F71" w:rsidRDefault="00543A90">
      <w:pPr>
        <w:spacing w:after="160"/>
        <w:jc w:val="center"/>
      </w:pPr>
      <w:r>
        <w:rPr>
          <w:b/>
          <w:bCs/>
        </w:rPr>
        <w:t xml:space="preserve">Tutor técnico: </w:t>
      </w:r>
      <w:r>
        <w:t>No asignado</w:t>
      </w:r>
    </w:p>
    <w:p w14:paraId="582F0D76" w14:textId="77777777" w:rsidR="00910F71" w:rsidRDefault="00910F71">
      <w:pPr>
        <w:spacing w:after="160"/>
        <w:jc w:val="center"/>
      </w:pPr>
    </w:p>
    <w:p w14:paraId="20243C50" w14:textId="77777777" w:rsidR="00910F71" w:rsidRDefault="00543A90">
      <w:pPr>
        <w:spacing w:after="160"/>
        <w:jc w:val="center"/>
      </w:pPr>
      <w:r>
        <w:rPr>
          <w:b/>
          <w:bCs/>
        </w:rPr>
        <w:t>Versión: 2.0</w:t>
      </w:r>
    </w:p>
    <w:p w14:paraId="292A97BD" w14:textId="77777777" w:rsidR="00910F71" w:rsidRDefault="00543A90">
      <w:pPr>
        <w:spacing w:after="160"/>
        <w:jc w:val="center"/>
      </w:pPr>
      <w:r>
        <w:rPr>
          <w:b/>
          <w:bCs/>
        </w:rPr>
        <w:t>Fecha de actualización: 19 de octubre de 2026</w:t>
      </w:r>
    </w:p>
    <w:p w14:paraId="620BFCDC" w14:textId="77777777" w:rsidR="00910F71" w:rsidRDefault="00910F71"/>
    <w:p w14:paraId="00F05D8A" w14:textId="77777777" w:rsidR="00910F71" w:rsidRDefault="00543A90">
      <w:pPr>
        <w:spacing w:after="160"/>
        <w:jc w:val="center"/>
      </w:pPr>
      <w:r>
        <w:t>Universidad Abierta Interamericana (UAI)</w:t>
      </w:r>
    </w:p>
    <w:p w14:paraId="204133E7" w14:textId="77777777" w:rsidR="00910F71" w:rsidRDefault="00543A90">
      <w:pPr>
        <w:spacing w:after="160"/>
        <w:jc w:val="center"/>
        <w:sectPr w:rsidR="00910F71">
          <w:headerReference w:type="default" r:id="rId7"/>
          <w:pgSz w:w="12240" w:h="15840"/>
          <w:pgMar w:top="1440" w:right="1440" w:bottom="1440" w:left="1440" w:header="708" w:footer="708" w:gutter="0"/>
          <w:pgNumType w:start="1"/>
          <w:cols w:space="720"/>
        </w:sectPr>
      </w:pPr>
      <w:r>
        <w:t>Buenos Aires, 2026</w:t>
      </w:r>
    </w:p>
    <w:p w14:paraId="0070E450" w14:textId="77777777" w:rsidR="00910F71" w:rsidRDefault="00543A90" w:rsidP="00207C8A">
      <w:pPr>
        <w:pStyle w:val="Ttulo1"/>
        <w:spacing w:before="400" w:after="200"/>
        <w:jc w:val="center"/>
      </w:pPr>
      <w:bookmarkStart w:id="0" w:name="_c0e28rqma0nq" w:colFirst="0" w:colLast="0"/>
      <w:bookmarkStart w:id="1" w:name="_Toc243326927"/>
      <w:bookmarkEnd w:id="0"/>
      <w:r>
        <w:t>Índice</w:t>
      </w:r>
      <w:bookmarkEnd w:id="1"/>
    </w:p>
    <w:p>
      <w:pPr>
        <w:pStyle w:val="TDC1"/>
        <w:tabs>
          <w:tab w:pos="9000" w:val="right" w:leader="dot"/>
        </w:tabs>
        <w:spacing w:after="0"/>
      </w:pPr>
      <w:r>
        <w:t>Resumen</w:t>
      </w:r>
      <w:r>
        <w:tab/>
      </w:r>
      <w:r>
        <w:t>6</w:t>
      </w:r>
    </w:p>
    <w:p>
      <w:pPr>
        <w:pStyle w:val="TDC1"/>
        <w:tabs>
          <w:tab w:pos="9000" w:val="right" w:leader="dot"/>
        </w:tabs>
        <w:spacing w:after="0"/>
      </w:pPr>
      <w:r>
        <w:t>Capítulo 1 - Introducción</w:t>
      </w:r>
      <w:r>
        <w:tab/>
      </w:r>
      <w:r>
        <w:t>7</w:t>
      </w:r>
    </w:p>
    <w:p>
      <w:pPr>
        <w:pStyle w:val="TDC2"/>
        <w:tabs>
          <w:tab w:pos="9000" w:val="right" w:leader="dot"/>
        </w:tabs>
        <w:spacing w:after="0"/>
      </w:pPr>
      <w:r>
        <w:t>1.1 Identificación y Planteamiento del Problema</w:t>
      </w:r>
      <w:r>
        <w:tab/>
      </w:r>
      <w:r>
        <w:t>7</w:t>
      </w:r>
    </w:p>
    <w:p>
      <w:pPr>
        <w:pStyle w:val="TDC2"/>
        <w:tabs>
          <w:tab w:pos="9000" w:val="right" w:leader="dot"/>
        </w:tabs>
        <w:spacing w:after="0"/>
      </w:pPr>
      <w:r>
        <w:t>1.2 Pregunta de Investigación</w:t>
      </w:r>
      <w:r>
        <w:tab/>
      </w:r>
      <w:r>
        <w:t>8</w:t>
      </w:r>
    </w:p>
    <w:p>
      <w:pPr>
        <w:pStyle w:val="TDC2"/>
        <w:tabs>
          <w:tab w:pos="9000" w:val="right" w:leader="dot"/>
        </w:tabs>
        <w:spacing w:after="0"/>
      </w:pPr>
      <w:r>
        <w:t>1.3 Hipótesis de Investigación</w:t>
      </w:r>
      <w:r>
        <w:tab/>
      </w:r>
      <w:r>
        <w:t>8</w:t>
      </w:r>
    </w:p>
    <w:p>
      <w:pPr>
        <w:pStyle w:val="TDC3"/>
        <w:tabs>
          <w:tab w:pos="9000" w:val="right" w:leader="dot"/>
        </w:tabs>
        <w:spacing w:after="0"/>
      </w:pPr>
      <w:r>
        <w:t>Hipótesis 1 Calidad de respuesta con RAG</w:t>
      </w:r>
      <w:r>
        <w:tab/>
      </w:r>
      <w:r>
        <w:t>9</w:t>
      </w:r>
    </w:p>
    <w:p>
      <w:pPr>
        <w:pStyle w:val="TDC3"/>
        <w:tabs>
          <w:tab w:pos="9000" w:val="right" w:leader="dot"/>
        </w:tabs>
        <w:spacing w:after="0"/>
      </w:pPr>
      <w:r>
        <w:t>Hipótesis 2 Eficiencia de costos a escala</w:t>
      </w:r>
      <w:r>
        <w:tab/>
      </w:r>
      <w:r>
        <w:t>9</w:t>
      </w:r>
    </w:p>
    <w:p>
      <w:pPr>
        <w:pStyle w:val="TDC3"/>
        <w:tabs>
          <w:tab w:pos="9000" w:val="right" w:leader="dot"/>
        </w:tabs>
        <w:spacing w:after="0"/>
      </w:pPr>
      <w:r>
        <w:t>Hipótesis 3 Índice compuesto costo-calidad-latencia</w:t>
      </w:r>
      <w:r>
        <w:tab/>
      </w:r>
      <w:r>
        <w:t>9</w:t>
      </w:r>
    </w:p>
    <w:p>
      <w:pPr>
        <w:pStyle w:val="TDC2"/>
        <w:tabs>
          <w:tab w:pos="9000" w:val="right" w:leader="dot"/>
        </w:tabs>
        <w:spacing w:after="0"/>
      </w:pPr>
      <w:r>
        <w:t>1.4 Objetivos de la Investigación</w:t>
      </w:r>
      <w:r>
        <w:tab/>
      </w:r>
      <w:r>
        <w:t>10</w:t>
      </w:r>
    </w:p>
    <w:p>
      <w:pPr>
        <w:pStyle w:val="TDC3"/>
        <w:tabs>
          <w:tab w:pos="9000" w:val="right" w:leader="dot"/>
        </w:tabs>
        <w:spacing w:after="0"/>
      </w:pPr>
      <w:r>
        <w:t>1.4.1 Objetivo General</w:t>
      </w:r>
      <w:r>
        <w:tab/>
      </w:r>
      <w:r>
        <w:t>10</w:t>
      </w:r>
    </w:p>
    <w:p>
      <w:pPr>
        <w:pStyle w:val="TDC3"/>
        <w:tabs>
          <w:tab w:pos="9000" w:val="right" w:leader="dot"/>
        </w:tabs>
        <w:spacing w:after="0"/>
      </w:pPr>
      <w:r>
        <w:t>1.4.2 Objetivos Específicos</w:t>
      </w:r>
      <w:r>
        <w:tab/>
      </w:r>
      <w:r>
        <w:t>10</w:t>
      </w:r>
    </w:p>
    <w:p>
      <w:pPr>
        <w:pStyle w:val="TDC2"/>
        <w:tabs>
          <w:tab w:pos="9000" w:val="right" w:leader="dot"/>
        </w:tabs>
        <w:spacing w:after="0"/>
      </w:pPr>
      <w:r>
        <w:t>1.5 Justificación del Tema y Tipo de Trabajo</w:t>
      </w:r>
      <w:r>
        <w:tab/>
      </w:r>
      <w:r>
        <w:t>11</w:t>
      </w:r>
    </w:p>
    <w:p>
      <w:pPr>
        <w:pStyle w:val="TDC2"/>
        <w:tabs>
          <w:tab w:pos="9000" w:val="right" w:leader="dot"/>
        </w:tabs>
        <w:spacing w:after="0"/>
      </w:pPr>
      <w:r>
        <w:t>1.6 Estructura General de la Tesis</w:t>
      </w:r>
      <w:r>
        <w:tab/>
      </w:r>
      <w:r>
        <w:t>12</w:t>
      </w:r>
    </w:p>
    <w:p>
      <w:pPr>
        <w:pStyle w:val="TDC1"/>
        <w:tabs>
          <w:tab w:pos="9000" w:val="right" w:leader="dot"/>
        </w:tabs>
        <w:spacing w:after="0"/>
      </w:pPr>
      <w:r>
        <w:t>Capítulo 2 - Estado del Arte</w:t>
      </w:r>
      <w:r>
        <w:tab/>
      </w:r>
      <w:r>
        <w:t>13</w:t>
      </w:r>
    </w:p>
    <w:p>
      <w:pPr>
        <w:pStyle w:val="TDC2"/>
        <w:tabs>
          <w:tab w:pos="9000" w:val="right" w:leader="dot"/>
        </w:tabs>
        <w:spacing w:after="0"/>
      </w:pPr>
      <w:r>
        <w:t>2.1 Criterios y alcance de la revisión</w:t>
      </w:r>
      <w:r>
        <w:tab/>
      </w:r>
      <w:r>
        <w:t>13</w:t>
      </w:r>
    </w:p>
    <w:p>
      <w:pPr>
        <w:pStyle w:val="TDC2"/>
        <w:tabs>
          <w:tab w:pos="9000" w:val="right" w:leader="dot"/>
        </w:tabs>
        <w:spacing w:after="0"/>
      </w:pPr>
      <w:r>
        <w:t>2.2 De los chatbots basados en reglas a los modelos de lenguaje</w:t>
      </w:r>
      <w:r>
        <w:tab/>
      </w:r>
      <w:r>
        <w:t>14</w:t>
      </w:r>
    </w:p>
    <w:p>
      <w:pPr>
        <w:pStyle w:val="TDC2"/>
        <w:tabs>
          <w:tab w:pos="9000" w:val="right" w:leader="dot"/>
        </w:tabs>
        <w:spacing w:after="0"/>
      </w:pPr>
      <w:r>
        <w:t>2.3 Aplicaciones de LLM en servicios de atención y soporte</w:t>
      </w:r>
      <w:r>
        <w:tab/>
      </w:r>
      <w:r>
        <w:t>15</w:t>
      </w:r>
    </w:p>
    <w:p>
      <w:pPr>
        <w:pStyle w:val="TDC2"/>
        <w:tabs>
          <w:tab w:pos="9000" w:val="right" w:leader="dot"/>
        </w:tabs>
        <w:spacing w:after="0"/>
      </w:pPr>
      <w:r>
        <w:t>2.4 Evidencia de implementaciones empresariales con RAG</w:t>
      </w:r>
      <w:r>
        <w:tab/>
      </w:r>
      <w:r>
        <w:t>16</w:t>
      </w:r>
    </w:p>
    <w:p>
      <w:pPr>
        <w:pStyle w:val="TDC2"/>
        <w:tabs>
          <w:tab w:pos="9000" w:val="right" w:leader="dot"/>
        </w:tabs>
        <w:spacing w:after="0"/>
      </w:pPr>
      <w:r>
        <w:t>2.5 Comparación entre modelos propietarios y abiertos</w:t>
      </w:r>
      <w:r>
        <w:tab/>
      </w:r>
      <w:r>
        <w:t>17</w:t>
      </w:r>
    </w:p>
    <w:p>
      <w:pPr>
        <w:pStyle w:val="TDC2"/>
        <w:tabs>
          <w:tab w:pos="9000" w:val="right" w:leader="dot"/>
        </w:tabs>
        <w:spacing w:after="0"/>
      </w:pPr>
      <w:r>
        <w:t>2.6 Incorporación de conocimiento mediante RAG</w:t>
      </w:r>
      <w:r>
        <w:tab/>
      </w:r>
      <w:r>
        <w:t>18</w:t>
      </w:r>
    </w:p>
    <w:p>
      <w:pPr>
        <w:pStyle w:val="TDC2"/>
        <w:tabs>
          <w:tab w:pos="9000" w:val="right" w:leader="dot"/>
        </w:tabs>
        <w:spacing w:after="0"/>
      </w:pPr>
      <w:r>
        <w:t>2.7 Evaluación de sistemas RAG y calidad de respuesta</w:t>
      </w:r>
      <w:r>
        <w:tab/>
      </w:r>
      <w:r>
        <w:t>19</w:t>
      </w:r>
    </w:p>
    <w:p>
      <w:pPr>
        <w:pStyle w:val="TDC2"/>
        <w:tabs>
          <w:tab w:pos="9000" w:val="right" w:leader="dot"/>
        </w:tabs>
        <w:spacing w:after="0"/>
      </w:pPr>
      <w:r>
        <w:t>2.8 Fidelidad, alucinaciones y evaluación humana</w:t>
      </w:r>
      <w:r>
        <w:tab/>
      </w:r>
      <w:r>
        <w:t>20</w:t>
      </w:r>
    </w:p>
    <w:p>
      <w:pPr>
        <w:pStyle w:val="TDC2"/>
        <w:tabs>
          <w:tab w:pos="9000" w:val="right" w:leader="dot"/>
        </w:tabs>
        <w:spacing w:after="0"/>
      </w:pPr>
      <w:r>
        <w:t>2.9 Benchmarks de procesos completos de atención</w:t>
      </w:r>
      <w:r>
        <w:tab/>
      </w:r>
      <w:r>
        <w:t>21</w:t>
      </w:r>
    </w:p>
    <w:p>
      <w:pPr>
        <w:pStyle w:val="TDC2"/>
        <w:tabs>
          <w:tab w:pos="9000" w:val="right" w:leader="dot"/>
        </w:tabs>
        <w:spacing w:after="0"/>
      </w:pPr>
      <w:r>
        <w:t>2.10 Condiciones de validez y transferencia de los antecedentes</w:t>
      </w:r>
      <w:r>
        <w:tab/>
      </w:r>
      <w:r>
        <w:t>22</w:t>
      </w:r>
    </w:p>
    <w:p>
      <w:pPr>
        <w:pStyle w:val="TDC2"/>
        <w:tabs>
          <w:tab w:pos="9000" w:val="right" w:leader="dot"/>
        </w:tabs>
        <w:spacing w:after="0"/>
      </w:pPr>
      <w:r>
        <w:t>2.11 Limitaciones recurrentes de la evidencia disponible</w:t>
      </w:r>
      <w:r>
        <w:tab/>
      </w:r>
      <w:r>
        <w:t>24</w:t>
      </w:r>
    </w:p>
    <w:p>
      <w:pPr>
        <w:pStyle w:val="TDC2"/>
        <w:tabs>
          <w:tab w:pos="9000" w:val="right" w:leader="dot"/>
        </w:tabs>
        <w:spacing w:after="0"/>
      </w:pPr>
      <w:r>
        <w:t>2.12 Acuerdos, tensiones y vacío de conocimiento</w:t>
      </w:r>
      <w:r>
        <w:tab/>
      </w:r>
      <w:r>
        <w:t>26</w:t>
      </w:r>
    </w:p>
    <w:p>
      <w:pPr>
        <w:pStyle w:val="TDC1"/>
        <w:tabs>
          <w:tab w:pos="9000" w:val="right" w:leader="dot"/>
        </w:tabs>
        <w:spacing w:after="0"/>
      </w:pPr>
      <w:r>
        <w:t>Capítulo 3 - Marco Teórico</w:t>
      </w:r>
      <w:r>
        <w:tab/>
      </w:r>
      <w:r>
        <w:t>28</w:t>
      </w:r>
    </w:p>
    <w:p>
      <w:pPr>
        <w:pStyle w:val="TDC2"/>
        <w:tabs>
          <w:tab w:pos="9000" w:val="right" w:leader="dot"/>
        </w:tabs>
        <w:spacing w:after="0"/>
      </w:pPr>
      <w:r>
        <w:t>3.1 Modelos de Lenguaje de Gran Escala</w:t>
      </w:r>
      <w:r>
        <w:tab/>
      </w:r>
      <w:r>
        <w:t>28</w:t>
      </w:r>
    </w:p>
    <w:p>
      <w:pPr>
        <w:pStyle w:val="TDC2"/>
        <w:tabs>
          <w:tab w:pos="9000" w:val="right" w:leader="dot"/>
        </w:tabs>
        <w:spacing w:after="0"/>
      </w:pPr>
      <w:r>
        <w:t>3.2 Recuperación Aumentada con Generación</w:t>
      </w:r>
      <w:r>
        <w:tab/>
      </w:r>
      <w:r>
        <w:t>29</w:t>
      </w:r>
    </w:p>
    <w:p>
      <w:pPr>
        <w:pStyle w:val="TDC2"/>
        <w:tabs>
          <w:tab w:pos="9000" w:val="right" w:leader="dot"/>
        </w:tabs>
        <w:spacing w:after="0"/>
      </w:pPr>
      <w:r>
        <w:t>3.3 Métricas de Evaluación en NLP</w:t>
      </w:r>
      <w:r>
        <w:tab/>
      </w:r>
      <w:r>
        <w:t>30</w:t>
      </w:r>
    </w:p>
    <w:p>
      <w:pPr>
        <w:pStyle w:val="TDC2"/>
        <w:tabs>
          <w:tab w:pos="9000" w:val="right" w:leader="dot"/>
        </w:tabs>
        <w:spacing w:after="0"/>
      </w:pPr>
      <w:r>
        <w:t>3.4 Procesamiento reproducible de datos textuales</w:t>
      </w:r>
      <w:r>
        <w:tab/>
      </w:r>
      <w:r>
        <w:t>32</w:t>
      </w:r>
    </w:p>
    <w:p>
      <w:pPr>
        <w:pStyle w:val="TDC1"/>
        <w:tabs>
          <w:tab w:pos="9000" w:val="right" w:leader="dot"/>
        </w:tabs>
        <w:spacing w:after="0"/>
      </w:pPr>
      <w:r>
        <w:t>Capítulo 4 - Metodología de la Investigación</w:t>
      </w:r>
      <w:r>
        <w:tab/>
      </w:r>
      <w:r>
        <w:t>33</w:t>
      </w:r>
    </w:p>
    <w:p>
      <w:pPr>
        <w:pStyle w:val="TDC2"/>
        <w:tabs>
          <w:tab w:pos="9000" w:val="right" w:leader="dot"/>
        </w:tabs>
        <w:spacing w:after="0"/>
      </w:pPr>
      <w:r>
        <w:t>4.1 Paradigma y enfoque metodológico</w:t>
      </w:r>
      <w:r>
        <w:tab/>
      </w:r>
      <w:r>
        <w:t>33</w:t>
      </w:r>
    </w:p>
    <w:p>
      <w:pPr>
        <w:pStyle w:val="TDC2"/>
        <w:tabs>
          <w:tab w:pos="9000" w:val="right" w:leader="dot"/>
        </w:tabs>
        <w:spacing w:after="0"/>
      </w:pPr>
      <w:r>
        <w:t>4.2 Diseño de la investigación</w:t>
      </w:r>
      <w:r>
        <w:tab/>
      </w:r>
      <w:r>
        <w:t>33</w:t>
      </w:r>
    </w:p>
    <w:p>
      <w:pPr>
        <w:pStyle w:val="TDC2"/>
        <w:tabs>
          <w:tab w:pos="9000" w:val="right" w:leader="dot"/>
        </w:tabs>
        <w:spacing w:after="0"/>
      </w:pPr>
      <w:r>
        <w:t>4.3 Variables e instrumentos de medición</w:t>
      </w:r>
      <w:r>
        <w:tab/>
      </w:r>
      <w:r>
        <w:t>33</w:t>
      </w:r>
    </w:p>
    <w:p>
      <w:pPr>
        <w:pStyle w:val="TDC2"/>
        <w:tabs>
          <w:tab w:pos="9000" w:val="right" w:leader="dot"/>
        </w:tabs>
        <w:spacing w:after="0"/>
      </w:pPr>
      <w:r>
        <w:t>4.4 Dataset y corpus de datos</w:t>
      </w:r>
      <w:r>
        <w:tab/>
      </w:r>
      <w:r>
        <w:t>34</w:t>
      </w:r>
    </w:p>
    <w:p>
      <w:pPr>
        <w:pStyle w:val="TDC2"/>
        <w:tabs>
          <w:tab w:pos="9000" w:val="right" w:leader="dot"/>
        </w:tabs>
        <w:spacing w:after="0"/>
      </w:pPr>
      <w:r>
        <w:t>4.5 Recolección de datos y procedimiento experimental</w:t>
      </w:r>
      <w:r>
        <w:tab/>
      </w:r>
      <w:r>
        <w:t>34</w:t>
      </w:r>
    </w:p>
    <w:p>
      <w:pPr>
        <w:pStyle w:val="TDC2"/>
        <w:tabs>
          <w:tab w:pos="9000" w:val="right" w:leader="dot"/>
        </w:tabs>
        <w:spacing w:after="0"/>
      </w:pPr>
      <w:r>
        <w:t>4.6 Alcance y controles del piloto RAG</w:t>
      </w:r>
      <w:r>
        <w:tab/>
      </w:r>
      <w:r>
        <w:t>35</w:t>
      </w:r>
    </w:p>
    <w:p>
      <w:pPr>
        <w:pStyle w:val="TDC2"/>
        <w:tabs>
          <w:tab w:pos="9000" w:val="right" w:leader="dot"/>
        </w:tabs>
        <w:spacing w:after="0"/>
      </w:pPr>
      <w:r>
        <w:t>4.7 Modelo de costos y fuentes</w:t>
      </w:r>
      <w:r>
        <w:tab/>
      </w:r>
      <w:r>
        <w:t>35</w:t>
      </w:r>
    </w:p>
    <w:p>
      <w:pPr>
        <w:pStyle w:val="TDC2"/>
        <w:tabs>
          <w:tab w:pos="9000" w:val="right" w:leader="dot"/>
        </w:tabs>
        <w:spacing w:after="0"/>
      </w:pPr>
      <w:r>
        <w:t>4.8 Ampliación del experimento y evaluación humana</w:t>
      </w:r>
      <w:r>
        <w:tab/>
      </w:r>
      <w:r>
        <w:t>36</w:t>
      </w:r>
    </w:p>
    <w:p>
      <w:pPr>
        <w:pStyle w:val="TDC1"/>
        <w:tabs>
          <w:tab w:pos="9000" w:val="right" w:leader="dot"/>
        </w:tabs>
        <w:spacing w:after="0"/>
      </w:pPr>
      <w:r>
        <w:t>Capítulo 5 - Diseño del Framework</w:t>
      </w:r>
      <w:r>
        <w:tab/>
      </w:r>
      <w:r>
        <w:t>37</w:t>
      </w:r>
    </w:p>
    <w:p>
      <w:pPr>
        <w:pStyle w:val="TDC2"/>
        <w:tabs>
          <w:tab w:pos="9000" w:val="right" w:leader="dot"/>
        </w:tabs>
        <w:spacing w:after="0"/>
      </w:pPr>
      <w:r>
        <w:t>5.1 Arquitectura implementada</w:t>
      </w:r>
      <w:r>
        <w:tab/>
      </w:r>
      <w:r>
        <w:t>37</w:t>
      </w:r>
    </w:p>
    <w:p>
      <w:pPr>
        <w:pStyle w:val="TDC2"/>
        <w:tabs>
          <w:tab w:pos="9000" w:val="right" w:leader="dot"/>
        </w:tabs>
        <w:spacing w:after="0"/>
      </w:pPr>
      <w:r>
        <w:t>5.2 Recuperación vectorial</w:t>
      </w:r>
      <w:r>
        <w:tab/>
      </w:r>
      <w:r>
        <w:t>37</w:t>
      </w:r>
    </w:p>
    <w:p>
      <w:pPr>
        <w:pStyle w:val="TDC2"/>
        <w:tabs>
          <w:tab w:pos="9000" w:val="right" w:leader="dot"/>
        </w:tabs>
        <w:spacing w:after="0"/>
      </w:pPr>
      <w:r>
        <w:t>5.3 Control de contaminación</w:t>
      </w:r>
      <w:r>
        <w:tab/>
      </w:r>
      <w:r>
        <w:t>37</w:t>
      </w:r>
    </w:p>
    <w:p>
      <w:pPr>
        <w:pStyle w:val="TDC2"/>
        <w:tabs>
          <w:tab w:pos="9000" w:val="right" w:leader="dot"/>
        </w:tabs>
        <w:spacing w:after="0"/>
      </w:pPr>
      <w:r>
        <w:t>5.4 Estrategia multilingüe</w:t>
      </w:r>
      <w:r>
        <w:tab/>
      </w:r>
      <w:r>
        <w:t>37</w:t>
      </w:r>
    </w:p>
    <w:p>
      <w:pPr>
        <w:pStyle w:val="TDC2"/>
        <w:tabs>
          <w:tab w:pos="9000" w:val="right" w:leader="dot"/>
        </w:tabs>
        <w:spacing w:after="0"/>
      </w:pPr>
      <w:r>
        <w:t>5.5 Diseño de la medición de costos</w:t>
      </w:r>
      <w:r>
        <w:tab/>
      </w:r>
      <w:r>
        <w:t>38</w:t>
      </w:r>
    </w:p>
    <w:p>
      <w:pPr>
        <w:pStyle w:val="TDC1"/>
        <w:tabs>
          <w:tab w:pos="9000" w:val="right" w:leader="dot"/>
        </w:tabs>
        <w:spacing w:after="0"/>
      </w:pPr>
      <w:r>
        <w:t>Capítulo 6 - Implementación y Prototipo</w:t>
      </w:r>
      <w:r>
        <w:tab/>
      </w:r>
      <w:r>
        <w:t>39</w:t>
      </w:r>
    </w:p>
    <w:p>
      <w:pPr>
        <w:pStyle w:val="TDC2"/>
        <w:tabs>
          <w:tab w:pos="9000" w:val="right" w:leader="dot"/>
        </w:tabs>
        <w:spacing w:after="0"/>
      </w:pPr>
      <w:r>
        <w:t>6.1 Entorno y modelos</w:t>
      </w:r>
      <w:r>
        <w:tab/>
      </w:r>
      <w:r>
        <w:t>39</w:t>
      </w:r>
    </w:p>
    <w:p>
      <w:pPr>
        <w:pStyle w:val="TDC2"/>
        <w:tabs>
          <w:tab w:pos="9000" w:val="right" w:leader="dot"/>
        </w:tabs>
        <w:spacing w:after="0"/>
      </w:pPr>
      <w:r>
        <w:t>6.2 Construcción del corpus RAG</w:t>
      </w:r>
      <w:r>
        <w:tab/>
      </w:r>
      <w:r>
        <w:t>39</w:t>
      </w:r>
    </w:p>
    <w:p>
      <w:pPr>
        <w:pStyle w:val="TDC2"/>
        <w:tabs>
          <w:tab w:pos="9000" w:val="right" w:leader="dot"/>
        </w:tabs>
        <w:spacing w:after="0"/>
      </w:pPr>
      <w:r>
        <w:t>6.3 Pipeline reproducible</w:t>
      </w:r>
      <w:r>
        <w:tab/>
      </w:r>
      <w:r>
        <w:t>39</w:t>
      </w:r>
    </w:p>
    <w:p>
      <w:pPr>
        <w:pStyle w:val="TDC2"/>
        <w:tabs>
          <w:tab w:pos="9000" w:val="right" w:leader="dot"/>
        </w:tabs>
        <w:spacing w:after="0"/>
      </w:pPr>
      <w:r>
        <w:t>6.4 Verificación técnica</w:t>
      </w:r>
      <w:r>
        <w:tab/>
      </w:r>
      <w:r>
        <w:t>40</w:t>
      </w:r>
    </w:p>
    <w:p>
      <w:pPr>
        <w:pStyle w:val="TDC2"/>
        <w:tabs>
          <w:tab w:pos="9000" w:val="right" w:leader="dot"/>
        </w:tabs>
        <w:spacing w:after="0"/>
      </w:pPr>
      <w:r>
        <w:t>6.5 Dashboard de resultados</w:t>
      </w:r>
      <w:r>
        <w:tab/>
      </w:r>
      <w:r>
        <w:t>40</w:t>
      </w:r>
    </w:p>
    <w:p>
      <w:pPr>
        <w:pStyle w:val="TDC1"/>
        <w:tabs>
          <w:tab w:pos="9000" w:val="right" w:leader="dot"/>
        </w:tabs>
        <w:spacing w:after="0"/>
      </w:pPr>
      <w:r>
        <w:t>Capítulo 7 - Experimentación y Resultados</w:t>
      </w:r>
      <w:r>
        <w:tab/>
      </w:r>
      <w:r>
        <w:t>41</w:t>
      </w:r>
    </w:p>
    <w:p>
      <w:pPr>
        <w:pStyle w:val="TDC2"/>
        <w:tabs>
          <w:tab w:pos="9000" w:val="right" w:leader="dot"/>
        </w:tabs>
        <w:spacing w:after="0"/>
      </w:pPr>
      <w:r>
        <w:t>7.1 Diseño del piloto controlado</w:t>
      </w:r>
      <w:r>
        <w:tab/>
      </w:r>
      <w:r>
        <w:t>41</w:t>
      </w:r>
    </w:p>
    <w:p>
      <w:pPr>
        <w:pStyle w:val="TDC2"/>
        <w:tabs>
          <w:tab w:pos="9000" w:val="right" w:leader="dot"/>
        </w:tabs>
        <w:spacing w:after="0"/>
      </w:pPr>
      <w:r>
        <w:t>7.2 Rendimiento del recuperador</w:t>
      </w:r>
      <w:r>
        <w:tab/>
      </w:r>
      <w:r>
        <w:t>41</w:t>
      </w:r>
    </w:p>
    <w:p>
      <w:pPr>
        <w:pStyle w:val="TDC2"/>
        <w:tabs>
          <w:tab w:pos="9000" w:val="right" w:leader="dot"/>
        </w:tabs>
        <w:spacing w:after="0"/>
      </w:pPr>
      <w:r>
        <w:t>7.3 Calidad por modelo y condición</w:t>
      </w:r>
      <w:r>
        <w:tab/>
      </w:r>
      <w:r>
        <w:t>41</w:t>
      </w:r>
    </w:p>
    <w:p>
      <w:pPr>
        <w:pStyle w:val="TDC2"/>
        <w:tabs>
          <w:tab w:pos="9000" w:val="right" w:leader="dot"/>
        </w:tabs>
        <w:spacing w:after="0"/>
      </w:pPr>
      <w:r>
        <w:t>7.4 Latencia, tokens y costos</w:t>
      </w:r>
      <w:r>
        <w:tab/>
      </w:r>
      <w:r>
        <w:t>42</w:t>
      </w:r>
    </w:p>
    <w:p>
      <w:pPr>
        <w:pStyle w:val="TDC2"/>
        <w:tabs>
          <w:tab w:pos="9000" w:val="right" w:leader="dot"/>
        </w:tabs>
        <w:spacing w:after="0"/>
      </w:pPr>
      <w:r>
        <w:t>7.5 Aciertos de recuperación y calidad</w:t>
      </w:r>
      <w:r>
        <w:tab/>
      </w:r>
      <w:r>
        <w:t>43</w:t>
      </w:r>
    </w:p>
    <w:p>
      <w:pPr>
        <w:pStyle w:val="TDC2"/>
        <w:tabs>
          <w:tab w:pos="9000" w:val="right" w:leader="dot"/>
        </w:tabs>
        <w:spacing w:after="0"/>
      </w:pPr>
      <w:r>
        <w:t>7.6 Discusión de las hipótesis en el piloto</w:t>
      </w:r>
      <w:r>
        <w:tab/>
      </w:r>
      <w:r>
        <w:t>43</w:t>
      </w:r>
    </w:p>
    <w:p>
      <w:pPr>
        <w:pStyle w:val="TDC2"/>
        <w:tabs>
          <w:tab w:pos="9000" w:val="right" w:leader="dot"/>
        </w:tabs>
        <w:spacing w:after="0"/>
      </w:pPr>
      <w:r>
        <w:t>7.7 Limitaciones del piloto</w:t>
      </w:r>
      <w:r>
        <w:tab/>
      </w:r>
      <w:r>
        <w:t>44</w:t>
      </w:r>
    </w:p>
    <w:p>
      <w:pPr>
        <w:pStyle w:val="TDC2"/>
        <w:tabs>
          <w:tab w:pos="9000" w:val="right" w:leader="dot"/>
        </w:tabs>
        <w:spacing w:after="0"/>
      </w:pPr>
      <w:r>
        <w:t>7.8 Experimento ampliado y visualización de resultados</w:t>
      </w:r>
      <w:r>
        <w:tab/>
      </w:r>
      <w:r>
        <w:t>44</w:t>
      </w:r>
    </w:p>
    <w:p>
      <w:pPr>
        <w:pStyle w:val="TDC1"/>
        <w:tabs>
          <w:tab w:pos="9000" w:val="right" w:leader="dot"/>
        </w:tabs>
        <w:spacing w:after="0"/>
      </w:pPr>
      <w:r>
        <w:t>Conclusiones</w:t>
      </w:r>
      <w:r>
        <w:tab/>
      </w:r>
      <w:r>
        <w:t>49</w:t>
      </w:r>
    </w:p>
    <w:p>
      <w:pPr>
        <w:pStyle w:val="TDC1"/>
        <w:tabs>
          <w:tab w:pos="9000" w:val="right" w:leader="dot"/>
        </w:tabs>
        <w:spacing w:after="0"/>
      </w:pPr>
      <w:r>
        <w:t>Líneas Futuras de Investigación</w:t>
      </w:r>
      <w:r>
        <w:tab/>
      </w:r>
      <w:r>
        <w:t>50</w:t>
      </w:r>
    </w:p>
    <w:p>
      <w:pPr>
        <w:pStyle w:val="TDC1"/>
        <w:tabs>
          <w:tab w:pos="9000" w:val="right" w:leader="dot"/>
        </w:tabs>
        <w:spacing w:after="0"/>
      </w:pPr>
      <w:r>
        <w:t>Referencias</w:t>
      </w:r>
      <w:r>
        <w:tab/>
      </w:r>
      <w:r>
        <w:t>51</w:t>
      </w:r>
    </w:p>
    <w:p>
      <w:pPr>
        <w:pStyle w:val="TDC1"/>
        <w:tabs>
          <w:tab w:pos="9000" w:val="right" w:leader="dot"/>
        </w:tabs>
        <w:spacing w:after="0"/>
      </w:pPr>
      <w:r>
        <w:t>Anexos y Acrónimos</w:t>
      </w:r>
      <w:r>
        <w:tab/>
      </w:r>
      <w:r>
        <w:t>56</w:t>
      </w:r>
    </w:p>
    <w:p w14:paraId="04B17673" w14:textId="77777777" w:rsidR="00583EA3" w:rsidRDefault="00AA566F">
      <w:pPr>
        <w:pageBreakBefore/>
        <w:spacing w:after="640"/>
      </w:pPr>
      <w:r>
        <w:rPr>
          <w:color w:val="2E75B6"/>
          <w:sz w:val="36"/>
        </w:rPr>
        <w:t>Índice de tablas</w:t>
      </w:r>
    </w:p>
    <w:p w14:paraId="592A670B" w14:textId="77777777" w:rsidR="00CB65F2" w:rsidRDefault="00CB65F2">
      <w:pPr>
        <w:tabs>
          <w:tab w:pos="9000" w:val="right" w:leader="dot"/>
        </w:tabs>
        <w:spacing w:after="140"/>
      </w:pPr>
      <w:r>
        <w:t>Tabla 1. Parámetros de costo utilizados en el piloto</w:t>
      </w:r>
      <w:r>
        <w:tab/>
      </w:r>
      <w:r>
        <w:t>38</w:t>
      </w:r>
    </w:p>
    <w:p w14:paraId="433E7BC5" w14:textId="77777777" w:rsidR="00CB65F2" w:rsidRDefault="00CB65F2">
      <w:pPr>
        <w:tabs>
          <w:tab w:pos="9000" w:val="right" w:leader="dot"/>
        </w:tabs>
        <w:spacing w:after="140"/>
      </w:pPr>
      <w:r>
        <w:t>Tabla 2. Auditoría y desempeño de recuperación del piloto</w:t>
      </w:r>
      <w:r>
        <w:tab/>
      </w:r>
      <w:r>
        <w:t>41</w:t>
      </w:r>
    </w:p>
    <w:p w14:paraId="77C2E311" w14:textId="77777777" w:rsidR="00CB65F2" w:rsidRDefault="00CB65F2">
      <w:pPr>
        <w:tabs>
          <w:tab w:pos="9000" w:val="right" w:leader="dot"/>
        </w:tabs>
        <w:spacing w:after="140"/>
      </w:pPr>
      <w:r>
        <w:t>Tabla 3. Calidad semántica en la comparación controlada del piloto</w:t>
      </w:r>
      <w:r>
        <w:tab/>
      </w:r>
      <w:r>
        <w:t>42</w:t>
      </w:r>
    </w:p>
    <w:p w14:paraId="0591AD13" w14:textId="77777777" w:rsidR="00CB65F2" w:rsidRDefault="00CB65F2">
      <w:pPr>
        <w:tabs>
          <w:tab w:pos="9000" w:val="right" w:leader="dot"/>
        </w:tabs>
        <w:spacing w:after="140"/>
      </w:pPr>
      <w:r>
        <w:t>Tabla 4. Eficiencia operativa en la comparación controlada del piloto</w:t>
      </w:r>
      <w:r>
        <w:tab/>
      </w:r>
      <w:r>
        <w:t>42</w:t>
      </w:r>
    </w:p>
    <w:p w14:paraId="3E246617" w14:textId="77777777" w:rsidR="00CB65F2" w:rsidRDefault="00CB65F2">
      <w:pPr>
        <w:tabs>
          <w:tab w:pos="9000" w:val="right" w:leader="dot"/>
        </w:tabs>
        <w:spacing w:after="140"/>
      </w:pPr>
      <w:r>
        <w:t>Tabla 5. Calidad media del piloto según Hit@3</w:t>
      </w:r>
      <w:r>
        <w:tab/>
      </w:r>
      <w:r>
        <w:t>43</w:t>
      </w:r>
    </w:p>
    <w:p w14:paraId="200D179F" w14:textId="77777777" w:rsidR="00CB65F2" w:rsidRDefault="00CB65F2">
      <w:pPr>
        <w:tabs>
          <w:tab w:pos="9000" w:val="right" w:leader="dot"/>
        </w:tabs>
        <w:spacing w:after="140"/>
      </w:pPr>
      <w:r>
        <w:t>Tabla 6. Resultados agregados del experimento ampliado en la condición RAG</w:t>
      </w:r>
      <w:r>
        <w:tab/>
      </w:r>
      <w:r>
        <w:t>45</w:t>
      </w:r>
    </w:p>
    <w:p w14:paraId="370AB50C" w14:textId="156D601E" w:rsidR="00583EA3" w:rsidRDefault="00AA566F">
      <w:pPr>
        <w:pageBreakBefore/>
        <w:spacing w:after="640"/>
      </w:pPr>
      <w:r>
        <w:rPr>
          <w:color w:val="2E75B6"/>
          <w:sz w:val="36"/>
        </w:rPr>
        <w:t>Índice de gráficos y figuras</w:t>
      </w:r>
    </w:p>
    <w:p w14:paraId="6389CE98" w14:textId="77777777" w:rsidR="00CB65F2" w:rsidRDefault="00CB65F2">
      <w:pPr>
        <w:tabs>
          <w:tab w:pos="9000" w:val="right" w:leader="dot"/>
        </w:tabs>
        <w:spacing w:after="140"/>
      </w:pPr>
      <w:r>
        <w:t>Figura 1. Dashboard del experimento ampliado</w:t>
      </w:r>
      <w:r>
        <w:tab/>
      </w:r>
      <w:r>
        <w:t>46</w:t>
      </w:r>
    </w:p>
    <w:p w14:paraId="595FD2E7" w14:textId="77777777" w:rsidR="00CB65F2" w:rsidRDefault="00CB65F2">
      <w:pPr>
        <w:tabs>
          <w:tab w:pos="9000" w:val="right" w:leader="dot"/>
        </w:tabs>
        <w:spacing w:after="140"/>
      </w:pPr>
      <w:r>
        <w:t>Figura 2. Calidad automática por modelo y condición</w:t>
      </w:r>
      <w:r>
        <w:tab/>
      </w:r>
      <w:r>
        <w:t>47</w:t>
      </w:r>
    </w:p>
    <w:p w14:paraId="1F945E6F" w14:textId="77777777" w:rsidR="00CB65F2" w:rsidRDefault="00CB65F2">
      <w:pPr>
        <w:tabs>
          <w:tab w:pos="9000" w:val="right" w:leader="dot"/>
        </w:tabs>
        <w:spacing w:after="140"/>
      </w:pPr>
      <w:r>
        <w:t>Figura 3. Relación entre latencia, costo y calidad en la condición RAG</w:t>
      </w:r>
      <w:r>
        <w:tab/>
      </w:r>
      <w:r>
        <w:t>48</w:t>
      </w:r>
    </w:p>
    <w:p w14:paraId="0DE8179A" w14:textId="4C2AC354" w:rsidR="00910F71" w:rsidRDefault="00543A90">
      <w:pPr>
        <w:pStyle w:val="Ttulo1"/>
        <w:pageBreakBefore/>
        <w:spacing w:before="400" w:after="200"/>
        <w:jc w:val="center"/>
      </w:pPr>
      <w:r>
        <w:t>Resumen</w:t>
      </w:r>
      <w:bookmarkEnd w:id="3"/>
    </w:p>
    <w:p w14:paraId="1BDE1456" w14:textId="77777777" w:rsidR="00207C8A" w:rsidRDefault="00207C8A" w:rsidP="00207C8A">
      <w:bookmarkStart w:id="4" w:name="_3e7j7c1hakti" w:colFirst="0" w:colLast="0"/>
      <w:bookmarkEnd w:id="4"/>
      <w:r>
        <w:t>Este Trabajo Final diseña y valida un framework comparativo para evaluar modelos de lenguaje aplicados al soporte al cliente. El artefacto integra calidad semántica, latencia y costo operativo, y compara una línea base sin recuperación con una configuración de Recuperación Aumentada con Generación (RAG).</w:t>
      </w:r>
    </w:p>
    <w:p w14:paraId="31BEF338" w14:textId="77777777" w:rsidR="00207C8A" w:rsidRDefault="00207C8A" w:rsidP="00207C8A"/>
    <w:p w14:paraId="05858C3B" w14:textId="77777777" w:rsidR="00207C8A" w:rsidRDefault="00207C8A" w:rsidP="00207C8A">
      <w:r>
        <w:t>El experimento ampliado utiliza 324 consultas en español tomadas del dataset Bitext, con 12 casos para cada una de sus 27 intenciones. Se evaluaron GPT-4o mini, LLaMA 3.1 8B y Mistral en condiciones con y sin RAG, lo que produjo 1.944 respuestas comparables. El recuperador alcanzó un Hit@1 de 81,8 % y un Hit@3 de 96,0 %.</w:t>
      </w:r>
    </w:p>
    <w:p w14:paraId="6F616196" w14:textId="77777777" w:rsidR="00207C8A" w:rsidRDefault="00207C8A" w:rsidP="00207C8A"/>
    <w:p w14:paraId="05E9B381" w14:textId="77777777" w:rsidR="00207C8A" w:rsidRDefault="00207C8A" w:rsidP="00207C8A">
      <w:r>
        <w:t>RAG mejoró de manera estadísticamente significativa BERTScore y ROUGE-L en los tres modelos. En la condición RAG, GPT-4o mini obtuvo el mayor BERTScore medio (0,7491), seguido por Mistral (0,7372) y LLaMA (0,7314). Mistral quedó dentro del margen de 0,02 definido para comparabilidad con GPT; LLaMA no lo hizo al considerar el intervalo de confianza completo. Los modelos abiertos tampoco presentaron menor costo estimado ni un índice compuesto superior al modelo propietario bajo el escenario cloud adoptado.</w:t>
      </w:r>
    </w:p>
    <w:p w14:paraId="719800A6" w14:textId="77777777" w:rsidR="00207C8A" w:rsidRDefault="00207C8A" w:rsidP="00207C8A"/>
    <w:p w14:paraId="6F5DE79F" w14:textId="77777777" w:rsidR="00207C8A" w:rsidRDefault="00207C8A" w:rsidP="00207C8A">
      <w:r>
        <w:t>Los resultados muestran que la incorporación de RAG mejora la calidad automática, pero aumenta la latencia y el costo. La evaluación humana ciega se encuentra preparada y pendiente de completarse, por lo que las conclusiones sobre utilidad, fidelidad y alucinaciones permanecen abiertas.</w:t>
      </w:r>
    </w:p>
    <w:p w14:paraId="69ECB94A" w14:textId="77777777" w:rsidR="00207C8A" w:rsidRDefault="00207C8A" w:rsidP="00207C8A">
      <w:r>
        <w:t>Palabras clave: atención al cliente, evaluación de modelos, modelos de lenguaje de gran escala, recuperación aumentada con generación, reproducibilidad</w:t>
      </w:r>
    </w:p>
    <w:p w14:paraId="008BC0C4" w14:textId="77777777" w:rsidR="00207C8A" w:rsidRDefault="00207C8A" w:rsidP="00207C8A"/>
    <w:p w14:paraId="0C6ED860" w14:textId="77777777" w:rsidR="00910F71" w:rsidRDefault="00543A90">
      <w:pPr>
        <w:pStyle w:val="Ttulo1"/>
        <w:pageBreakBefore/>
        <w:spacing w:before="400" w:after="200"/>
        <w:jc w:val="center"/>
      </w:pPr>
      <w:bookmarkStart w:id="5" w:name="_Toc243326929"/>
      <w:r>
        <w:t>Capítulo 1 - Introducción</w:t>
      </w:r>
      <w:bookmarkEnd w:id="5"/>
    </w:p>
    <w:p w14:paraId="136FA50F" w14:textId="77777777" w:rsidR="00910F71" w:rsidRDefault="00910F71"/>
    <w:p w14:paraId="3D1BE8AF" w14:textId="77777777" w:rsidR="00910F71" w:rsidRDefault="00543A90">
      <w:pPr>
        <w:pStyle w:val="Ttulo2"/>
        <w:spacing w:before="280" w:after="120"/>
      </w:pPr>
      <w:bookmarkStart w:id="6" w:name="_a0cvv8ir0wbh" w:colFirst="0" w:colLast="0"/>
      <w:bookmarkStart w:id="7" w:name="_Toc243326930"/>
      <w:bookmarkEnd w:id="6"/>
      <w:r>
        <w:t>1.1 Identificación y Planteamiento del Problema</w:t>
      </w:r>
      <w:bookmarkEnd w:id="7"/>
    </w:p>
    <w:p w14:paraId="72BA548E" w14:textId="77777777" w:rsidR="00910F71" w:rsidRDefault="00910F71"/>
    <w:p w14:paraId="714ABEF9" w14:textId="77777777" w:rsidR="00910F71" w:rsidRDefault="00543A90">
      <w:pPr>
        <w:spacing w:after="160"/>
        <w:jc w:val="both"/>
      </w:pPr>
      <w:r>
        <w:t>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como 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 Quiroz et al., 2025).</w:t>
      </w:r>
    </w:p>
    <w:p w14:paraId="5B8D4C2B" w14:textId="77777777" w:rsidR="00910F71" w:rsidRDefault="00910F71"/>
    <w:p w14:paraId="56AFF53F" w14:textId="77777777" w:rsidR="00910F71" w:rsidRDefault="00543A90">
      <w:pPr>
        <w:spacing w:after="160"/>
        <w:jc w:val="both"/>
      </w:pPr>
      <w:r>
        <w:t>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p>
    <w:p w14:paraId="376053BE" w14:textId="77777777" w:rsidR="00910F71" w:rsidRDefault="00910F71"/>
    <w:p w14:paraId="05798268" w14:textId="77777777" w:rsidR="00910F71" w:rsidRDefault="00543A90">
      <w:pPr>
        <w:spacing w:after="160"/>
        <w:jc w:val="both"/>
      </w:pPr>
      <w:r>
        <w:t>A esta dificultad se suma la cuestión del conocimiento organizacional, 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 sin embargo, su impacto varía significativamente según el modelo utilizado y esta dimensión no ha sido evaluada de forma integrada en la literatura existente (Vega et al., 2025).</w:t>
      </w:r>
    </w:p>
    <w:p w14:paraId="218C9637" w14:textId="77777777" w:rsidR="00910F71" w:rsidRDefault="00910F71"/>
    <w:p w14:paraId="296B8BEE" w14:textId="77777777" w:rsidR="00910F71" w:rsidRDefault="00543A90">
      <w:pPr>
        <w:spacing w:after="160"/>
        <w:jc w:val="both"/>
      </w:pPr>
      <w:r>
        <w:t>En síntesis, el problema que aborda esta investigación se configura en la intersección de tres dimensiones: la necesidad organizacional de automatizar el soporte al cliente, la diversidad de modelos LLM disponibles y la ausencia de un framework integrado y reproducible que contemple la calidad, el costo, la latencia y el impacto de RAG como variables simultáneas de evaluación.</w:t>
      </w:r>
    </w:p>
    <w:p w14:paraId="1DE3FC09" w14:textId="77777777" w:rsidR="00910F71" w:rsidRDefault="00910F71"/>
    <w:p w14:paraId="4E489F30" w14:textId="77777777" w:rsidR="00910F71" w:rsidRDefault="00543A90">
      <w:pPr>
        <w:pStyle w:val="Ttulo2"/>
        <w:spacing w:before="280" w:after="120"/>
      </w:pPr>
      <w:bookmarkStart w:id="8" w:name="_9ovq9tfge2xf" w:colFirst="0" w:colLast="0"/>
      <w:bookmarkStart w:id="9" w:name="_Toc243326931"/>
      <w:bookmarkEnd w:id="8"/>
      <w:r>
        <w:t>1.2 Pregunta de Investigación</w:t>
      </w:r>
      <w:bookmarkEnd w:id="9"/>
    </w:p>
    <w:p w14:paraId="530FDDF0" w14:textId="77777777" w:rsidR="00910F71" w:rsidRDefault="00910F71"/>
    <w:p w14:paraId="22C21070" w14:textId="77777777" w:rsidR="00910F71" w:rsidRDefault="00543A90">
      <w:pPr>
        <w:spacing w:after="160"/>
        <w:jc w:val="both"/>
      </w:pPr>
      <w:r>
        <w:t>La pregunta central que orienta este trabajo es:</w:t>
      </w:r>
    </w:p>
    <w:p w14:paraId="09FD60C6" w14:textId="77777777" w:rsidR="00910F71" w:rsidRDefault="00910F71"/>
    <w:p w14:paraId="5876355D" w14:textId="77777777" w:rsidR="00910F71" w:rsidRDefault="00543A90">
      <w:pPr>
        <w:pBdr>
          <w:left w:val="single" w:sz="12" w:space="10" w:color="7B0D1E"/>
        </w:pBdr>
        <w:spacing w:before="120" w:after="120"/>
        <w:ind w:left="720" w:right="720"/>
        <w:jc w:val="both"/>
      </w:pPr>
      <w:r>
        <w:rPr>
          <w:i/>
          <w:iCs/>
        </w:rPr>
        <w:t>¿En qué medida los modelos LLM de código abierto, potenciados con RAG sobre datos propios de la organización, alcanzan niveles de calidad de respuesta comparables a los de modelos propietarios, y qué diferencias presentan en términos de costo operativo y latencia, cuando se evalúan mediante un mismo protocolo reproducible sobre un corpus de soporte al cliente?</w:t>
      </w:r>
    </w:p>
    <w:p w14:paraId="49EA1BC8" w14:textId="77777777" w:rsidR="00910F71" w:rsidRDefault="00910F71"/>
    <w:p w14:paraId="3538B02F" w14:textId="77777777" w:rsidR="00910F71" w:rsidRDefault="00543A90">
      <w:pPr>
        <w:spacing w:after="160"/>
        <w:jc w:val="both"/>
      </w:pPr>
      <w:r>
        <w:t>De esta pregunta principal se derivan las siguientes preguntas secundarias:</w:t>
      </w:r>
    </w:p>
    <w:p w14:paraId="5ACBBD76" w14:textId="77777777" w:rsidR="00910F71" w:rsidRDefault="00910F71"/>
    <w:p w14:paraId="55302F28" w14:textId="77777777" w:rsidR="00910F71" w:rsidRDefault="00543A90">
      <w:pPr>
        <w:spacing w:after="80"/>
        <w:ind w:left="720" w:hanging="360"/>
      </w:pPr>
      <w:r>
        <w:t>• ¿Qué métricas de calidad semántica permiten discriminar el desempeño de los modelos LLM en tareas de soporte al cliente?</w:t>
      </w:r>
    </w:p>
    <w:p w14:paraId="348E02D3" w14:textId="77777777" w:rsidR="00910F71" w:rsidRDefault="00543A90">
      <w:pPr>
        <w:spacing w:after="80"/>
        <w:ind w:left="720" w:hanging="360"/>
      </w:pPr>
      <w:r>
        <w:t>• ¿Cuál es el impacto de la incorporación de RAG sobre datos propios en la calidad de respuesta de cada modelo evaluado?</w:t>
      </w:r>
    </w:p>
    <w:p w14:paraId="470F24B4" w14:textId="77777777" w:rsidR="00910F71" w:rsidRDefault="00543A90">
      <w:pPr>
        <w:spacing w:after="80"/>
        <w:ind w:left="720" w:hanging="360"/>
      </w:pPr>
      <w:r>
        <w:t>• ¿Cómo varía la relación costo calidad entre modelos propietarios y de código abierto a medida que escala el volumen de consultas?</w:t>
      </w:r>
    </w:p>
    <w:p w14:paraId="2AFFF53E" w14:textId="77777777" w:rsidR="00910F71" w:rsidRDefault="00543A90">
      <w:pPr>
        <w:spacing w:after="80"/>
        <w:ind w:left="720" w:hanging="360"/>
      </w:pPr>
      <w:r>
        <w:t>• ¿Qué perfil de modelo resulta más adecuado según las restricciones operativas (costo, latencia, volumen) de una organización?</w:t>
      </w:r>
    </w:p>
    <w:p w14:paraId="38701BEC" w14:textId="77777777" w:rsidR="00910F71" w:rsidRDefault="00910F71"/>
    <w:p w14:paraId="3FEC02C1" w14:textId="77777777" w:rsidR="00910F71" w:rsidRDefault="00543A90">
      <w:pPr>
        <w:pStyle w:val="Ttulo2"/>
        <w:spacing w:before="280" w:after="120"/>
      </w:pPr>
      <w:bookmarkStart w:id="10" w:name="_wlqqiwfxq7xz" w:colFirst="0" w:colLast="0"/>
      <w:bookmarkStart w:id="11" w:name="_Toc243326932"/>
      <w:bookmarkEnd w:id="10"/>
      <w:r>
        <w:t>1.3 Hipótesis de Investigación</w:t>
      </w:r>
      <w:bookmarkEnd w:id="11"/>
    </w:p>
    <w:p w14:paraId="5C326DAB" w14:textId="77777777" w:rsidR="00910F71" w:rsidRDefault="00910F71"/>
    <w:p w14:paraId="15A624DF" w14:textId="77777777" w:rsidR="00910F71" w:rsidRDefault="00543A90">
      <w:pPr>
        <w:spacing w:after="160"/>
        <w:jc w:val="both"/>
      </w:pPr>
      <w:r>
        <w:t>Para la presente investigación se formulan tres hipótesis:</w:t>
      </w:r>
    </w:p>
    <w:p w14:paraId="21E13A22" w14:textId="77777777" w:rsidR="00910F71" w:rsidRDefault="00910F71"/>
    <w:p w14:paraId="587FE9E4" w14:textId="77777777" w:rsidR="00910F71" w:rsidRDefault="00543A90">
      <w:pPr>
        <w:pStyle w:val="Ttulo3"/>
        <w:spacing w:before="240" w:after="240"/>
        <w:jc w:val="both"/>
      </w:pPr>
      <w:bookmarkStart w:id="12" w:name="_67xtz98jj70r" w:colFirst="0" w:colLast="0"/>
      <w:bookmarkStart w:id="13" w:name="_Toc243326933"/>
      <w:bookmarkEnd w:id="12"/>
      <w:r>
        <w:t>Hipótesis 1  Calidad de respuesta con RAG</w:t>
      </w:r>
      <w:bookmarkEnd w:id="13"/>
    </w:p>
    <w:p w14:paraId="3E3CAADE" w14:textId="77777777" w:rsidR="00910F71" w:rsidRDefault="00910F71"/>
    <w:p w14:paraId="3873D4B9" w14:textId="77777777" w:rsidR="00910F71" w:rsidRDefault="00543A90">
      <w:pPr>
        <w:spacing w:after="160"/>
        <w:jc w:val="both"/>
      </w:pPr>
      <w:r>
        <w:t>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p>
    <w:p w14:paraId="4EB4A163" w14:textId="77777777" w:rsidR="00910F71" w:rsidRDefault="00910F71"/>
    <w:p w14:paraId="02A02730" w14:textId="77777777" w:rsidR="00910F71" w:rsidRDefault="00543A90">
      <w:pPr>
        <w:pStyle w:val="Ttulo3"/>
        <w:spacing w:before="240" w:after="240"/>
        <w:jc w:val="both"/>
      </w:pPr>
      <w:bookmarkStart w:id="14" w:name="_w1dmls6wpuis" w:colFirst="0" w:colLast="0"/>
      <w:bookmarkStart w:id="15" w:name="_Toc243326934"/>
      <w:bookmarkEnd w:id="14"/>
      <w:r>
        <w:t>Hipótesis 2  Eficiencia de costos a escala</w:t>
      </w:r>
      <w:bookmarkEnd w:id="15"/>
    </w:p>
    <w:p w14:paraId="550C1635" w14:textId="77777777" w:rsidR="00910F71" w:rsidRDefault="00910F71"/>
    <w:p w14:paraId="4BBCCAD1" w14:textId="77777777" w:rsidR="00910F71" w:rsidRDefault="00543A90">
      <w:pPr>
        <w:spacing w:after="160"/>
        <w:jc w:val="both"/>
      </w:pPr>
      <w:r>
        <w:t>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14:paraId="24BDA36C" w14:textId="77777777" w:rsidR="00910F71" w:rsidRDefault="00910F71"/>
    <w:p w14:paraId="1A332481" w14:textId="77777777" w:rsidR="00910F71" w:rsidRDefault="00543A90">
      <w:pPr>
        <w:pStyle w:val="Ttulo3"/>
        <w:spacing w:before="240" w:after="240"/>
        <w:jc w:val="both"/>
      </w:pPr>
      <w:bookmarkStart w:id="16" w:name="_ozra8bxztd4j" w:colFirst="0" w:colLast="0"/>
      <w:bookmarkStart w:id="17" w:name="_Toc243326935"/>
      <w:bookmarkEnd w:id="16"/>
      <w:r>
        <w:t>Hipótesis 3  Índice compuesto costo-calidad-latencia</w:t>
      </w:r>
      <w:bookmarkEnd w:id="17"/>
    </w:p>
    <w:p w14:paraId="370C1A2B" w14:textId="77777777" w:rsidR="00910F71" w:rsidRDefault="00543A90">
      <w:pPr>
        <w:spacing w:before="240" w:after="240"/>
        <w:jc w:val="both"/>
        <w:rPr>
          <w:i/>
          <w:iCs/>
        </w:rPr>
      </w:pPr>
      <w:r>
        <w:rPr>
          <w:i/>
          <w:iCs/>
        </w:rPr>
        <w:t>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14:paraId="6654AB07" w14:textId="77777777" w:rsidR="00910F71" w:rsidRDefault="00910F71">
      <w:pPr>
        <w:spacing w:after="160"/>
        <w:jc w:val="both"/>
      </w:pPr>
    </w:p>
    <w:p w14:paraId="5932095A" w14:textId="77777777" w:rsidR="00910F71" w:rsidRDefault="00910F71"/>
    <w:p w14:paraId="6F9DAB6B" w14:textId="77777777" w:rsidR="00910F71" w:rsidRDefault="00543A90">
      <w:pPr>
        <w:spacing w:after="160"/>
        <w:jc w:val="both"/>
      </w:pPr>
      <w:r>
        <w:t>Las tres hipótesis serán sometidas a prueba empírica en la fase de experimentación, mediante pruebas estadísticas apropiadas según la distribución de los datos obtenidos, a determinar en dicha fase de análisis.</w:t>
      </w:r>
    </w:p>
    <w:p w14:paraId="0EC60D07" w14:textId="77777777" w:rsidR="00910F71" w:rsidRDefault="00543A90">
      <w:pPr>
        <w:spacing w:after="160"/>
        <w:jc w:val="both"/>
      </w:pPr>
      <w:r>
        <w:t>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p>
    <w:p w14:paraId="5EEE8169" w14:textId="77777777" w:rsidR="00910F71" w:rsidRDefault="00910F71"/>
    <w:p w14:paraId="7EE77800" w14:textId="77777777" w:rsidR="00910F71" w:rsidRDefault="00543A90">
      <w:pPr>
        <w:pStyle w:val="Ttulo2"/>
        <w:spacing w:before="280" w:after="120"/>
      </w:pPr>
      <w:bookmarkStart w:id="18" w:name="_mugszh5fmbq5" w:colFirst="0" w:colLast="0"/>
      <w:bookmarkStart w:id="19" w:name="_Toc243326936"/>
      <w:bookmarkEnd w:id="18"/>
      <w:r>
        <w:t>1.4 Objetivos de la Investigación</w:t>
      </w:r>
      <w:bookmarkEnd w:id="19"/>
    </w:p>
    <w:p w14:paraId="10F3968F" w14:textId="77777777" w:rsidR="00910F71" w:rsidRDefault="00910F71"/>
    <w:p w14:paraId="6BE3977B" w14:textId="77777777" w:rsidR="00910F71" w:rsidRDefault="00543A90">
      <w:pPr>
        <w:pStyle w:val="Ttulo3"/>
        <w:spacing w:before="240" w:after="240"/>
        <w:jc w:val="both"/>
      </w:pPr>
      <w:bookmarkStart w:id="20" w:name="_dfkjpqsdst84" w:colFirst="0" w:colLast="0"/>
      <w:bookmarkStart w:id="21" w:name="_Toc243326937"/>
      <w:bookmarkEnd w:id="20"/>
      <w:r>
        <w:t>1.4.1 Objetivo General</w:t>
      </w:r>
      <w:bookmarkEnd w:id="21"/>
    </w:p>
    <w:p w14:paraId="153737FB" w14:textId="77777777" w:rsidR="00910F71" w:rsidRDefault="00910F71"/>
    <w:p w14:paraId="026B5A0D" w14:textId="77777777" w:rsidR="00910F71" w:rsidRDefault="00543A90">
      <w:pPr>
        <w:spacing w:after="160"/>
        <w:jc w:val="both"/>
      </w:pPr>
      <w:r>
        <w:t>Diseñar, implementar y validar un framework comparativo de modelos LLM para el soporte al cliente automatizado, que evalúe simultáneamente la calidad semántica de las respuestas, el costo operativo y la latencia, y que permita medir el impacto de RAG sobre datos propios mediante un pipeline reproducible de ingesta, recuperación, generación y evaluación.</w:t>
      </w:r>
    </w:p>
    <w:p w14:paraId="6B6A4B3C" w14:textId="77777777" w:rsidR="00910F71" w:rsidRDefault="00910F71"/>
    <w:p w14:paraId="67D52493" w14:textId="77777777" w:rsidR="00910F71" w:rsidRDefault="00543A90">
      <w:pPr>
        <w:pStyle w:val="Ttulo3"/>
        <w:spacing w:before="240" w:after="240"/>
        <w:jc w:val="both"/>
      </w:pPr>
      <w:bookmarkStart w:id="22" w:name="_q76px3yw8zx7" w:colFirst="0" w:colLast="0"/>
      <w:bookmarkStart w:id="23" w:name="_Toc243326938"/>
      <w:bookmarkEnd w:id="22"/>
      <w:r>
        <w:t>1.4.2 Objetivos Específicos</w:t>
      </w:r>
      <w:bookmarkEnd w:id="23"/>
    </w:p>
    <w:p w14:paraId="76E8FBD5" w14:textId="77777777" w:rsidR="00910F71" w:rsidRDefault="00910F71"/>
    <w:p w14:paraId="631211D0" w14:textId="77777777" w:rsidR="00910F71" w:rsidRDefault="00543A90">
      <w:pPr>
        <w:spacing w:after="100"/>
        <w:ind w:left="720" w:hanging="360"/>
      </w:pPr>
      <w:r>
        <w:t>1. Construir un pipeline reproducible de ingesta, validación y preprocesamiento de consultas de soporte al cliente, capaz de normalizar datos externos mediante un esquema común y conservar su trazabilidad.</w:t>
      </w:r>
    </w:p>
    <w:p w14:paraId="47424715" w14:textId="77777777" w:rsidR="00910F71" w:rsidRDefault="00910F71"/>
    <w:p w14:paraId="54ADC765" w14:textId="77777777" w:rsidR="00910F71" w:rsidRDefault="00543A90">
      <w:pPr>
        <w:spacing w:after="100"/>
        <w:ind w:left="720" w:hanging="360"/>
      </w:pPr>
      <w:r>
        <w:t>2. Implementar un módulo de recuperación vectorial basado en embeddings y similitud coseno que incorpore conocimiento externo para contextualizar las respuestas de los modelos con datos propios de la organización.</w:t>
      </w:r>
    </w:p>
    <w:p w14:paraId="29C75492" w14:textId="77777777" w:rsidR="00910F71" w:rsidRDefault="00910F71"/>
    <w:p w14:paraId="5F042793" w14:textId="77777777" w:rsidR="00910F71" w:rsidRDefault="00543A90">
      <w:pPr>
        <w:spacing w:after="100"/>
        <w:ind w:left="720" w:hanging="360"/>
      </w:pPr>
      <w:r>
        <w:t>3. 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p>
    <w:p w14:paraId="3D6F17A2" w14:textId="77777777" w:rsidR="00910F71" w:rsidRDefault="00910F71"/>
    <w:p w14:paraId="69EA6489" w14:textId="77777777" w:rsidR="00910F71" w:rsidRDefault="00543A90">
      <w:pPr>
        <w:spacing w:after="100"/>
        <w:ind w:left="720" w:hanging="360"/>
      </w:pPr>
      <w:r>
        <w:t>4. Desarrollar un dashboard interactivo en Streamlit que consolide los resultados del análisis comparativo y genere una guía de selección de modelo según el perfil operativo de la organización.</w:t>
      </w:r>
    </w:p>
    <w:p w14:paraId="601FCEEF" w14:textId="77777777" w:rsidR="00910F71" w:rsidRDefault="00910F71"/>
    <w:p w14:paraId="3F5287A2" w14:textId="77777777" w:rsidR="00910F71" w:rsidRDefault="00543A90">
      <w:pPr>
        <w:pStyle w:val="Ttulo2"/>
        <w:spacing w:before="280" w:after="120"/>
      </w:pPr>
      <w:bookmarkStart w:id="24" w:name="_qi2j9ew9n21q" w:colFirst="0" w:colLast="0"/>
      <w:bookmarkStart w:id="25" w:name="_Toc243326939"/>
      <w:bookmarkEnd w:id="24"/>
      <w:r>
        <w:t>1.5 Justificación del Tema y Tipo de Trabajo</w:t>
      </w:r>
      <w:bookmarkEnd w:id="25"/>
    </w:p>
    <w:p w14:paraId="5C2A1F67" w14:textId="77777777" w:rsidR="00910F71" w:rsidRDefault="00910F71"/>
    <w:p w14:paraId="57038C2E" w14:textId="77777777" w:rsidR="00910F71" w:rsidRDefault="00543A90">
      <w:pPr>
        <w:spacing w:before="200" w:after="80"/>
      </w:pPr>
      <w:r>
        <w:rPr>
          <w:b/>
          <w:bCs/>
          <w:i/>
          <w:iCs/>
        </w:rPr>
        <w:t>Conveniencia y relevancia social</w:t>
      </w:r>
    </w:p>
    <w:p w14:paraId="3E25B1C7" w14:textId="77777777" w:rsidR="00910F71" w:rsidRDefault="00543A90">
      <w:pPr>
        <w:spacing w:after="160"/>
        <w:jc w:val="both"/>
      </w:pPr>
      <w:r>
        <w:t>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p>
    <w:p w14:paraId="4721FCCE" w14:textId="77777777" w:rsidR="00910F71" w:rsidRDefault="00910F71"/>
    <w:p w14:paraId="7DEC38AF" w14:textId="77777777" w:rsidR="00910F71" w:rsidRDefault="00543A90">
      <w:pPr>
        <w:spacing w:before="200" w:after="80"/>
      </w:pPr>
      <w:r>
        <w:rPr>
          <w:b/>
          <w:bCs/>
          <w:i/>
          <w:iCs/>
        </w:rPr>
        <w:t>Implicaciones prácticas</w:t>
      </w:r>
    </w:p>
    <w:p w14:paraId="6A478736" w14:textId="77777777" w:rsidR="00910F71" w:rsidRDefault="00543A90">
      <w:pPr>
        <w:spacing w:after="160"/>
        <w:jc w:val="both"/>
      </w:pPr>
      <w:r>
        <w:t>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p>
    <w:p w14:paraId="551B0359" w14:textId="77777777" w:rsidR="00910F71" w:rsidRDefault="00910F71"/>
    <w:p w14:paraId="085C5A48" w14:textId="77777777" w:rsidR="00910F71" w:rsidRDefault="00543A90">
      <w:pPr>
        <w:spacing w:before="200" w:after="80"/>
      </w:pPr>
      <w:r>
        <w:rPr>
          <w:b/>
          <w:bCs/>
          <w:i/>
          <w:iCs/>
        </w:rPr>
        <w:t>Valor teórico y utilidad metodológica</w:t>
      </w:r>
    </w:p>
    <w:p w14:paraId="5A0033AD" w14:textId="77777777" w:rsidR="00910F71" w:rsidRDefault="00543A90">
      <w:pPr>
        <w:spacing w:after="160"/>
        <w:jc w:val="both"/>
      </w:pPr>
      <w:r>
        <w:t xml:space="preserve">La literatura existente aborda la evaluación de LLMs para soporte al cliente de forma fragmentada, sin integrar las dimensiones de costo, latencia e impacto de RAG en un mismo sistema </w:t>
      </w:r>
      <w:r>
        <w:t>reproducible. Este trabajo cubre ese vacío y propone un marco metodológico replicable bajo el paradigma Design Science Research (Hevner et al., 2004).</w:t>
      </w:r>
    </w:p>
    <w:p w14:paraId="54CB648A" w14:textId="77777777" w:rsidR="00910F71" w:rsidRDefault="00910F71"/>
    <w:p w14:paraId="19DCE32B" w14:textId="77777777" w:rsidR="00910F71" w:rsidRDefault="00543A90">
      <w:pPr>
        <w:spacing w:before="200" w:after="80"/>
      </w:pPr>
      <w:r>
        <w:rPr>
          <w:b/>
          <w:bCs/>
          <w:i/>
          <w:iCs/>
        </w:rPr>
        <w:t>Tipo de trabajo</w:t>
      </w:r>
    </w:p>
    <w:p w14:paraId="4A03A4B7" w14:textId="77777777" w:rsidR="00910F71" w:rsidRDefault="00543A90">
      <w:pPr>
        <w:spacing w:after="160"/>
        <w:jc w:val="both"/>
      </w:pPr>
      <w:r>
        <w:t>El presente Trabajo Final se enmarca en la modalidad de Trabajo de Investigación, con un enfoque cuantitativo experimental. Produce un artefacto evaluable (el framework), formula hipótesis contrastables empíricamente y genera resultados generalizables, lo que lo posiciona en el paradigma Design Science Research (Hevner et al., 2004).</w:t>
      </w:r>
    </w:p>
    <w:p w14:paraId="08D2CDE3" w14:textId="77777777" w:rsidR="00910F71" w:rsidRDefault="00910F71"/>
    <w:p w14:paraId="1A3122EE" w14:textId="77777777" w:rsidR="00910F71" w:rsidRDefault="00543A90">
      <w:pPr>
        <w:pStyle w:val="Ttulo2"/>
        <w:spacing w:before="280" w:after="120"/>
      </w:pPr>
      <w:bookmarkStart w:id="26" w:name="_j7jawdn9aaox" w:colFirst="0" w:colLast="0"/>
      <w:bookmarkStart w:id="27" w:name="_Toc243326940"/>
      <w:bookmarkEnd w:id="26"/>
      <w:r>
        <w:t>1.6 Estructura General de la Tesis</w:t>
      </w:r>
      <w:bookmarkEnd w:id="27"/>
    </w:p>
    <w:p w14:paraId="6A15D768" w14:textId="77777777" w:rsidR="00910F71" w:rsidRDefault="00910F71"/>
    <w:p w14:paraId="62F58D8A" w14:textId="77777777" w:rsidR="00910F71" w:rsidRDefault="00543A90">
      <w:pPr>
        <w:spacing w:after="80"/>
        <w:ind w:left="720" w:hanging="360"/>
      </w:pPr>
      <w:r>
        <w:t>• El Capítulo 1 presenta la introducción completa: identificación del problema, pregunta de investigación, hipótesis, objetivos, justificación y estructura general del trabajo.</w:t>
      </w:r>
    </w:p>
    <w:p w14:paraId="0143E265" w14:textId="77777777" w:rsidR="00207C8A" w:rsidRDefault="00207C8A">
      <w:pPr>
        <w:spacing w:after="80"/>
        <w:ind w:left="720" w:hanging="360"/>
      </w:pPr>
      <w:r>
        <w:rPr>
          <w:rFonts w:ascii="Times New Roman" w:hAnsi="Times New Roman" w:cs="Times New Roman"/>
          <w:sz w:val="24"/>
        </w:rPr>
        <w:t>• El Capítulo 2 desarrolla el Estado del Arte mediante una síntesis argumentativa de antecedentes, acuerdos, tensiones y vacíos de conocimiento.</w:t>
      </w:r>
    </w:p>
    <w:p w14:paraId="2450E874" w14:textId="77777777" w:rsidR="00910F71" w:rsidRDefault="00543A90">
      <w:pPr>
        <w:spacing w:after="80"/>
        <w:ind w:left="720" w:hanging="360"/>
      </w:pPr>
      <w:r>
        <w:rPr>
          <w:rFonts w:ascii="Times New Roman" w:hAnsi="Times New Roman" w:cs="Times New Roman"/>
          <w:sz w:val="24"/>
        </w:rPr>
        <w:t>• El Capítulo 3 presenta el Marco Teórico sobre modelos de lenguaje, RAG, métricas de evaluación y procesamiento reproducible de datos textuales.</w:t>
      </w:r>
    </w:p>
    <w:p w14:paraId="4EF2609D" w14:textId="77777777" w:rsidR="00910F71" w:rsidRDefault="00543A90">
      <w:pPr>
        <w:spacing w:after="80"/>
        <w:ind w:left="720" w:hanging="360"/>
      </w:pPr>
      <w:r>
        <w:rPr>
          <w:rFonts w:ascii="Times New Roman" w:hAnsi="Times New Roman" w:cs="Times New Roman"/>
          <w:sz w:val="24"/>
        </w:rPr>
        <w:t>• El Capítulo 4 describe la metodología de la investigación: paradigma DSR, diseño experimental, variables, dataset y procedimiento.</w:t>
      </w:r>
    </w:p>
    <w:p w14:paraId="43714E66" w14:textId="77777777" w:rsidR="00910F71" w:rsidRDefault="00543A90">
      <w:pPr>
        <w:spacing w:after="80"/>
        <w:ind w:left="720" w:hanging="360"/>
      </w:pPr>
      <w:r>
        <w:rPr>
          <w:rFonts w:ascii="Times New Roman" w:hAnsi="Times New Roman" w:cs="Times New Roman"/>
          <w:sz w:val="24"/>
        </w:rPr>
        <w:t>• El Capítulo 5 detalla el diseño del framework: validación e ingesta mediante un esquema común, recuperación vectorial, generación y evaluación.</w:t>
      </w:r>
    </w:p>
    <w:p w14:paraId="6CD97BAA" w14:textId="77777777" w:rsidR="00910F71" w:rsidRDefault="00543A90">
      <w:pPr>
        <w:spacing w:after="80"/>
        <w:ind w:left="720" w:hanging="360"/>
      </w:pPr>
      <w:r>
        <w:rPr>
          <w:rFonts w:ascii="Times New Roman" w:hAnsi="Times New Roman" w:cs="Times New Roman"/>
          <w:sz w:val="24"/>
        </w:rPr>
        <w:t>• El Capítulo 6 describe la implementación y el prototipo funcional: stack tecnológico, configuración de modelos LLM y dashboard en Streamlit.</w:t>
      </w:r>
    </w:p>
    <w:p>
      <w:pPr/>
      <w:r>
        <w:t>• El Capítulo 7 presenta la experimentación y los resultados: diseño experimental, análisis comparativo y discusión de hipótesis.</w:t>
      </w:r>
    </w:p>
    <w:p w14:paraId="6E6A1613" w14:textId="77777777" w:rsidR="00910F71" w:rsidRDefault="00543A90">
      <w:pPr>
        <w:spacing w:after="80"/>
        <w:ind w:left="720" w:hanging="360"/>
      </w:pPr>
      <w:r>
        <w:t>• Las Conclusiones sintetizan los hallazgos y presentan la guía de selección de modelo.</w:t>
      </w:r>
    </w:p>
    <w:p w14:paraId="76DDD7B3" w14:textId="77777777" w:rsidR="00910F71" w:rsidRDefault="00543A90">
      <w:pPr>
        <w:spacing w:after="80"/>
        <w:ind w:left="720" w:hanging="360"/>
      </w:pPr>
      <w:r>
        <w:t>• Las Líneas Futuras de Investigación proponen continuaciones vinculadas a las limitaciones del trabajo.</w:t>
      </w:r>
    </w:p>
    <w:p w14:paraId="37A8F786" w14:textId="77777777" w:rsidR="00910F71" w:rsidRDefault="00543A90">
      <w:pPr>
        <w:spacing w:after="80"/>
        <w:ind w:left="720" w:hanging="360"/>
      </w:pPr>
      <w:r>
        <w:t>• Las Referencias, Anexos y Acrónimos completan el trabajo con bibliografía APA 7, código fuente y glosario.</w:t>
      </w:r>
    </w:p>
    <w:p w14:paraId="682C8F24" w14:textId="77777777" w:rsidR="00910F71" w:rsidRDefault="00910F71"/>
    <w:p>
      <w:pPr>
        <w:pStyle w:val="Ttulo1"/>
      </w:pPr>
      <w:r>
        <w:t>Capítulo 2 - Estado del Arte</w:t>
      </w:r>
    </w:p>
    <w:p>
      <w:pPr>
        <w:pStyle w:val="Ttulo2"/>
      </w:pPr>
      <w:r>
        <w:t>2.1 Criterios y alcance de la revisión</w:t>
      </w:r>
    </w:p>
    <w:p>
      <w:pPr>
        <w:jc w:val="both"/>
      </w:pPr>
      <w:r>
        <w:t>El Estado del Arte se organiza alrededor del problema de decisión que da origen a esta investigación: cómo comparar modelos de lenguaje propietarios y abiertos para atención al cliente cuando la organización necesita considerar, al mismo tiempo, la calidad de las respuestas, el costo, la latencia y la posibilidad de incorporar conocimiento propio mediante Recuperación Aumentada con Generación (RAG). La revisión no se limita a describir herramientas. Se concentra en antecedentes que aportan evidencia sobre automatización del soporte, desempeño de modelos, recuperación de conocimiento, evaluación de respuestas y condiciones de adopción organizacional. Este criterio permite vincular cada fuente con una dimensión concreta del problema y distinguir los resultados empíricos de las decisiones técnicas adoptadas en el prototipo.</w:t>
      </w:r>
    </w:p>
    <w:p>
      <w:pPr>
        <w:jc w:val="both"/>
      </w:pPr>
      <w:r>
        <w:t>Se incluyeron trabajos de revisión, estudios experimentales, tesis de maestría, preprints y artículos de conferencias o revistas. La diversidad de tipos de fuente responde a la velocidad de evolución del campo: algunas prácticas de implementación aparecen primero en trabajos técnicos o preprints, mientras que los criterios de evaluación y los resultados comparativos se consolidan luego en publicaciones arbitradas. Para mantener la trazabilidad, la síntesis se apoya en dieciséis antecedentes directamente relacionados con la atención al cliente, la comparación de modelos o la evaluación de sistemas RAG. Los trabajos fundacionales sobre arquitecturas y métricas se desarrollan por separado en el Marco Teórico.</w:t>
      </w:r>
    </w:p>
    <w:p>
      <w:pPr>
        <w:jc w:val="both"/>
      </w:pPr>
      <w:r>
        <w:t>La lectura se realizó de manera comparativa. En cada antecedente se identificaron el dominio, el tipo de tarea, los modelos o sistemas considerados, la forma de incorporar conocimiento, las métricas utilizadas y las limitaciones reconocidas. Esta matriz conceptual permite detectar acuerdos y tensiones entre investigaciones que, aunque estudian tecnologías semejantes, responden preguntas diferentes. También evita trasladar de forma directa un resultado obtenido en turismo, salud o soporte técnico a cualquier contexto de atención al cliente sin analizar las condiciones del experimento.</w:t>
      </w:r>
    </w:p>
    <w:p>
      <w:pPr>
        <w:pStyle w:val="Ttulo2"/>
      </w:pPr>
      <w:r>
        <w:t>2.2 De los chatbots basados en reglas a los modelos de lenguaje</w:t>
      </w:r>
    </w:p>
    <w:p>
      <w:pPr>
        <w:jc w:val="both"/>
      </w:pPr>
      <w:r>
        <w:t>Casazola Cruz et al. (2021) analizan la usabilidad percibida de los chatbots en organizaciones y muestran que la aceptación de estas herramientas no depende únicamente de que el sistema produzca una respuesta. La interacción debe resultar comprensible, consistente y adecuada para la necesidad del usuario. Los chatbots basados en reglas conservan valor cuando las consultas son previsibles y el dominio puede representarse mediante flujos estables, pero pierden flexibilidad ante reformulaciones, ambigüedades o cambios de contexto. Este antecedente es relevante porque sitúa el problema en la experiencia de atención y no solamente en la precisión técnica del algoritmo.</w:t>
      </w:r>
    </w:p>
    <w:p>
      <w:pPr>
        <w:jc w:val="both"/>
      </w:pPr>
      <w:r>
        <w:t>Garzón-Quiroz et al. (2025) comparan la eficiencia comunicativa de los sistemas basados en reglas con alternativas de lenguaje natural. Su revisión coincide con Casazola Cruz et al. (2021) en que los enfoques determinísticos ofrecen control y bajo costo en escenarios acotados. Sin embargo, los modelos de lenguaje amplían la capacidad para interpretar expresiones variadas y sostener intercambios menos rígidos. El acuerdo entre ambos trabajos permite justificar la transición tecnológica, aunque también establece un límite: una mayor flexibilidad lingüística no elimina la necesidad de diseñar la conversación, controlar las respuestas ni evaluar la percepción del usuario.</w:t>
      </w:r>
    </w:p>
    <w:p>
      <w:pPr>
        <w:jc w:val="both"/>
      </w:pPr>
      <w:r>
        <w:t>La tensión entre control y flexibilidad atraviesa el resto de los antecedentes. Un sistema de reglas puede fallar porque no reconoce una formulación no prevista, mientras que un LLM puede responder de manera fluida y aun así introducir información incorrecta. Por eso, reemplazar un chatbot tradicional por un modelo generativo no resuelve automáticamente el problema de calidad. Lo transforma: el desafío deja de estar concentrado en la cobertura de intenciones y pasa a incluir fidelidad, alucinaciones, variabilidad y trazabilidad. Esta transformación explica por qué las investigaciones más recientes combinan métricas automáticas con revisión humana y controles sobre el conocimiento utilizado.</w:t>
      </w:r>
    </w:p>
    <w:p>
      <w:pPr>
        <w:jc w:val="both"/>
      </w:pPr>
      <w:r>
        <w:t>Desde la perspectiva del presente trabajo, estos antecedentes también ayudan a delimitar la unidad de análisis. No se evalúa una conversación comercial completa ni el impacto organizacional de un despliegue real, sino la respuesta generada ante una consulta de soporte bajo condiciones controladas. Esta delimitación permite comparar modelos con precisión, pero obliga a interpretar los resultados como evidencia sobre un componente del servicio. La utilidad final depende además de la integración con procesos, políticas, bases de datos y mecanismos de derivación a operadores humanos.</w:t>
      </w:r>
    </w:p>
    <w:p>
      <w:pPr>
        <w:pStyle w:val="Ttulo2"/>
      </w:pPr>
      <w:r>
        <w:t>2.3 Aplicaciones de LLM en servicios de atención y soporte</w:t>
      </w:r>
    </w:p>
    <w:p>
      <w:pPr>
        <w:jc w:val="both"/>
      </w:pPr>
      <w:r>
        <w:t>Wulf y Meierhofer (2024) estudian el uso de modelos de lenguaje para automatizar tareas de soporte técnico, entre ellas la corrección de textos, el resumen de consultas y la respuesta de preguntas. El aporte del trabajo reside en mostrar que la automatización no constituye una única tarea homogénea. Corregir un mensaje, resumir un incidente y responder a partir de documentación requieren diferentes datos, instrucciones y criterios de calidad. Los autores observan posibilidades concretas de apoyo al personal, pero condicionan el despliegue al aseguramiento de la calidad y a la adecuación del ecosistema de datos.</w:t>
      </w:r>
    </w:p>
    <w:p>
      <w:pPr>
        <w:jc w:val="both"/>
      </w:pPr>
      <w:r>
        <w:t>Este enfoque se diferencia de una visión centrada exclusivamente en sustituir al agente humano. En el soporte técnico, el LLM puede intervenir en distintas etapas del proceso y no necesariamente como interlocutor final. Puede organizar información, proponer una respuesta o recuperar antecedentes para que una persona tome la decisión. Esta distinción resulta importante para interpretar las métricas: una respuesta que no sería aceptable para enviarse de forma automática todavía puede ser útil como borrador. Por lo tanto, la evaluación debería considerar el nivel de autonomía esperado y el riesgo asociado a cada tarea.</w:t>
      </w:r>
    </w:p>
    <w:p>
      <w:pPr>
        <w:jc w:val="both"/>
      </w:pPr>
      <w:r>
        <w:t>Faysal (2024) aporta evidencia experimental sobre recuperación básica de información mediante chatbots con LLM. En una comparación con 165 participantes, los usuarios que interactuaron con el chatbot encontraron información con mayor rapidez y precisión que quienes navegaron un sitio web tradicional. El resultado sugiere que la interfaz conversacional puede reducir el esfuerzo de búsqueda cuando el usuario formula una necesidad concreta. No obstante, el estudio no resuelve cómo se comportan diferentes modelos ante el mismo conjunto de consultas ni cómo cambian el costo y la latencia al incorporar recuperación externa.</w:t>
      </w:r>
    </w:p>
    <w:p>
      <w:pPr>
        <w:jc w:val="both"/>
      </w:pPr>
      <w:r>
        <w:t>La comparación entre Wulf y Meierhofer (2024) y Faysal (2024) permite distinguir dos niveles de aporte. El primero se concentra en la integración del modelo dentro de un proceso real de soporte; el segundo mide el desempeño del usuario al recuperar información. Ambos respaldan la utilidad potencial de los LLM, pero ninguno propone un protocolo integrado para seleccionar entre alternativas propietarias y abiertas. En consecuencia, sus resultados fundamentan la relevancia del problema sin reemplazar la comparación experimental requerida para tomar una decisión tecnológica.</w:t>
      </w:r>
    </w:p>
    <w:p>
      <w:pPr>
        <w:pStyle w:val="Ttulo2"/>
      </w:pPr>
      <w:r>
        <w:t>2.4 Evidencia de implementaciones empresariales con RAG</w:t>
      </w:r>
    </w:p>
    <w:p>
      <w:pPr>
        <w:jc w:val="both"/>
      </w:pPr>
      <w:r>
        <w:t>Xu et al. (2024, pp. 2905-2909) presentan una aplicación de RAG con grafos de conocimiento para responder preguntas vinculadas con incidentes de soporte. La estructura del grafo permite representar relaciones entre entidades y eventos que no siempre quedan explícitas en fragmentos aislados de texto. Frente a la línea base, la propuesta mejora el MRR de recuperación en 77,6 %. Además, luego de seis meses de utilización en LinkedIn, reduce en 28,6 % la mediana del tiempo de resolución por incidente. El estudio aporta una conexión poco frecuente entre una métrica de recuperación y un resultado operativo observado durante el despliegue.</w:t>
      </w:r>
    </w:p>
    <w:p>
      <w:pPr>
        <w:jc w:val="both"/>
      </w:pPr>
      <w:r>
        <w:t>El caso de Xu et al. (2024) muestra que la calidad del conocimiento recuperable puede influir tanto como el modelo generativo. La mejora no se explica solamente por utilizar un LLM de mayor capacidad, sino por representar de forma más adecuada los vínculos entre incidentes históricos. Para el presente trabajo, esta evidencia justifica medir Hit@1 y Hit@3 de manera separada de BERTScore y ROUGE-L. Si el documento correcto no aparece entre los resultados del recuperador, la generación recibe un contexto incompleto aunque el modelo sea capaz de redactar una respuesta convincente.</w:t>
      </w:r>
    </w:p>
    <w:p>
      <w:pPr>
        <w:jc w:val="both"/>
      </w:pPr>
      <w:r>
        <w:t>Packowski et al. (2024, pp. 162-167) analizan soluciones RAG empresariales orientadas a responder preguntas sobre documentación de software. Los autores destacan tres condiciones: preparación del contenido, procesamiento de la consulta y seguimiento posterior al despliegue. Su perspectiva desplaza la atención desde el modelo aislado hacia el sistema completo. La documentación debe estar organizada y actualizada; la consulta puede requerir normalización o reescritura; y las respuestas deben monitorearse para detectar preguntas nuevas o fallos que no estaban representados en el conjunto inicial.</w:t>
      </w:r>
    </w:p>
    <w:p>
      <w:pPr>
        <w:jc w:val="both"/>
      </w:pPr>
      <w:r>
        <w:t>A diferencia de un benchmark cerrado, Packowski et al. (2024) advierten que las preguntas reales cambian con el uso y que las métricas automáticas disponibles no siempre representan la utilidad percibida. Por ese motivo incorporan participación humana en la evaluación. Esta decisión coincide con las limitaciones identificadas en el presente trabajo: la similitud semántica con una respuesta de referencia permite comparar configuraciones, pero no determina por sí sola si la respuesta es correcta, accionable o fiel al contexto recuperado.</w:t>
      </w:r>
    </w:p>
    <w:p>
      <w:pPr>
        <w:jc w:val="both"/>
      </w:pPr>
      <w:r>
        <w:t>En conjunto, Xu et al. (2024) y Packowski et al. (2024) muestran que RAG debe analizarse como una cadena de decisiones sobre datos, recuperación, generación y control. El primer trabajo evidencia un impacto operativo medible; el segundo explica por qué la preparación del contenido y el monitoreo condicionan ese impacto. Ambos antecedentes respaldan una arquitectura modular y trazable, pero también advierten que un buen resultado en un corpus pequeño no garantiza el mismo desempeño cuando el conocimiento, las consultas y los procesos cambian.</w:t>
      </w:r>
    </w:p>
    <w:p>
      <w:pPr>
        <w:pStyle w:val="Ttulo2"/>
      </w:pPr>
      <w:r>
        <w:t>2.5 Comparación entre modelos propietarios y abiertos</w:t>
      </w:r>
    </w:p>
    <w:p>
      <w:pPr>
        <w:jc w:val="both"/>
      </w:pPr>
      <w:r>
        <w:t>Barandoni et al. (2024) comparan modelos de lenguaje para automatizar el análisis de necesidades de clientes en el sector turístico. Sus resultados indican que modelos abiertos de tamaño medio pueden aproximarse a alternativas propietarias en tareas específicas. El antecedente cuestiona la idea de que el modelo de mayor escala o de acceso comercial necesariamente ofrece la mejor solución para todos los dominios. También sugiere que la adecuación entre tarea, instrucciones y datos puede reducir diferencias generales de capacidad.</w:t>
      </w:r>
    </w:p>
    <w:p>
      <w:pPr>
        <w:jc w:val="both"/>
      </w:pPr>
      <w:r>
        <w:t>Sin embargo, la cercanía de calidad observada en una tarea de clasificación o análisis no implica que las alternativas sean equivalentes en generación de respuestas de soporte. La salida esperada, el contexto disponible y el criterio de evaluación modifican el desempeño. Por ello, el aporte de Barandoni et al. (2024) se interpreta como evidencia de viabilidad y no como una conclusión universal sobre superioridad de los modelos abiertos. Esta precaución fundamenta el uso de un margen explícito de comparabilidad en la primera hipótesis del presente trabajo.</w:t>
      </w:r>
    </w:p>
    <w:p>
      <w:pPr>
        <w:jc w:val="both"/>
      </w:pPr>
      <w:r>
        <w:t>Li et al. (2024) evalúan modelos de lenguaje en tareas de servicio al cliente y encuentran que el desempeño depende del tipo de consulta y de la dimensión evaluada. Un modelo puede resolver adecuadamente preguntas informativas y fallar en escenarios que requieren razonamiento, cumplimiento de instrucciones o manejo de contexto. El trabajo refuerza la necesidad de evitar rankings absolutos: la posición relativa de los modelos cambia cuando cambia la tarea, la métrica o el conjunto de casos.</w:t>
      </w:r>
    </w:p>
    <w:p>
      <w:pPr>
        <w:jc w:val="both"/>
      </w:pPr>
      <w:r>
        <w:t>Los resultados de Barandoni et al. (2024) y Li et al. (2024) convergen en una conclusión útil para la selección organizacional. Los modelos abiertos constituyen alternativas técnicamente plausibles, pero su conveniencia debe demostrarse en el contexto de uso. La posibilidad de ejecutarlos localmente favorece el control de datos y la autonomía tecnológica, mientras que los modelos propietarios pueden ofrecer una infraestructura administrada y un costo por uso competitivo. Ninguna de esas características, por separado, permite anticipar el equilibrio final entre calidad, latencia y costo.</w:t>
      </w:r>
    </w:p>
    <w:p>
      <w:pPr>
        <w:jc w:val="both"/>
      </w:pPr>
      <w:r>
        <w:t>Esta tensión explica la necesidad de comparar las alternativas con las mismas consultas, parámetros y referencias. Si cada modelo se evalúa sobre datos diferentes o en momentos distintos, las variaciones del entorno pueden confundirse con diferencias propias del modelo. El diseño pareado empleado en este trabajo deriva de esa dificultad metodológica. Su propósito no es establecer un ganador universal, sino producir evidencia reproducible para una escala y un corpus determinados.</w:t>
      </w:r>
    </w:p>
    <w:p>
      <w:pPr>
        <w:pStyle w:val="Ttulo2"/>
      </w:pPr>
      <w:r>
        <w:t>2.6 Incorporación de conocimiento mediante RAG</w:t>
      </w:r>
    </w:p>
    <w:p>
      <w:pPr>
        <w:jc w:val="both"/>
      </w:pPr>
      <w:r>
        <w:t>Lewis et al. (2020) formulan RAG como una combinación entre memoria paramétrica y memoria no paramétrica. La primera corresponde al conocimiento incorporado durante el entrenamiento del modelo; la segunda se representa mediante un índice externo que puede consultarse al momento de generar. Esta separación responde a limitaciones concretas: el conocimiento paramétrico queda sujeto a una fecha de corte, no puede actualizarse sin nuevos procesos de entrenamiento y ofrece poca trazabilidad sobre el origen de una afirmación.</w:t>
      </w:r>
    </w:p>
    <w:p>
      <w:pPr>
        <w:jc w:val="both"/>
      </w:pPr>
      <w:r>
        <w:t>El aporte de Lewis et al. (2020) modifica la forma de pensar la adaptación a un dominio. En lugar de introducir todo el conocimiento organizacional en los parámetros del modelo, es posible recuperar fragmentos relevantes y agregarlos como contexto. Para atención al cliente, esta propiedad resulta especialmente valiosa porque las políticas, productos y procedimientos cambian. La base de conocimiento puede actualizarse sin reemplazar el modelo, aunque esa flexibilidad introduce una dependencia nueva: la respuesta queda condicionada por lo que el recuperador selecciona.</w:t>
      </w:r>
    </w:p>
    <w:p>
      <w:pPr>
        <w:jc w:val="both"/>
      </w:pPr>
      <w:r>
        <w:t>Gao et al. (2023) sistematizan la evolución de RAG y distinguen enfoques ingenuos, avanzados y modulares. El esquema básico se compone de indexación, recuperación y generación. Las variantes avanzadas incorporan operaciones antes y después de recuperar, como reescritura de consultas, filtrado y reordenamiento. El enfoque modular permite sustituir componentes y combinar estrategias. Esta clasificación muestra que RAG no es una configuración única, sino una familia de arquitecturas cuyo comportamiento depende de múltiples decisiones.</w:t>
      </w:r>
    </w:p>
    <w:p>
      <w:pPr>
        <w:jc w:val="both"/>
      </w:pPr>
      <w:r>
        <w:t>La revisión de Gao et al. (2023) también señala que la calidad final surge de la interacción entre recuperador y generador. Un contexto pertinente puede ser ignorado o interpretado incorrectamente por el modelo; a la inversa, un modelo competente puede compensar parcialmente un contexto incompleto utilizando su conocimiento paramétrico. Esta interacción impide atribuir cualquier mejora exclusivamente a la recuperación. Por ello, el presente trabajo mide por separado el acierto del recuperador y la calidad de la respuesta, y compara cada modelo en condiciones con y sin RAG.</w:t>
      </w:r>
    </w:p>
    <w:p>
      <w:pPr>
        <w:jc w:val="both"/>
      </w:pPr>
      <w:r>
        <w:t>Vega et al. (2025) implementan una arquitectura basada en embeddings, FAISS y GPT-4o en un dominio médico acotado. El antecedente confirma la viabilidad técnica de recuperar conocimiento especializado e incorporarlo a la generación. Su aporte para esta investigación es principalmente arquitectónico: muestra que una fuente externa puede organizarse como un índice vectorial y consultarse ante cada pregunta. No obstante, al trabajar con un solo modelo y un dominio distinto, no permite concluir cómo se distribuyen los beneficios entre modelos propietarios y abiertos ni qué costo operativo produce cada alternativa.</w:t>
      </w:r>
    </w:p>
    <w:p>
      <w:pPr>
        <w:jc w:val="both"/>
      </w:pPr>
      <w:r>
        <w:t>La comparación de Lewis et al. (2020), Gao et al. (2023) y Vega et al. (2025) permite pasar de la formulación general a una implementación aplicada. El primer trabajo define el mecanismo; el segundo organiza sus variantes y problemas; el tercero muestra una adopción en un dominio específico. El vacío que permanece es comparativo: se necesita observar el efecto de RAG sobre varios modelos, usando un mismo corpus, una muestra común y métricas que incluyan tanto calidad como eficiencia.</w:t>
      </w:r>
    </w:p>
    <w:p>
      <w:pPr>
        <w:pStyle w:val="Ttulo2"/>
      </w:pPr>
      <w:r>
        <w:t>2.7 Evaluación de sistemas RAG y calidad de respuesta</w:t>
      </w:r>
    </w:p>
    <w:p>
      <w:pPr>
        <w:jc w:val="both"/>
      </w:pPr>
      <w:r>
        <w:t>Es et al. (2024) proponen RAGAs como un enfoque de evaluación automatizada que diferencia componentes del pipeline. En lugar de resumir el desempeño en una única medida, separan aspectos como la relevancia del contexto, la fidelidad al contexto y la calidad de la respuesta. Esta descomposición es importante porque dos sistemas pueden obtener una calidad final semejante por razones diferentes: uno puede recuperar documentos adecuados y utilizarlos de forma limitada; otro puede recuperar evidencia parcial y producir una respuesta plausible a partir de conocimiento paramétrico.</w:t>
      </w:r>
    </w:p>
    <w:p>
      <w:pPr>
        <w:jc w:val="both"/>
      </w:pPr>
      <w:r>
        <w:t>La propuesta de Es et al. (2024) introduce una exigencia de diagnóstico. Si solo se observa una métrica global, no resulta posible determinar en qué etapa se origina el error. Para un framework comparativo, la separación entre recuperación y generación permite orientar decisiones: mejorar el índice, modificar el prompt, cambiar el modelo o revisar el corpus. El uso de Hit@1 y Hit@3 en esta investigación responde a esa necesidad, mientras que BERTScore y ROUGE-L describen la relación entre la respuesta generada y la referencia.</w:t>
      </w:r>
    </w:p>
    <w:p>
      <w:pPr>
        <w:jc w:val="both"/>
      </w:pPr>
      <w:r>
        <w:t>Saad-Falcon et al. (2024) presentan ARES, un marco automatizado para evaluar sistemas RAG que utiliza una cantidad reducida de anotaciones humanas como base de control. La propuesta busca reducir el costo de evaluar grandes volúmenes sin abandonar por completo el juicio humano. Su aporte es metodológico: la automatización puede escalar la comparación, pero necesita una referencia que permita estimar sus errores y evitar que el evaluador automático se convierta en una fuente de sesgo no observada.</w:t>
      </w:r>
    </w:p>
    <w:p>
      <w:pPr>
        <w:jc w:val="both"/>
      </w:pPr>
      <w:r>
        <w:t>RAGAs y ARES coinciden en cuestionar la suficiencia de una sola métrica, aunque adoptan estrategias diferentes. Es et al. (2024) enfatizan la separación de dimensiones internas del pipeline; Saad-Falcon et al. (2024) se concentran en la escalabilidad y calibración del proceso evaluativo. Ambos antecedentes respaldan una evaluación por capas: métricas automáticas para comparar todas las respuestas y una instancia humana sobre una muestra controlada para analizar dimensiones que no se reducen a similitud textual.</w:t>
      </w:r>
    </w:p>
    <w:p>
      <w:pPr>
        <w:jc w:val="both"/>
      </w:pPr>
      <w:r>
        <w:t>Esta literatura también permite ubicar BERTScore y ROUGE-L dentro de un sistema de evidencias y no como pruebas definitivas de utilidad. La primera aproxima similitud semántica y la segunda conserva una lectura de solapamiento léxico. Una mejora simultánea en ambas métricas fortalece la interpretación, pero no verifica que una instrucción sea segura, que un procedimiento esté actualizado ni que una afirmación se encuentre respaldada por el contexto. Por eso, los resultados automáticos del presente trabajo se reportan junto con métricas de recuperación, latencia, costo y un instrumento de evaluación humana.</w:t>
      </w:r>
    </w:p>
    <w:p>
      <w:pPr>
        <w:pStyle w:val="Ttulo2"/>
      </w:pPr>
      <w:r>
        <w:t>2.8 Fidelidad, alucinaciones y evaluación humana</w:t>
      </w:r>
    </w:p>
    <w:p>
      <w:pPr>
        <w:jc w:val="both"/>
      </w:pPr>
      <w:r>
        <w:t>Niu et al. (2024) construyen RAGTruth a partir de casi 18.000 respuestas anotadas para estudiar alucinaciones en sistemas con recuperación. El corpus distingue afirmaciones que contradicen el contexto de aquellas que no cuentan con respaldo suficiente. El hallazgo central para esta investigación es que proporcionar evidencia externa no impide que el modelo genere contenido no fundamentado. RAG puede reducir algunos errores y, al mismo tiempo, mantener casos particulares que una métrica promedio no hace visibles.</w:t>
      </w:r>
    </w:p>
    <w:p>
      <w:pPr>
        <w:jc w:val="both"/>
      </w:pPr>
      <w:r>
        <w:t>El resultado de Niu et al. (2024) introduce una tensión con interpretaciones excesivamente optimistas de RAG. La recuperación mejora las condiciones de generación, pero no obliga al modelo a utilizar correctamente el contexto. También puede ocurrir que el documento recuperado sea ambiguo, que contenga información irrelevante o que el modelo combine datos del contexto con conocimiento paramétrico incompatible. Por lo tanto, la fidelidad debe evaluarse como una dimensión propia y no inferirse a partir de la cercanía con una respuesta de referencia.</w:t>
      </w:r>
    </w:p>
    <w:p>
      <w:pPr>
        <w:jc w:val="both"/>
      </w:pPr>
      <w:r>
        <w:t>La evaluación humana propuesta en este trabajo se apoya en esa distinción. Corrección, utilidad y claridad describen la respuesta desde la perspectiva de uso; fidelidad observa su relación con el contexto; y la presencia de alucinación registra información no respaldada. Separar estas variables permite que una respuesta clara pero incorrecta no sea clasificada como satisfactoria únicamente por su redacción. También permite analizar si RAG mejora el promedio automático mientras conserva fallos relevantes para una situación de atención real.</w:t>
      </w:r>
    </w:p>
    <w:p>
      <w:pPr>
        <w:jc w:val="both"/>
      </w:pPr>
      <w:r>
        <w:t>Packowski et al. (2024) y Saad-Falcon et al. (2024) complementan esta perspectiva al incorporar intervención humana en sus esquemas de evaluación. Los primeros la vinculan con preguntas reales y cambios posteriores al despliegue; los segundos la utilizan para calibrar un evaluador escalable. En ambos casos, la revisión humana no aparece como una alternativa opuesta a la automatización, sino como una capa de control. Esta coincidencia respalda el diseño mixto del instrumento desarrollado para el framework.</w:t>
      </w:r>
    </w:p>
    <w:p>
      <w:pPr>
        <w:pStyle w:val="Ttulo2"/>
      </w:pPr>
      <w:r>
        <w:t>2.9 Benchmarks de procesos completos de atención</w:t>
      </w:r>
    </w:p>
    <w:p>
      <w:pPr>
        <w:jc w:val="both"/>
      </w:pPr>
      <w:r>
        <w:t>Wang et al. (2025, pp. 276-284) presentan ECom-Bench para evaluar agentes en problemas reales de atención al cliente en comercio electrónico. El benchmark incorpora diálogos, simulación de usuarios, herramientas y tareas multimodales. La evaluación se aparta de la respuesta aislada y exige que el agente avance dentro de un proceso. Incluso GPT-4o obtiene entre 10 % y 20 % en la métrica más estricta, con fallos asociados al uso de herramientas, acciones sobre bases de datos y alucinaciones.</w:t>
      </w:r>
    </w:p>
    <w:p>
      <w:pPr>
        <w:jc w:val="both"/>
      </w:pPr>
      <w:r>
        <w:t>ECom-Bench muestra que una respuesta lingüísticamente adecuada no equivale a resolver una necesidad. Un sistema puede explicar correctamente una política y aun así ejecutar una acción incorrecta o no completar los pasos requeridos. Esta diferencia delimita el alcance del presente trabajo: la comparación de respuestas constituye una base necesaria para seleccionar modelos, pero no reemplaza la evaluación futura de agentes conectados con herramientas y procesos transaccionales.</w:t>
      </w:r>
    </w:p>
    <w:p>
      <w:pPr>
        <w:jc w:val="both"/>
      </w:pPr>
      <w:r>
        <w:t>Balaji et al. (2026, pp. 193-208) desarrollan JourneyBench, un benchmark de 703 conversaciones centrado en el cumplimiento de políticas empresariales. Los autores representan de manera explícita los flujos y dependencias de cada proceso. Bajo esta configuración, un agente dinámico basado en GPT-4o mini puede superar a GPT-4o en adhesión a reglas. El resultado indica que la orquestación y la representación del proceso pueden ser más determinantes que la capacidad general atribuida al modelo.</w:t>
      </w:r>
    </w:p>
    <w:p>
      <w:pPr>
        <w:jc w:val="both"/>
      </w:pPr>
      <w:r>
        <w:t>Los hallazgos de Wang et al. (2025) y Balaji et al. (2026) cuestionan una selección basada únicamente en benchmarks generales o en una única métrica semántica. Cuando la tarea exige utilizar herramientas, mantener estado y respetar restricciones, la arquitectura del agente modifica el resultado. Esta evidencia no invalida las comparaciones de respuesta utilizadas en el framework, pero establece su función: ofrecer un primer nivel reproducible de evaluación antes de avanzar hacia pruebas de procesos completos.</w:t>
      </w:r>
    </w:p>
    <w:p>
      <w:pPr>
        <w:jc w:val="both"/>
      </w:pPr>
      <w:r>
        <w:t>La relación entre ambos trabajos y los estudios empresariales anteriores también resulta significativa. Xu et al. (2024) muestran una mejora operativa a partir de conocimiento estructurado; Packowski et al. (2024) destacan preparación y monitoreo; Wang et al. (2025) y Balaji et al. (2026) incorporan herramientas y políticas. En conjunto, la literatura describe una progresión desde la generación de texto hacia sistemas sociotécnicos donde datos, reglas, interfaces y supervisión humana condicionan el desempeño.</w:t>
      </w:r>
    </w:p>
    <w:p>
      <w:pPr>
        <w:pStyle w:val="Ttulo2"/>
      </w:pPr>
      <w:r>
        <w:t>2.10 Condiciones de validez y transferencia de los antecedentes</w:t>
      </w:r>
    </w:p>
    <w:p>
      <w:pPr>
        <w:jc w:val="both"/>
      </w:pPr>
      <w:r>
        <w:t>La comparación de los antecedentes exige considerar que la evidencia proviene de dominios y unidades de análisis diferentes. Casazola Cruz et al. (2021) y Garzón-Quiroz et al. (2025) observan la interacción con chatbots desde una perspectiva amplia; Barandoni et al. (2024) trabajan sobre necesidades de clientes en turismo; Vega et al. (2025) aplican RAG a un dominio médico; y Xu et al. (2024) estudian incidentes técnicos dentro de una organización. La coincidencia tecnológica no vuelve equivalentes esos escenarios. El vocabulario, el riesgo de error y la estructura del conocimiento cambian, por lo que la transferencia de resultados debe justificarse en función de la tarea.</w:t>
      </w:r>
    </w:p>
    <w:p>
      <w:pPr>
        <w:jc w:val="both"/>
      </w:pPr>
      <w:r>
        <w:t>También varía el grado de control experimental. Faysal (2024) compara el desempeño de participantes ante dos formas de recuperar información, mientras que Xu et al. (2024) complementan métricas técnicas con resultados obtenidos luego de un despliegue. Los diseños controlados favorecen la comparación porque mantienen condiciones estables; los estudios de campo ofrecen mayor cercanía con el uso, pero incorporan factores difíciles de aislar. Esta diferencia explica por qué un framework reproducible debe informar con precisión sus condiciones y evitar presentar una corrida experimental como predicción directa de impacto organizacional.</w:t>
      </w:r>
    </w:p>
    <w:p>
      <w:pPr>
        <w:jc w:val="both"/>
      </w:pPr>
      <w:r>
        <w:t>La granularidad de la tarea constituye otra fuente de variación. Wulf y Meierhofer (2024) distinguen corrección, resumen y respuesta de preguntas dentro del soporte técnico. Wang et al. (2025) y Balaji et al. (2026) avanzan hacia conversaciones y procesos que requieren herramientas, estado y cumplimiento de políticas. Una métrica adecuada para una respuesta aislada puede ser insuficiente cuando la unidad evaluada es un recorrido completo. Por ello, los resultados deben interpretarse dentro del nivel de automatización que efectivamente representa el experimento.</w:t>
      </w:r>
    </w:p>
    <w:p>
      <w:pPr>
        <w:jc w:val="both"/>
      </w:pPr>
      <w:r>
        <w:t>Las características del corpus también condicionan la validez. Lewis et al. (2020) muestran la utilidad de una memoria externa, pero Gao et al. (2023) explican que la calidad depende de cómo se indexa y recupera el contenido. Xu et al. (2024) incorporan relaciones mediante un grafo; Packowski et al. (2024) enfatizan la preparación documental. En consecuencia, comparar modelos sin controlar el corpus puede atribuir al generador una diferencia originada en la organización del conocimiento. El presente trabajo reduce ese riesgo al utilizar una misma base y registrar los documentos recuperados para todas las alternativas.</w:t>
      </w:r>
    </w:p>
    <w:p>
      <w:pPr>
        <w:jc w:val="both"/>
      </w:pPr>
      <w:r>
        <w:t>La selección de métricas introduce una condición adicional. Barandoni et al. (2024) y Li et al. (2024) muestran que la posición relativa de los modelos depende de la tarea y del criterio aplicado. Es et al. (2024) separan dimensiones internas de RAG; Saad-Falcon et al. (2024) incorporan anotaciones humanas para calibrar la automatización; y Niu et al. (2024) demuestran que la fidelidad no puede inferirse únicamente de la presencia de contexto. Estos aportes justifican un conjunto de métricas complementarias y desaconsejan convertir una sola puntuación en una conclusión general.</w:t>
      </w:r>
    </w:p>
    <w:p>
      <w:pPr>
        <w:jc w:val="both"/>
      </w:pPr>
      <w:r>
        <w:t>El costo y la latencia aparecen con menor profundidad en buena parte de los antecedentes, aunque son variables centrales para una decisión de adopción. Los estudios suelen privilegiar calidad, precisión o cumplimiento de tareas. Sin embargo, dos configuraciones con resultados semejantes pueden requerir infraestructuras y tiempos de respuesta diferentes. Esta ausencia relativa en la literatura revisada fortalece la necesidad de registrar tokens, duración y supuestos de costo junto con la calidad. También exige declarar que una estimación cloud o eléctrica representa un escenario comparativo y no una factura universal.</w:t>
      </w:r>
    </w:p>
    <w:p>
      <w:pPr>
        <w:jc w:val="both"/>
      </w:pPr>
      <w:r>
        <w:t>La distinción entre modelos propietarios y abiertos tampoco puede reducirse al acceso al código o a los pesos. Barandoni et al. (2024) aportan evidencia de competitividad en tareas acotadas, mientras que Li et al. (2024) muestran variación por tipo de consulta. En una organización, además intervienen privacidad, mantenimiento, capacidad de cómputo, disponibilidad del proveedor y competencias internas. La evaluación técnica constituye una parte de la decisión, pero debe producir resultados lo suficientemente trazables como para que esas restricciones puedan incorporarse después sin repetir todo el experimento.</w:t>
      </w:r>
    </w:p>
    <w:p>
      <w:pPr>
        <w:jc w:val="both"/>
      </w:pPr>
      <w:r>
        <w:t>La intervención humana ocupa funciones distintas en los trabajos revisados. En Packowski et al. (2024), ayuda a evaluar preguntas que surgen en el uso real; en Saad-Falcon et al. (2024), permite controlar un esquema automatizado; en Niu et al. (2024), sustenta la identificación de afirmaciones no respaldadas. La convergencia no implica que toda respuesta deba revisarse manualmente en producción. Indica que el juicio humano es necesario durante la validación para conocer los límites de las métricas y definir en qué casos el sistema puede actuar, proponer un borrador o derivar la consulta.</w:t>
      </w:r>
    </w:p>
    <w:p>
      <w:pPr>
        <w:jc w:val="both"/>
      </w:pPr>
      <w:r>
        <w:t>Estas condiciones de validez permiten utilizar los antecedentes sin extrapolarlos de manera automática. La revisión ofrece criterios para diseñar la comparación, pero el desempeño debe medirse nuevamente cuando cambian el corpus, el idioma, el modelo o el proceso. De allí surge el valor de un framework configurable: no busca trasladar una cifra obtenida por otro autor, sino conservar los principios metodológicos que hacen posible producir evidencia local, comparable y auditable.</w:t>
      </w:r>
    </w:p>
    <w:p>
      <w:pPr>
        <w:pStyle w:val="Ttulo2"/>
      </w:pPr>
      <w:r>
        <w:t>2.11 Limitaciones recurrentes de la evidencia disponible</w:t>
      </w:r>
    </w:p>
    <w:p>
      <w:pPr>
        <w:jc w:val="both"/>
      </w:pPr>
      <w:r>
        <w:t>Una primera limitación transversal es la diversidad de conjuntos de datos. Los antecedentes utilizan conversaciones, documentos, preguntas informativas o procesos construidos con criterios propios. Esta heterogeneidad enriquece el campo, pero dificulta comparar cifras entre publicaciones. Un porcentaje de mejora obtenido sobre incidentes técnicos no puede equipararse directamente con una puntuación en turismo o comercio electrónico. La respuesta metodológica consiste en comparar alternativas dentro de un mismo protocolo y describir el corpus con suficiente detalle para que otra persona pueda repetirlo.</w:t>
      </w:r>
    </w:p>
    <w:p>
      <w:pPr>
        <w:jc w:val="both"/>
      </w:pPr>
      <w:r>
        <w:t>El idioma constituye una segunda limitación. Buena parte de los modelos, benchmarks y corpus se desarrolla principalmente en inglés, mientras que el uso organizacional puede requerir español y vocabulario local. La traducción permite reutilizar conocimiento, pero puede modificar expresiones, intenciones y relaciones semánticas. Los antecedentes revisados no resuelven de manera uniforme este problema. Por ello, la evaluación debe declarar el idioma de las consultas, del corpus recuperable y de las referencias, además de comprobar empíricamente si la traducción mejora o empeora la recuperación.</w:t>
      </w:r>
    </w:p>
    <w:p>
      <w:pPr>
        <w:jc w:val="both"/>
      </w:pPr>
      <w:r>
        <w:t>La contaminación entre evaluación y conocimiento recuperable también recibe un tratamiento desigual. Cuando una consulta o una variante casi idéntica forma parte del corpus RAG, el sistema puede recuperar la respuesta esperada sin demostrar capacidad de generalización. Los trabajos de evaluación enfatizan la fidelidad y la recuperación, pero no todos describen controles de duplicados con el mismo nivel de detalle. Esta limitación conduce a separar la muestra antes de construir la base de conocimiento y a auditar coincidencias exactas y cercanas.</w:t>
      </w:r>
    </w:p>
    <w:p>
      <w:pPr>
        <w:jc w:val="both"/>
      </w:pPr>
      <w:r>
        <w:t>Una cuarta limitación es la variabilidad temporal. Los servicios propietarios pueden cambiar de versión, carga y política de precios; los modelos locales dependen del equipo, la cuantización y los procesos en ejecución. La latencia observada en una corrida no representa una propiedad fija. Tampoco un costo publicado describe por completo infraestructura, mantenimiento y capacidad ociosa. La literatura comparativa aporta resultados valiosos, pero las decisiones operativas requieren registrar fecha, entorno y supuestos para que las cifras puedan actualizarse.</w:t>
      </w:r>
    </w:p>
    <w:p>
      <w:pPr>
        <w:jc w:val="both"/>
      </w:pPr>
      <w:r>
        <w:t>Las métricas humanas presentan sus propios desafíos. Packowski et al. (2024), Saad-Falcon et al. (2024) y Niu et al. (2024) muestran la importancia de la anotación, aunque las categorías pueden interpretarse de forma distinta entre evaluadores. Sin instrucciones, ejemplos y medición de acuerdo, el juicio humano pierde consistencia. Por eso, un instrumento debe definir escalas, mantener ciego el origen de la respuesta y conservar identificadores que permitan revisar desacuerdos sin revelar el modelo durante la calificación.</w:t>
      </w:r>
    </w:p>
    <w:p>
      <w:pPr>
        <w:jc w:val="both"/>
      </w:pPr>
      <w:r>
        <w:t>La reproducibilidad del software es otra dimensión que no siempre acompaña la publicación de resultados. Un valor agregado pierde utilidad si no puede vincularse con las consultas, configuraciones y errores que lo produjeron. La modularidad planteada por Gao et al. (2023) y la evaluación por componentes propuesta por Es et al. (2024) sugieren una respuesta: separar ingesta, recuperación, generación y evaluación, y conservar artefactos intermedios. Esta organización permite repetir solamente la etapa afectada por un cambio y reduce el riesgo de mezclar resultados incompatibles.</w:t>
      </w:r>
    </w:p>
    <w:p>
      <w:pPr>
        <w:jc w:val="both"/>
      </w:pPr>
      <w:r>
        <w:t>La procedencia y la versión del conocimiento representan una limitación relacionada. Un sistema puede recuperar un fragmento pertinente que, sin embargo, se encuentre desactualizado o carezca de autoridad para responder. Xu et al. (2024) muestran el valor de organizar relaciones entre incidentes, y Packowski et al. (2024) destacan el seguimiento del contenido. Estas contribuciones indican que la trazabilidad debe abarcar no solo qué documento fue recuperado, sino también su origen y el momento en que resultaba válido.</w:t>
      </w:r>
    </w:p>
    <w:p>
      <w:pPr>
        <w:jc w:val="both"/>
      </w:pPr>
      <w:r>
        <w:t>La privacidad y la gobernanza aparecen de manera desigual en los estudios empíricos, aun cuando influyen en la elección entre ejecución local y servicios externos. Los modelos abiertos pueden facilitar el control de los datos, pero trasladan responsabilidades de operación y mantenimiento. Los servicios propietarios reducen parte de esa carga, aunque requieren revisar las condiciones de tratamiento de información. La comparación experimental no resuelve estas decisiones, pero debe conservar evidencia que permita incorporarlas como criterios organizacionales.</w:t>
      </w:r>
    </w:p>
    <w:p>
      <w:pPr>
        <w:jc w:val="both"/>
      </w:pPr>
      <w:r>
        <w:t>Finalmente, la presentación de resultados puede influir en la decisión tanto como el cálculo de las métricas. Un ranking único oculta que un modelo puede ofrecer mayor calidad y otro menor latencia. La literatura revisada favorece una lectura por dimensiones y por etapas del sistema. Por esa razón, un tablero comparativo debe mostrar valores, supuestos y diferencias sin convertirlos automáticamente en una recomendación universal. La interpretación corresponde al contexto y a las restricciones declaradas por cada organización.</w:t>
      </w:r>
    </w:p>
    <w:p>
      <w:pPr>
        <w:jc w:val="both"/>
      </w:pPr>
      <w:r>
        <w:t>Finalmente, los antecedentes suelen concentrarse en el desempeño medio. Sin embargo, una organización necesita identificar categorías problemáticas, errores extremos y consultas que requieren derivación. Los resultados de Niu et al. (2024), Wang et al. (2025) y Balaji et al. (2026) muestran que los fallos relevantes pueden quedar ocultos detrás de un promedio aceptable. En consecuencia, el análisis debe combinar indicadores agregados con trazabilidad por consulta e intención, de manera que la decisión considere tanto la tendencia general como los casos de mayor riesgo.</w:t>
      </w:r>
    </w:p>
    <w:p>
      <w:pPr>
        <w:pStyle w:val="Ttulo2"/>
      </w:pPr>
      <w:r>
        <w:t>2.12 Acuerdos, tensiones y vacío de conocimiento</w:t>
      </w:r>
    </w:p>
    <w:p>
      <w:pPr>
        <w:jc w:val="both"/>
      </w:pPr>
      <w:r>
        <w:t>Los antecedentes revisados coinciden en que los LLM amplían la capacidad de interacción frente a los chatbots basados en reglas, especialmente cuando las consultas presentan variaciones lingüísticas o requieren contexto (Casazola Cruz et al., 2021; Garzón-Quiroz et al., 2025). También existe acuerdo en que la utilidad organizacional no depende solamente de la fluidez de la respuesta. La preparación de los datos, el diseño del proceso, el control de calidad y la supervisión condicionan el resultado observado (Packowski et al., 2024; Wulf &amp; Meierhofer, 2024; Xu et al., 2024).</w:t>
      </w:r>
    </w:p>
    <w:p>
      <w:pPr>
        <w:jc w:val="both"/>
      </w:pPr>
      <w:r>
        <w:t>Un segundo acuerdo se relaciona con el carácter sistémico de RAG. Lewis et al. (2020) establecen la combinación entre memoria paramétrica y externa; Gao et al. (2023) muestran la diversidad de configuraciones; Es et al. (2024) y Saad-Falcon et al. (2024) separan dimensiones de evaluación. En todos los casos, la respuesta final surge de una cadena y no de un componente aislado. Esto justifica registrar documentos recuperados, puntajes, latencia, tokens y métricas de generación para reconstruir el comportamiento de cada configuración.</w:t>
      </w:r>
    </w:p>
    <w:p>
      <w:pPr>
        <w:jc w:val="both"/>
      </w:pPr>
      <w:r>
        <w:t>Las tensiones aparecen al interpretar la ventaja de cada alternativa. Barandoni et al. (2024) y Li et al. (2024) aportan evidencia favorable a la competitividad de modelos abiertos en tareas específicas, pero no sostienen que esa ventaja sea constante. El desempeño depende del dominio y del criterio de medición. De manera similar, Faysal (2024) muestra beneficios de una interfaz con LLM para recuperar información, mientras que Wang et al. (2025) encuentran dificultades importantes cuando el sistema debe completar acciones y utilizar herramientas. La complejidad de la tarea modifica la conclusión.</w:t>
      </w:r>
    </w:p>
    <w:p>
      <w:pPr>
        <w:jc w:val="both"/>
      </w:pPr>
      <w:r>
        <w:t>Otra tensión se observa entre mejora promedio y seguridad de casos particulares. Los trabajos sobre RAG muestran beneficios de incorporar conocimiento externo, pero Niu et al. (2024) demuestran que las respuestas todavía pueden incluir afirmaciones contradictorias o sin respaldo. En consecuencia, una mejora de BERTScore o ROUGE-L no debe interpretarse como eliminación de alucinaciones. La selección de un modelo para atención al cliente requiere observar la distribución de errores y no únicamente el promedio agregado.</w:t>
      </w:r>
    </w:p>
    <w:p>
      <w:pPr>
        <w:jc w:val="both"/>
      </w:pPr>
      <w:r>
        <w:t>Los estudios de despliegue y los benchmarks de agentes agregan una tensión entre validez experimental y validez operativa. Un diseño controlado permite atribuir diferencias a la condición evaluada, pero simplifica el entorno. Un despliegue real incorpora políticas, herramientas, usuarios y cambios de datos, aunque dificulta aislar causas. El presente trabajo se ubica deliberadamente en el primer nivel: construye una comparación reproducible que pueda repetirse con datos propios y que sirva como base para evaluaciones organizacionales posteriores.</w:t>
      </w:r>
    </w:p>
    <w:p>
      <w:pPr>
        <w:jc w:val="both"/>
      </w:pPr>
      <w:r>
        <w:t>El vacío identificado consiste en la ausencia de una evaluación integrada y reproducible, aplicada al soporte al cliente, que compare modelos propietarios y abiertos sobre las mismas consultas, en condiciones con y sin RAG, y que relacione calidad, recuperación, costo y latencia. Los antecedentes suelen profundizar una de estas dimensiones o evaluar una arquitectura particular, pero no ofrecen en conjunto un procedimiento accesible para que una organización contraste alternativas con su propio corpus.</w:t>
      </w:r>
    </w:p>
    <w:p>
      <w:pPr>
        <w:jc w:val="both"/>
      </w:pPr>
      <w:r>
        <w:t>El framework propuesto aborda ese vacío mediante un esquema común de entrada, un diseño pareado, controles de contaminación, métricas diferenciadas y trazabilidad de los resultados. La contribución no consiste en declarar un modelo universalmente superior. Consiste en establecer un protocolo que permita observar compromisos entre variables y repetir la comparación cuando cambien los datos, los modelos o las restricciones operativas. De este modo, la decisión deja de apoyarse en afirmaciones generales sobre modelos abiertos o propietarios y pasa a sustentarse en evidencia generada bajo condiciones explícitas.</w:t>
      </w:r>
    </w:p>
    <w:p>
      <w:pPr>
        <w:jc w:val="both"/>
      </w:pPr>
      <w:r>
        <w:t>La síntesis del Estado del Arte conduce así a tres criterios que orientan la investigación. Primero, RAG debe evaluarse separando recuperación y generación. Segundo, la comparación entre modelos debe mantener constantes consultas, parámetros y referencias. Tercero, las métricas automáticas deben complementarse con dimensiones humanas y operativas. Estos criterios se traducen en las hipótesis, variables e instrumentos desarrollados en los capítulos siguientes y permiten vincular el vacío bibliográfico con una estrategia metodológica concreta.</w:t>
      </w:r>
    </w:p>
    <w:p>
      <w:pPr>
        <w:pStyle w:val="Ttulo1"/>
      </w:pPr>
      <w:r>
        <w:t>Capítulo 3 - Marco Teórico</w:t>
      </w:r>
    </w:p>
    <w:p w14:paraId="0C763DCA" w14:textId="77777777" w:rsidR="00910F71" w:rsidRDefault="00910F71"/>
    <w:p w14:paraId="2F2D2BD3" w14:textId="77777777" w:rsidR="00910F71" w:rsidRDefault="00543A90">
      <w:pPr>
        <w:pStyle w:val="Ttulo2"/>
        <w:spacing w:before="280" w:after="120"/>
      </w:pPr>
      <w:r>
        <w:rPr>
          <w:rFonts w:ascii="Times New Roman" w:hAnsi="Times New Roman" w:cs="Times New Roman"/>
          <w:sz w:val="24"/>
        </w:rPr>
        <w:t>3.1 Modelos de Lenguaje de Gran Escala</w:t>
      </w:r>
    </w:p>
    <w:p w14:paraId="72F71564" w14:textId="77777777" w:rsidR="00910F71" w:rsidRDefault="00543A90">
      <w:pPr>
        <w:spacing w:after="160"/>
        <w:jc w:val="both"/>
      </w:pPr>
      <w:r>
        <w:t>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p>
    <w:p w14:paraId="0BFC9212" w14:textId="77777777" w:rsidR="00910F71" w:rsidRDefault="00910F71"/>
    <w:p w14:paraId="737C7003" w14:textId="77777777" w:rsidR="00910F71" w:rsidRDefault="00543A90">
      <w:pPr>
        <w:spacing w:after="160"/>
        <w:jc w:val="both"/>
      </w:pPr>
      <w:r>
        <w:t>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p>
    <w:p w14:paraId="07E21B21" w14:textId="77777777" w:rsidR="00910F71" w:rsidRDefault="00910F71"/>
    <w:p w14:paraId="0837742B" w14:textId="77777777" w:rsidR="00910F71" w:rsidRDefault="00543A90">
      <w:pPr>
        <w:spacing w:after="160"/>
        <w:jc w:val="both"/>
      </w:pPr>
      <w:r>
        <w:t>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p>
    <w:p w14:paraId="52704B6B" w14:textId="77777777" w:rsidR="00910F71" w:rsidRDefault="00543A90">
      <w:pPr>
        <w:spacing w:after="160"/>
        <w:jc w:val="both"/>
      </w:pPr>
      <w: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w:t>
      </w:r>
      <w:r>
        <w:t>emergentes de aprendizaje en contexto,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p>
    <w:p w14:paraId="390A31BF" w14:textId="77777777" w:rsidR="00910F71" w:rsidRDefault="00543A90">
      <w:pPr>
        <w:spacing w:after="160"/>
        <w:jc w:val="both"/>
      </w:pPr>
      <w:r>
        <w:t>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ya que sugiere que la relación entre tamaño de modelo y calidad de respuesta no es lineal y que un modelo abierto de escala media puede resultar competitivo frente a alternativas propietarias mayores en dominios acotados.</w:t>
      </w:r>
    </w:p>
    <w:p w14:paraId="5723391D" w14:textId="77777777" w:rsidR="00910F71" w:rsidRDefault="00543A90">
      <w:pPr>
        <w:pStyle w:val="Ttulo2"/>
        <w:spacing w:before="280" w:after="120"/>
      </w:pPr>
      <w:r>
        <w:rPr>
          <w:rFonts w:ascii="Times New Roman" w:hAnsi="Times New Roman" w:cs="Times New Roman"/>
          <w:sz w:val="24"/>
        </w:rPr>
        <w:t>3.2 Recuperación Aumentada con Generación</w:t>
      </w:r>
    </w:p>
    <w:p w14:paraId="7D52E75F" w14:textId="77777777" w:rsidR="00910F71" w:rsidRDefault="00910F71"/>
    <w:p w14:paraId="70831F8B" w14:textId="77777777" w:rsidR="00910F71" w:rsidRDefault="00543A90">
      <w:pPr>
        <w:spacing w:after="160"/>
        <w:jc w:val="both"/>
      </w:pPr>
      <w:r>
        <w:t>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 indexada mediante embeddings vectoriales en motores como FAISS o ChromaDB, y los incorpora como contexto adicional en el prompt enviado al LLM. Esto permite que el modelo genere respuestas fundamentadas en información específica de la organización, reduciendo las alucinaciones y mejorando la pertinencia de las respuestas (Vega et al., 2025).</w:t>
      </w:r>
    </w:p>
    <w:p w14:paraId="715E1765" w14:textId="77777777" w:rsidR="00910F71" w:rsidRDefault="00910F71"/>
    <w:p w14:paraId="41B4804B" w14:textId="77777777" w:rsidR="00910F71" w:rsidRDefault="00543A90">
      <w:pPr>
        <w:spacing w:after="160"/>
        <w:jc w:val="both"/>
      </w:pPr>
      <w:r>
        <w:t>El origen de esta técnica se encuentra en el trabajo de Lewis et al. (2020), quienes identifican tres limitaciones de la memoria paramétrica de los LLMs,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p>
    <w:p w14:paraId="44AA87CD" w14:textId="77777777" w:rsidR="00910F71" w:rsidRDefault="00543A90">
      <w:pPr>
        <w:spacing w:after="160"/>
        <w:jc w:val="both"/>
      </w:pPr>
      <w:r>
        <w:t>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p>
    <w:p w14:paraId="5D28930C" w14:textId="77777777" w:rsidR="00910F71" w:rsidRDefault="00543A90">
      <w:pPr>
        <w:spacing w:after="160"/>
        <w:jc w:val="both"/>
      </w:pPr>
      <w:r>
        <w:t>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alternativa adecuada para organizaciones con requisitos de privacidad. En el prototipo evaluado se utiliza búsqueda exacta con NumPy, debido a que el corpus contiene 81 documentos; FAISS se reserva como opción de escalamiento cuando el volumen permita medir una ventaja real.</w:t>
      </w:r>
    </w:p>
    <w:p w14:paraId="789E0973" w14:textId="77777777" w:rsidR="00910F71" w:rsidRDefault="00543A90">
      <w:pPr>
        <w:pStyle w:val="Ttulo2"/>
        <w:spacing w:before="280" w:after="120"/>
      </w:pPr>
      <w:r>
        <w:rPr>
          <w:rFonts w:ascii="Times New Roman" w:hAnsi="Times New Roman" w:cs="Times New Roman"/>
          <w:sz w:val="24"/>
        </w:rPr>
        <w:t>3.3 Métricas de Evaluación en NLP</w:t>
      </w:r>
    </w:p>
    <w:p w14:paraId="61DD75AA" w14:textId="77777777" w:rsidR="00910F71" w:rsidRDefault="00910F71"/>
    <w:p w14:paraId="07F7E263" w14:textId="77777777" w:rsidR="00910F71" w:rsidRDefault="00543A90">
      <w:pPr>
        <w:spacing w:after="160"/>
        <w:jc w:val="both"/>
      </w:pPr>
      <w:r>
        <w:t>La evaluación automática de la calidad de respuestas generadas por LLMs es un campo activo en NLP. Las métricas más utilizadas son:</w:t>
      </w:r>
    </w:p>
    <w:p w14:paraId="4BB4AB75" w14:textId="77777777" w:rsidR="00910F71" w:rsidRDefault="00910F71"/>
    <w:p w14:paraId="6D2289E2" w14:textId="77777777" w:rsidR="00910F71" w:rsidRDefault="00543A90">
      <w:pPr>
        <w:spacing w:after="80"/>
        <w:ind w:left="720" w:hanging="360"/>
      </w:pPr>
      <w:r>
        <w:t>•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p>
    <w:p w14:paraId="61108FE5" w14:textId="77777777" w:rsidR="00910F71" w:rsidRDefault="00543A90">
      <w:pPr>
        <w:spacing w:after="80"/>
        <w:ind w:left="720" w:hanging="360"/>
      </w:pPr>
      <w:r>
        <w:t>• ROUGE (Recall-Oriented Understudy for Gisting Evaluation): mide el solapamiento de n-gramas entre la respuesta generada y la referencia. Es ampliamente utilizado en tareas de resumen y generación de texto.</w:t>
      </w:r>
    </w:p>
    <w:p w14:paraId="536D3A81" w14:textId="77777777" w:rsidR="00910F71" w:rsidRDefault="00543A90">
      <w:pPr>
        <w:spacing w:after="80"/>
        <w:ind w:left="720" w:hanging="360"/>
      </w:pPr>
      <w:r>
        <w:t>• LLM-as-judge: emplea un modelo LLM adicional para evaluar la calidad de las respuestas en dimensiones subjetivas como claridad, completitud y tono, complementando las métricas automáticas (Barandoni et al., 2024).</w:t>
      </w:r>
    </w:p>
    <w:p w14:paraId="206A3970" w14:textId="77777777" w:rsidR="00910F71" w:rsidRDefault="00910F71"/>
    <w:p w14:paraId="262A379C" w14:textId="77777777" w:rsidR="00910F71" w:rsidRDefault="00543A90">
      <w:pPr>
        <w:spacing w:after="160"/>
        <w:jc w:val="both"/>
      </w:pPr>
      <w:r>
        <w:t>Las métricas disponibles se organizan en tres familias cuyas propiedades conviene distinguir para justificar las decisiones de medición adoptadas. La primera corresponde a las métricas basadas en solapamiento léxico.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p>
    <w:p w14:paraId="3CA41ECF" w14:textId="77777777" w:rsidR="00910F71" w:rsidRDefault="00543A90">
      <w:pPr>
        <w:spacing w:after="160"/>
        <w:jc w:val="both"/>
      </w:pPr>
      <w:r>
        <w:t>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p>
    <w:p w14:paraId="7F3EBB72" w14:textId="77777777" w:rsidR="00910F71" w:rsidRDefault="00543A90">
      <w:pPr>
        <w:spacing w:after="160"/>
        <w:jc w:val="both"/>
      </w:pPr>
      <w: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w:t>
      </w:r>
      <w:r>
        <w:t>complementario en dimensiones cualitativas tales como claridad y adecuación del tono, que las métricas automáticas no capturan.</w:t>
      </w:r>
    </w:p>
    <w:p w14:paraId="24A9F2DC" w14:textId="77777777" w:rsidR="00910F71" w:rsidRDefault="00543A90">
      <w:pPr>
        <w:pStyle w:val="Ttulo2"/>
        <w:spacing w:before="280" w:after="120"/>
      </w:pPr>
      <w:r>
        <w:rPr>
          <w:rFonts w:ascii="Times New Roman" w:hAnsi="Times New Roman" w:cs="Times New Roman"/>
          <w:sz w:val="24"/>
        </w:rPr>
        <w:t>3.4 Procesamiento reproducible de datos textuales</w:t>
      </w:r>
    </w:p>
    <w:p w14:paraId="26D6B1DF" w14:textId="77777777" w:rsidR="00910F71" w:rsidRDefault="00910F71"/>
    <w:p w14:paraId="15728A96" w14:textId="77777777" w:rsidR="00910F71" w:rsidRDefault="00543A90">
      <w:pPr>
        <w:spacing w:after="160"/>
        <w:jc w:val="both"/>
      </w:pPr>
      <w:r>
        <w:t>El procesamiento de conversaciones de soporte al cliente requiere procedimientos reproducibles de ingesta, validación, limpieza y trazabilidad. En este trabajo, el corpus de 26.872 registros y la muestra ampliada de 324 consultas se procesan en memoria con Pandas, una decisión suficiente y auditable para el volumen observado. La arquitectura separa las etapas del pipeline para que, si el volumen futuro supera la capacidad de una única máquina, el procesamiento pueda migrarse a un motor distribuido sin modificar el protocolo experimental.</w:t>
      </w:r>
    </w:p>
    <w:p w14:paraId="663B5669" w14:textId="77777777" w:rsidR="00910F71" w:rsidRDefault="00543A90">
      <w:pPr>
        <w:spacing w:after="160"/>
        <w:jc w:val="both"/>
      </w:pPr>
      <w:r>
        <w:t>Zaharia et al. (2016) presentan Apache Spark como un motor unificado de procesamiento distribuido que integra operaciones por lotes, consultas estructuradas, procesamiento de flujos y aprendizaje automático. Esta arquitectura constituye una alternativa pertinente para una futura ampliación a millones de conversaciones, pero no forma parte del prototipo experimental evaluado en este Trabajo Final.</w:t>
      </w:r>
    </w:p>
    <w:p w14:paraId="0D6EE3A6" w14:textId="77777777" w:rsidR="00910F71" w:rsidRDefault="00543A90">
      <w:pPr>
        <w:spacing w:after="160"/>
        <w:jc w:val="both"/>
      </w:pPr>
      <w:r>
        <w:t>En la escala actual, la reproducibilidad se obtiene mediante identificadores estables, semillas controladas, validaciones de esquema, checkpoints y archivos de auditoría. El procesamiento distribuido queda fuera del alcance del prototipo y se considera una alternativa de escalamiento que deberá validarse con un corpus de magnitud considerablemente mayor.</w:t>
      </w:r>
    </w:p>
    <w:p w14:paraId="393CFA2E" w14:textId="77777777" w:rsidR="00910F71" w:rsidRDefault="00543A90">
      <w:pPr>
        <w:pStyle w:val="Ttulo1"/>
        <w:pageBreakBefore/>
        <w:spacing w:before="400" w:after="200"/>
        <w:jc w:val="center"/>
      </w:pPr>
      <w:r>
        <w:t>Capítulo 4 - Metodología de la Investigación</w:t>
      </w:r>
    </w:p>
    <w:p w14:paraId="73569771" w14:textId="77777777" w:rsidR="00910F71" w:rsidRDefault="00910F71">
      <w:pPr>
        <w:spacing w:after="160"/>
        <w:jc w:val="both"/>
      </w:pPr>
    </w:p>
    <w:p w14:paraId="5BFCB6FF" w14:textId="77777777" w:rsidR="00910F71" w:rsidRDefault="00543A90">
      <w:pPr>
        <w:pStyle w:val="Ttulo2"/>
        <w:spacing w:before="280" w:after="120"/>
      </w:pPr>
      <w:r>
        <w:t>4.1 Paradigma y enfoque metodológico</w:t>
      </w:r>
    </w:p>
    <w:p w14:paraId="090532AD" w14:textId="77777777" w:rsidR="00910F71" w:rsidRDefault="00543A90">
      <w:pPr>
        <w:spacing w:after="160"/>
        <w:jc w:val="both"/>
      </w:pPr>
      <w:r>
        <w:t>La investigación se enmarca en Design Science Research (DSR), porque construye y evalúa un artefacto informático: el framework comparativo de LLM. El enfoque es cuantitativo y experimental. Se registran métricas numéricas de calidad, latencia, uso de tokens y costo, y se mantienen constantes las consultas, los prompts, la temperatura y los criterios de evaluación entre condiciones.</w:t>
      </w:r>
    </w:p>
    <w:p w14:paraId="2775C8C0" w14:textId="77777777" w:rsidR="00910F71" w:rsidRDefault="00543A90">
      <w:pPr>
        <w:pStyle w:val="Ttulo2"/>
        <w:spacing w:before="280" w:after="120"/>
      </w:pPr>
      <w:r>
        <w:t>4.2 Diseño de la investigación</w:t>
      </w:r>
    </w:p>
    <w:p w14:paraId="6CA3468A" w14:textId="77777777" w:rsidR="00910F71" w:rsidRDefault="00543A90">
      <w:pPr>
        <w:spacing w:after="160"/>
        <w:jc w:val="both"/>
      </w:pPr>
      <w:r>
        <w:t>El diseño definitivo comprende dos fases. Primero se ejecutó un piloto de factibilidad con 20 consultas por configuración, utilizado para verificar el pipeline, estimar tiempos y corregir sesgos de medición. Luego se realizó el experimento principal con 324 consultas balanceadas, 12 por cada una de las 27 intenciones del corpus. Cada consulta fue procesada por GPT-4o mini, LLaMA 3.1 8B y Mistral en dos condiciones, sin RAG y con RAG, lo que produjo 1.944 respuestas comparables.</w:t>
      </w:r>
    </w:p>
    <w:p w14:paraId="4ED5FF56" w14:textId="77777777" w:rsidR="00910F71" w:rsidRDefault="00543A90">
      <w:pPr>
        <w:spacing w:after="160"/>
        <w:jc w:val="both"/>
      </w:pPr>
      <w:r>
        <w:t>El diseño es pareado: las dos condiciones utilizan las mismas consultas, referencias, parámetros y modelos. La condición sin RAG funciona como control y la condición con RAG agrega únicamente el contexto recuperado. El orden inicial de las condiciones se balanceó dentro de cada modelo y las ejecuciones de una misma consulta se realizaron de manera consecutiva para reducir el sesgo temporal. Las diferencias se analizaron con intervalos de confianza bootstrap pareado y pruebas de Wilcoxon con corrección de Holm.</w:t>
      </w:r>
    </w:p>
    <w:p w14:paraId="02B172F8" w14:textId="77777777" w:rsidR="00910F71" w:rsidRDefault="00543A90">
      <w:pPr>
        <w:pStyle w:val="Ttulo2"/>
        <w:spacing w:before="280" w:after="120"/>
      </w:pPr>
      <w:r>
        <w:t>4.3 Variables e instrumentos de medición</w:t>
      </w:r>
    </w:p>
    <w:p w14:paraId="6C9436B5" w14:textId="77777777" w:rsidR="00910F71" w:rsidRDefault="00543A90">
      <w:pPr>
        <w:spacing w:after="80"/>
        <w:ind w:left="720" w:hanging="360"/>
      </w:pPr>
      <w:r>
        <w:t>• Calidad semántica: BERTScore F1 y ROUGE-L contra la respuesta de referencia.</w:t>
      </w:r>
    </w:p>
    <w:p w14:paraId="0D03BAD1" w14:textId="77777777" w:rsidR="00910F71" w:rsidRDefault="00543A90">
      <w:pPr>
        <w:spacing w:after="80"/>
        <w:ind w:left="720" w:hanging="360"/>
      </w:pPr>
      <w:r>
        <w:t>• Recuperación: Hit@1 y Hit@3 según la intención esperada, más latencia del recuperador.</w:t>
      </w:r>
    </w:p>
    <w:p w14:paraId="63228E1C" w14:textId="77777777" w:rsidR="00910F71" w:rsidRDefault="00543A90">
      <w:pPr>
        <w:spacing w:after="80"/>
        <w:ind w:left="720" w:hanging="360"/>
      </w:pPr>
      <w:r>
        <w:t>• Eficiencia: latencia total, tokens de entrada y salida, costo por consulta y costo por 1.000 consultas.</w:t>
      </w:r>
    </w:p>
    <w:p w14:paraId="3FB2AC20" w14:textId="77777777" w:rsidR="00910F71" w:rsidRDefault="00543A90">
      <w:pPr>
        <w:spacing w:after="80"/>
        <w:ind w:left="720" w:hanging="360"/>
      </w:pPr>
      <w:r>
        <w:t>• Robustez descriptiva: cantidad de consultas que mejoran o empeoran y comparación entre aciertos y fallos de recuperación.</w:t>
      </w:r>
    </w:p>
    <w:p w14:paraId="44822D4E" w14:textId="77777777" w:rsidR="00910F71" w:rsidRDefault="00543A90">
      <w:pPr>
        <w:spacing w:after="160"/>
        <w:jc w:val="both"/>
      </w:pPr>
      <w:r>
        <w:t>BERTScore capta similitud semántica contextual y ROUGE-L mide coincidencia de secuencias. Las dos métricas se informan en conjunto porque una respuesta válida puede expresar la misma idea con diferente redacción. No se utiliza una única métrica como sustituto de la evaluación humana.</w:t>
      </w:r>
    </w:p>
    <w:p w14:paraId="5110CF78" w14:textId="77777777" w:rsidR="00910F71" w:rsidRDefault="00543A90">
      <w:pPr>
        <w:pStyle w:val="Ttulo2"/>
        <w:spacing w:before="280" w:after="120"/>
      </w:pPr>
      <w:r>
        <w:t>4.4 Dataset y corpus de datos</w:t>
      </w:r>
    </w:p>
    <w:p w14:paraId="0CF40909" w14:textId="77777777" w:rsidR="00910F71" w:rsidRDefault="00543A90">
      <w:pPr>
        <w:spacing w:after="160"/>
        <w:jc w:val="both"/>
      </w:pPr>
      <w:r>
        <w:t>La fuente utilizada para desarrollar y validar el framework es Bitext Customer Support LLM Chatbot Training Dataset (Bitext, s. f.), con 26.872 registros, 11 categorías y 27 intenciones. El piloto contiene 20 consultas estratificadas y la ampliación 324 consultas, ambas con sus respuestas de referencia traducidas al español y persistidas para asegurar que todas las corridas utilicen el mismo insumo. Bitext no constituye una restricción del artefacto: los datos externos se normalizan mediante un esquema común antes de ingresar al pipeline.</w:t>
      </w:r>
    </w:p>
    <w:p w14:paraId="090B5AF7" w14:textId="77777777" w:rsidR="00910F71" w:rsidRDefault="00543A90">
      <w:pPr>
        <w:spacing w:after="160"/>
        <w:jc w:val="both"/>
      </w:pPr>
      <w:r>
        <w:t>La base de conocimiento RAG se construyó con tres documentos por intención, para un total de 81. En el piloto se excluyeron 20 coincidencias exactas y 54 variantes cercanas. Para el experimento ampliado el corpus se reconstruyó después de fijar la muestra: se eliminaron 2.800 duplicados internos, 324 coincidencias exactas con las consultas de evaluación y 723 variantes con similitud superficial mayor o igual a 0,90. Este control evita que el recuperador memorice la muestra utilizada para medirlo.</w:t>
      </w:r>
    </w:p>
    <w:p w14:paraId="13AD6E28" w14:textId="77777777" w:rsidR="00910F71" w:rsidRDefault="00543A90">
      <w:pPr>
        <w:pStyle w:val="Ttulo2"/>
        <w:spacing w:before="280" w:after="120"/>
      </w:pPr>
      <w:r>
        <w:t>4.5 Recolección de datos y procedimiento experimental</w:t>
      </w:r>
    </w:p>
    <w:p w14:paraId="54239749" w14:textId="77777777" w:rsidR="00910F71" w:rsidRDefault="00543A90">
      <w:pPr>
        <w:pStyle w:val="Normal"/>
        <w:spacing w:before="280" w:after="120"/>
      </w:pPr>
      <w:r>
        <w:t>La recolección de datos se realizó automáticamente durante cada ejecución del framework. Para cada respuesta se conservaron el identificador de la consulta, el modelo, la condición experimental, el texto generado, los documentos recuperados y sus puntajes, la latencia de recuperación y generación, el uso de tokens, el costo estimado y los errores. Los archivos CSV de resultados crudos, métricas derivadas y auditoría permiten reconstruir cada comparación sin repetir llamadas a los modelos.</w:t>
      </w:r>
    </w:p>
    <w:p w14:paraId="7F679F63" w14:textId="77777777" w:rsidR="00910F71" w:rsidRDefault="00543A90">
      <w:pPr>
        <w:spacing w:after="80"/>
        <w:ind w:left="720" w:hanging="360"/>
      </w:pPr>
      <w:r>
        <w:t>• Preparar la muestra traducida y auditar duplicados y solapamientos.</w:t>
      </w:r>
    </w:p>
    <w:p w14:paraId="455A9545" w14:textId="77777777" w:rsidR="00910F71" w:rsidRDefault="00543A90">
      <w:pPr>
        <w:spacing w:after="80"/>
        <w:ind w:left="720" w:hanging="360"/>
      </w:pPr>
      <w:r>
        <w:t>• Construir los 81 documentos de conocimiento y generar sus embeddings.</w:t>
      </w:r>
    </w:p>
    <w:p w14:paraId="3F1D5F18" w14:textId="77777777" w:rsidR="00910F71" w:rsidRDefault="00543A90">
      <w:pPr>
        <w:spacing w:after="80"/>
        <w:ind w:left="720" w:hanging="360"/>
      </w:pPr>
      <w:r>
        <w:t>• Recuperar los tres documentos más próximos para cada consulta mediante similitud coseno exacta.</w:t>
      </w:r>
    </w:p>
    <w:p w14:paraId="64D5EC31" w14:textId="77777777" w:rsidR="00910F71" w:rsidRDefault="00543A90">
      <w:pPr>
        <w:spacing w:after="80"/>
        <w:ind w:left="720" w:hanging="360"/>
      </w:pPr>
      <w:r>
        <w:t>• Ejecutar el piloto de 120 respuestas y, una vez validado el protocolo, la corrida ampliada de 1.944 respuestas sobre 324 consultas.</w:t>
      </w:r>
    </w:p>
    <w:p w14:paraId="7DD2F0C9" w14:textId="77777777" w:rsidR="00910F71" w:rsidRDefault="00543A90">
      <w:pPr>
        <w:spacing w:after="80"/>
        <w:ind w:left="720" w:hanging="360"/>
      </w:pPr>
      <w:r>
        <w:t>• Calcular BERTScore, ROUGE-L, Hit@1, Hit@3, latencia, tokens y costos con las mismas funciones y aplicar los contrastes pareados definidos.</w:t>
      </w:r>
    </w:p>
    <w:p w14:paraId="206C38D2" w14:textId="77777777" w:rsidR="00910F71" w:rsidRDefault="00543A90">
      <w:pPr>
        <w:spacing w:after="80"/>
        <w:ind w:left="720" w:hanging="360"/>
      </w:pPr>
      <w:r>
        <w:t>• Comparar diferencias agregadas y por consulta, conservando los resultados crudos y evaluados en archivos CSV.</w:t>
      </w:r>
    </w:p>
    <w:p w14:paraId="72CC960B" w14:textId="77777777" w:rsidR="00910F71" w:rsidRDefault="00543A90">
      <w:pPr>
        <w:pStyle w:val="Ttulo2"/>
        <w:spacing w:before="280" w:after="120"/>
      </w:pPr>
      <w:r>
        <w:t>4.6 Alcance y controles del piloto RAG</w:t>
      </w:r>
    </w:p>
    <w:p w14:paraId="2DA52852" w14:textId="77777777" w:rsidR="00910F71" w:rsidRDefault="00543A90">
      <w:pPr>
        <w:spacing w:after="160"/>
        <w:jc w:val="both"/>
      </w:pPr>
      <w:r>
        <w:t>El tamaño n = 20 por configuración se define como piloto de factibilidad. Permite verificar el pipeline, detectar errores, estimar tiempos y observar tendencias, pero no alcanza para pruebas inferenciales estables ni para confirmar las hipótesis. Por esa razón, los resultados se presentan como evidencia descriptiva y las expresiones de causalidad o significancia se reservan para una muestra ampliada.</w:t>
      </w:r>
    </w:p>
    <w:p w14:paraId="3408A33D" w14:textId="77777777" w:rsidR="00910F71" w:rsidRDefault="00543A90">
      <w:pPr>
        <w:spacing w:after="160"/>
        <w:jc w:val="both"/>
      </w:pPr>
      <w:r>
        <w:t>Se fijaron temperatura 0, semilla 42 y máximo de 300 tokens. Los modelos locales se calentaron antes de la medición controlada. No se editaron documentos para corregir las consultas fallidas, porque hacerlo después de observar los resultados introduciría sobreajuste sobre las 20 preguntas.</w:t>
      </w:r>
    </w:p>
    <w:p w14:paraId="4A6B1FA5" w14:textId="77777777" w:rsidR="00910F71" w:rsidRDefault="00543A90">
      <w:pPr>
        <w:pStyle w:val="Ttulo2"/>
        <w:spacing w:before="280" w:after="120"/>
      </w:pPr>
      <w:r>
        <w:t>4.7 Modelo de costos y fuentes</w:t>
      </w:r>
    </w:p>
    <w:p w14:paraId="0AA9D789" w14:textId="77777777" w:rsidR="00910F71" w:rsidRDefault="00543A90">
      <w:pPr>
        <w:spacing w:after="160"/>
        <w:jc w:val="both"/>
      </w:pPr>
      <w:r>
        <w:t>GPT-4o mini se calcula con los tokens realmente informados por la API: USD 0,15 por millón de tokens de entrada y USD 0,60 por millón de tokens de salida (OpenAI, s. f.). Para los modelos abiertos se adopta como comparación principal una instancia Lambda Cloud con NVIDIA Quadro RTX 6000 de 24 GB, publicada a USD 0,69 por GPU-hora (Lambda, s. f.). El costo por consulta se obtiene como precio-hora multiplicado por la latencia total y dividido por 3.600.</w:t>
      </w:r>
    </w:p>
    <w:p w14:paraId="30BE4709" w14:textId="77777777" w:rsidR="00910F71" w:rsidRDefault="00543A90">
      <w:pPr>
        <w:spacing w:after="160"/>
        <w:jc w:val="both"/>
      </w:pPr>
      <w:r>
        <w:t xml:space="preserve">Como análisis de sensibilidad se estima electricidad con una potencia máxima de referencia de 415 W: 350 W de la RTX 3080 Ti y 65 W del Ryzen 5 5600X (Advanced Micro Devices, s. f.; NVIDIA, s. f.). Se usa el precio comercial medio de Estados Unidos de julio de 2026, USD 0,1453/kWh (U.S. Energy Information Administration, 2026). Esta cifra no es una tarifa argentina ni una medición en pared. La estimación cloud tampoco representa una factura real, ya que </w:t>
      </w:r>
      <w:r>
        <w:t>combina el precio de una instancia publicada con la latencia observada en el equipo local. Ambas se informan como escenarios reproducibles y sujetos a actualización.</w:t>
      </w:r>
    </w:p>
    <w:p w14:paraId="0EB7FAD1" w14:textId="77777777" w:rsidR="00207C8A" w:rsidRDefault="00207C8A" w:rsidP="00207C8A">
      <w:pPr>
        <w:pStyle w:val="Ttulo2"/>
      </w:pPr>
      <w:r>
        <w:t>4.8 Ampliación del experimento y evaluación humana</w:t>
      </w:r>
    </w:p>
    <w:p w14:paraId="69AF89AB" w14:textId="77777777" w:rsidR="00207C8A" w:rsidRDefault="00207C8A" w:rsidP="00207C8A">
      <w:r>
        <w:t>La muestra ampliada contiene 324 consultas: 12 para cada una de las 27 intenciones del corpus Bitext. Esta cantidad se eligió porque se encuentra dentro del rango de 300 a 500 consultas previsto en el diseño y permite una representación equilibrada de todas las intenciones. La selección se auditó para evitar duplicados y solapamientos con los documentos utilizados como conocimiento recuperable.</w:t>
      </w:r>
    </w:p>
    <w:p w14:paraId="0E41493B" w14:textId="77777777" w:rsidR="00207C8A" w:rsidRDefault="00207C8A" w:rsidP="00207C8A"/>
    <w:p w14:paraId="79A30351" w14:textId="77777777" w:rsidR="00207C8A" w:rsidRDefault="00207C8A" w:rsidP="00207C8A">
      <w:r>
        <w:t>Cada consulta se procesó con GPT-4o mini, LLaMA 3.1 8B y Mistral, tanto sin RAG como con RAG. El diseño produjo 1.944 respuestas y permitió calcular diferencias pareadas por consulta. Para cada métrica se estimaron intervalos de confianza del 95 % mediante bootstrap pareado estratificado por intención con 5.000 repeticiones. Las diferencias se contrastaron con la prueba de rangos con signo de Wilcoxon y corrección de Holm por familia de métricas.</w:t>
      </w:r>
    </w:p>
    <w:p w14:paraId="7DC3450A" w14:textId="77777777" w:rsidR="00207C8A" w:rsidRDefault="00207C8A" w:rsidP="00207C8A"/>
    <w:p w14:paraId="473C9255" w14:textId="77777777" w:rsidR="00207C8A" w:rsidRDefault="00207C8A" w:rsidP="00207C8A">
      <w:r>
        <w:t>La evaluación humana se diseñó sobre 54 consultas, dos por intención, y comprende 324 respuestas por evaluador. Dos evaluadores reciben archivos con orden aleatorio y sin información sobre modelo o condición. La rúbrica mide corrección, utilidad, claridad y fidelidad al contexto en escala de 1 a 5, además de la presencia o ausencia de alucinaciones. Los resultados no se incorporarán hasta completar ambas planillas y calcular el acuerdo interevaluador.</w:t>
      </w:r>
    </w:p>
    <w:p w14:paraId="79C6B0E6" w14:textId="77777777" w:rsidR="00207C8A" w:rsidRDefault="00207C8A" w:rsidP="00207C8A"/>
    <w:p w14:paraId="567D6895" w14:textId="77777777" w:rsidR="00910F71" w:rsidRDefault="00543A90">
      <w:pPr>
        <w:pStyle w:val="Ttulo1"/>
        <w:pageBreakBefore/>
        <w:spacing w:before="400" w:after="200"/>
        <w:jc w:val="center"/>
      </w:pPr>
      <w:r>
        <w:t>Capítulo 5 - Diseño del Framework</w:t>
      </w:r>
    </w:p>
    <w:p w14:paraId="2421EDE1" w14:textId="77777777" w:rsidR="00910F71" w:rsidRDefault="00910F71">
      <w:pPr>
        <w:spacing w:after="160"/>
        <w:jc w:val="both"/>
      </w:pPr>
    </w:p>
    <w:p w14:paraId="44AF8ABC" w14:textId="77777777" w:rsidR="00910F71" w:rsidRDefault="00543A90">
      <w:pPr>
        <w:pStyle w:val="Ttulo2"/>
        <w:spacing w:before="280" w:after="120"/>
      </w:pPr>
      <w:r>
        <w:t>5.1 Arquitectura implementada</w:t>
      </w:r>
    </w:p>
    <w:p w14:paraId="1D6A1867" w14:textId="77777777" w:rsidR="00910F71" w:rsidRDefault="00543A90">
      <w:pPr>
        <w:spacing w:after="160"/>
        <w:jc w:val="both"/>
      </w:pPr>
      <w:r>
        <w:t>El framework separa cinco componentes: validación y preparación de datos, recuperación, generación, evaluación y visualización. La capa de entrada transforma archivos propios del usuario a un esquema canónico; los datos validados alimentan un índice en memoria; el recuperador devuelve tres documentos y sus puntajes; el cliente unificado envía la consulta con o sin contexto; y los módulos de evaluación y visualización consolidan calidad, latencia, tokens y costos. Esta separación permite reemplazar el corpus o repetir una etapa sin volver a ejecutar las restantes.</w:t>
      </w:r>
    </w:p>
    <w:p w14:paraId="0A36F38C" w14:textId="77777777" w:rsidR="00910F71" w:rsidRDefault="00543A90">
      <w:pPr>
        <w:pStyle w:val="Ttulo2"/>
        <w:spacing w:before="280" w:after="120"/>
      </w:pPr>
      <w:r>
        <w:t>5.2 Recuperación vectorial</w:t>
      </w:r>
    </w:p>
    <w:p w14:paraId="792A0A50" w14:textId="77777777" w:rsidR="00910F71" w:rsidRDefault="00543A90">
      <w:pPr>
        <w:spacing w:after="160"/>
        <w:jc w:val="both"/>
      </w:pPr>
      <w:r>
        <w:t>Los embeddings se generan con sentence-transformers/paraphrase-multilingual-MiniLM-L12-v2. La búsqueda usa similitud coseno exacta con NumPy y top_k = 3. Para 81 documentos, la búsqueda exhaustiva es simple, auditable y suficientemente rápida; incorporar FAISS o LangChain en esta escala agregaría complejidad sin una mejora medible. La indexación aproximada se reserva para la fase de escalamiento.</w:t>
      </w:r>
    </w:p>
    <w:p w14:paraId="5CDA91B4" w14:textId="77777777" w:rsidR="00910F71" w:rsidRDefault="00543A90">
      <w:pPr>
        <w:pStyle w:val="Ttulo2"/>
        <w:spacing w:before="280" w:after="120"/>
      </w:pPr>
      <w:r>
        <w:t>5.3 Control de contaminación</w:t>
      </w:r>
    </w:p>
    <w:p w14:paraId="48147CEF" w14:textId="77777777" w:rsidR="00910F71" w:rsidRDefault="00543A90">
      <w:pPr>
        <w:spacing w:after="160"/>
        <w:jc w:val="both"/>
      </w:pPr>
      <w:r>
        <w:t>El constructor del corpus aplica normalización, deduplicación y exclusión de coincidencias con la evaluación antes de seleccionar documentos. La auditoría se persiste en JSON e informa el universo inicial, los descartes y la composición final. De esta manera, una mejora de calidad no puede explicarse por haber incluido la pregunta evaluada dentro del conocimiento recuperable.</w:t>
      </w:r>
    </w:p>
    <w:p w14:paraId="5509AECB" w14:textId="77777777" w:rsidR="00910F71" w:rsidRDefault="00543A90">
      <w:pPr>
        <w:pStyle w:val="Ttulo2"/>
        <w:spacing w:before="280" w:after="120"/>
      </w:pPr>
      <w:r>
        <w:t>5.4 Estrategia multilingüe</w:t>
      </w:r>
    </w:p>
    <w:p w14:paraId="6F839702" w14:textId="77777777" w:rsidR="00910F71" w:rsidRDefault="00543A90">
      <w:pPr>
        <w:spacing w:after="160"/>
        <w:jc w:val="both"/>
      </w:pPr>
      <w:r>
        <w:t>Se evaluaron dos variantes del conocimiento. El corpus original en inglés obtuvo Hit@1 de 80 % y Hit@3 de 90 %, mientras que su traducción al español alcanzó 70 % y 85 %. También se probaron la concatenación bilingüe y otro modelo de embeddings, sin superar al corpus inglés con MiniLM. Por ello, la condición generativa fijó consultas en español y documentos originales en inglés. La traducción queda como análisis de sensibilidad y no como configuración principal.</w:t>
      </w:r>
    </w:p>
    <w:p w14:paraId="26450BD5" w14:textId="77777777" w:rsidR="00910F71" w:rsidRDefault="00543A90">
      <w:pPr>
        <w:pStyle w:val="Ttulo2"/>
        <w:spacing w:before="280" w:after="120"/>
      </w:pPr>
      <w:r>
        <w:t>5.5 Diseño de la medición de costos</w:t>
      </w:r>
    </w:p>
    <w:p w14:paraId="41E3B7A1" w14:textId="77777777" w:rsidR="00910F71" w:rsidRDefault="00543A90">
      <w:pPr>
        <w:spacing w:after="160"/>
        <w:jc w:val="both"/>
      </w:pPr>
      <w:r>
        <w:t>El módulo de costos distingue modelos propietarios y abiertos. Para GPT calcula consumo por tokens. Para LLaMA y Mistral calcula dos escenarios: electricidad conservadora y amortización de instancia GPU. La columna costo_oficial_usd utiliza el precio de API para GPT y el escenario cloud para los modelos abiertos, lo que permite una comparación uniforme sin presentar la electricidad como costo total de propiedad.</w:t>
      </w:r>
    </w:p>
    <w:p w14:paraId="58087FBE" w14:textId="77777777" w:rsidR="00910F71" w:rsidRDefault="00910F71">
      <w:pPr>
        <w:keepNext/>
        <w:spacing w:before="120" w:after="80"/>
        <w:jc w:val="center"/>
      </w:pPr>
    </w:p>
    <w:p>
      <w:pPr>
        <w:pStyle w:val="Descripcin"/>
        <w:keepNext/>
        <w:spacing w:before="240" w:after="0" w:line="360" w:lineRule="auto"/>
        <w:jc w:val="left"/>
      </w:pPr>
      <w:r>
        <w:rPr>
          <w:rFonts w:ascii="Times New Roman" w:hAnsi="Times New Roman" w:cs="Times New Roman"/>
          <w:b/>
          <w:sz w:val="24"/>
        </w:rPr>
        <w:t>Tabla 1</w:t>
        <w:br/>
      </w:r>
      <w:r>
        <w:rPr>
          <w:rFonts w:ascii="Times New Roman" w:hAnsi="Times New Roman" w:cs="Times New Roman"/>
          <w:i/>
          <w:sz w:val="24"/>
        </w:rPr>
        <w:t>Parámetros de costo utilizados en el piloto</w:t>
      </w: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448"/>
        <w:gridCol w:w="3240"/>
        <w:gridCol w:w="3168"/>
      </w:tblGrid>
      <w:tr w:rsidR="00910F71" w:rsidRPr="00207C8A" w14:paraId="75F897C3" w14:textId="77777777" w:rsidTr="00207C8A">
        <w:trPr>
          <w:tblHeader/>
          <w:jc w:val="center"/>
        </w:trPr>
        <w:tc>
          <w:tcPr>
            <w:tcW w:w="2448" w:type="dxa"/>
            <w:tcBorders>
              <w:top w:val="single" w:sz="4" w:space="0" w:color="000000"/>
              <w:bottom w:val="single" w:sz="4" w:space="0" w:color="000000"/>
            </w:tcBorders>
            <w:shd w:val="clear" w:color="auto" w:fill="FFFFFF"/>
            <w:vAlign w:val="center"/>
          </w:tcPr>
          <w:p>
            <w:r>
              <w:t>Parámetro</w:t>
            </w:r>
          </w:p>
        </w:tc>
        <w:tc>
          <w:tcPr>
            <w:tcW w:w="3240" w:type="dxa"/>
            <w:tcBorders>
              <w:top w:val="single" w:sz="4" w:space="0" w:color="000000"/>
              <w:bottom w:val="single" w:sz="4" w:space="0" w:color="000000"/>
            </w:tcBorders>
            <w:shd w:val="clear" w:color="auto" w:fill="FFFFFF"/>
            <w:vAlign w:val="center"/>
          </w:tcPr>
          <w:p w14:paraId="18ACB26E" w14:textId="77777777" w:rsidR="00910F71" w:rsidRPr="00207C8A" w:rsidRDefault="00543A90">
            <w:pPr>
              <w:spacing w:line="240" w:lineRule="auto"/>
              <w:jc w:val="center"/>
              <w:rPr>
                <w:b/>
                <w:color w:val="000000"/>
              </w:rPr>
            </w:pPr>
            <w:r w:rsidRPr="00207C8A">
              <w:rPr>
                <w:b/>
                <w:color w:val="000000"/>
                <w:sz w:val="20"/>
              </w:rPr>
              <w:t>Valor</w:t>
            </w:r>
          </w:p>
        </w:tc>
        <w:tc>
          <w:tcPr>
            <w:tcW w:w="3168" w:type="dxa"/>
            <w:tcBorders>
              <w:top w:val="single" w:sz="4" w:space="0" w:color="000000"/>
              <w:bottom w:val="single" w:sz="4" w:space="0" w:color="000000"/>
            </w:tcBorders>
            <w:shd w:val="clear" w:color="auto" w:fill="FFFFFF"/>
            <w:vAlign w:val="center"/>
          </w:tcPr>
          <w:p w14:paraId="3445D491" w14:textId="77777777" w:rsidR="00910F71" w:rsidRPr="00207C8A" w:rsidRDefault="00543A90">
            <w:pPr>
              <w:spacing w:line="240" w:lineRule="auto"/>
              <w:jc w:val="center"/>
              <w:rPr>
                <w:b/>
                <w:color w:val="000000"/>
              </w:rPr>
            </w:pPr>
            <w:r w:rsidRPr="00207C8A">
              <w:rPr>
                <w:b/>
                <w:color w:val="000000"/>
                <w:sz w:val="20"/>
              </w:rPr>
              <w:t>Uso</w:t>
            </w:r>
          </w:p>
        </w:tc>
      </w:tr>
      <w:tr w:rsidR="00910F71" w:rsidRPr="00207C8A" w14:paraId="65DD84C6" w14:textId="77777777" w:rsidTr="00207C8A">
        <w:trPr>
          <w:jc w:val="center"/>
        </w:trPr>
        <w:tc>
          <w:tcPr>
            <w:tcW w:w="2448" w:type="dxa"/>
            <w:tcBorders>
              <w:top w:val="single" w:sz="4" w:space="0" w:color="000000"/>
              <w:bottom w:val="nil"/>
            </w:tcBorders>
            <w:shd w:val="clear" w:color="auto" w:fill="FFFFFF"/>
            <w:vAlign w:val="center"/>
          </w:tcPr>
          <w:p w14:paraId="5CE312EB" w14:textId="77777777" w:rsidR="00910F71" w:rsidRPr="00207C8A" w:rsidRDefault="00543A90">
            <w:pPr>
              <w:spacing w:line="240" w:lineRule="auto"/>
              <w:rPr>
                <w:color w:val="000000"/>
              </w:rPr>
            </w:pPr>
            <w:r w:rsidRPr="00207C8A">
              <w:rPr>
                <w:b/>
                <w:color w:val="000000"/>
                <w:sz w:val="20"/>
              </w:rPr>
              <w:t>GPT-4o mini</w:t>
            </w:r>
          </w:p>
        </w:tc>
        <w:tc>
          <w:tcPr>
            <w:tcW w:w="3240" w:type="dxa"/>
            <w:tcBorders>
              <w:top w:val="single" w:sz="4" w:space="0" w:color="000000"/>
              <w:bottom w:val="nil"/>
            </w:tcBorders>
            <w:shd w:val="clear" w:color="auto" w:fill="FFFFFF"/>
            <w:vAlign w:val="center"/>
          </w:tcPr>
          <w:p w14:paraId="0E599D9C" w14:textId="77777777" w:rsidR="00910F71" w:rsidRPr="00207C8A" w:rsidRDefault="00543A90">
            <w:pPr>
              <w:spacing w:line="240" w:lineRule="auto"/>
              <w:jc w:val="center"/>
              <w:rPr>
                <w:color w:val="000000"/>
              </w:rPr>
            </w:pPr>
            <w:r w:rsidRPr="00207C8A">
              <w:rPr>
                <w:color w:val="000000"/>
                <w:sz w:val="20"/>
              </w:rPr>
              <w:t>USD 0,15 entrada / USD 0,60 salida por 1 M tokens</w:t>
            </w:r>
          </w:p>
        </w:tc>
        <w:tc>
          <w:tcPr>
            <w:tcW w:w="3168" w:type="dxa"/>
            <w:tcBorders>
              <w:top w:val="single" w:sz="4" w:space="0" w:color="000000"/>
              <w:bottom w:val="nil"/>
            </w:tcBorders>
            <w:shd w:val="clear" w:color="auto" w:fill="FFFFFF"/>
            <w:vAlign w:val="center"/>
          </w:tcPr>
          <w:p w14:paraId="1F003427" w14:textId="77777777" w:rsidR="00910F71" w:rsidRPr="00207C8A" w:rsidRDefault="00543A90">
            <w:pPr>
              <w:spacing w:line="240" w:lineRule="auto"/>
              <w:jc w:val="center"/>
              <w:rPr>
                <w:color w:val="000000"/>
              </w:rPr>
            </w:pPr>
            <w:r w:rsidRPr="00207C8A">
              <w:rPr>
                <w:color w:val="000000"/>
                <w:sz w:val="20"/>
              </w:rPr>
              <w:t>Costo API real por tokens</w:t>
            </w:r>
          </w:p>
        </w:tc>
      </w:tr>
      <w:tr w:rsidR="00910F71" w:rsidRPr="00207C8A" w14:paraId="6E57F554" w14:textId="77777777" w:rsidTr="00207C8A">
        <w:trPr>
          <w:jc w:val="center"/>
        </w:trPr>
        <w:tc>
          <w:tcPr>
            <w:tcW w:w="2448" w:type="dxa"/>
            <w:tcBorders>
              <w:top w:val="nil"/>
              <w:bottom w:val="nil"/>
            </w:tcBorders>
            <w:shd w:val="clear" w:color="auto" w:fill="FFFFFF"/>
            <w:vAlign w:val="center"/>
          </w:tcPr>
          <w:p w14:paraId="7E3B7A24" w14:textId="77777777" w:rsidR="00910F71" w:rsidRPr="00207C8A" w:rsidRDefault="00543A90">
            <w:pPr>
              <w:spacing w:line="240" w:lineRule="auto"/>
              <w:rPr>
                <w:color w:val="000000"/>
              </w:rPr>
            </w:pPr>
            <w:r w:rsidRPr="00207C8A">
              <w:rPr>
                <w:b/>
                <w:color w:val="000000"/>
                <w:sz w:val="20"/>
              </w:rPr>
              <w:t>Instancia GPU</w:t>
            </w:r>
          </w:p>
        </w:tc>
        <w:tc>
          <w:tcPr>
            <w:tcW w:w="3240" w:type="dxa"/>
            <w:tcBorders>
              <w:top w:val="nil"/>
              <w:bottom w:val="nil"/>
            </w:tcBorders>
            <w:shd w:val="clear" w:color="auto" w:fill="FFFFFF"/>
            <w:vAlign w:val="center"/>
          </w:tcPr>
          <w:p w14:paraId="4AC9AB97" w14:textId="77777777" w:rsidR="00910F71" w:rsidRPr="00207C8A" w:rsidRDefault="00543A90">
            <w:pPr>
              <w:spacing w:line="240" w:lineRule="auto"/>
              <w:jc w:val="center"/>
              <w:rPr>
                <w:color w:val="000000"/>
              </w:rPr>
            </w:pPr>
            <w:r w:rsidRPr="00207C8A">
              <w:rPr>
                <w:color w:val="000000"/>
                <w:sz w:val="20"/>
              </w:rPr>
              <w:t>USD 0,69 por GPU-hora</w:t>
            </w:r>
          </w:p>
        </w:tc>
        <w:tc>
          <w:tcPr>
            <w:tcW w:w="3168" w:type="dxa"/>
            <w:tcBorders>
              <w:top w:val="nil"/>
              <w:bottom w:val="nil"/>
            </w:tcBorders>
            <w:shd w:val="clear" w:color="auto" w:fill="FFFFFF"/>
            <w:vAlign w:val="center"/>
          </w:tcPr>
          <w:p w14:paraId="35C8AB14" w14:textId="77777777" w:rsidR="00910F71" w:rsidRPr="00207C8A" w:rsidRDefault="00543A90">
            <w:pPr>
              <w:spacing w:line="240" w:lineRule="auto"/>
              <w:jc w:val="center"/>
              <w:rPr>
                <w:color w:val="000000"/>
              </w:rPr>
            </w:pPr>
            <w:r w:rsidRPr="00207C8A">
              <w:rPr>
                <w:color w:val="000000"/>
                <w:sz w:val="20"/>
              </w:rPr>
              <w:t>Comparación principal de modelos abiertos</w:t>
            </w:r>
          </w:p>
        </w:tc>
      </w:tr>
      <w:tr w:rsidR="00910F71" w:rsidRPr="00207C8A" w14:paraId="2CE002FB" w14:textId="77777777" w:rsidTr="00207C8A">
        <w:trPr>
          <w:jc w:val="center"/>
        </w:trPr>
        <w:tc>
          <w:tcPr>
            <w:tcW w:w="2448" w:type="dxa"/>
            <w:tcBorders>
              <w:top w:val="nil"/>
              <w:bottom w:val="nil"/>
            </w:tcBorders>
            <w:shd w:val="clear" w:color="auto" w:fill="FFFFFF"/>
            <w:vAlign w:val="center"/>
          </w:tcPr>
          <w:p w14:paraId="3F6B9A44" w14:textId="77777777" w:rsidR="00910F71" w:rsidRPr="00207C8A" w:rsidRDefault="00543A90">
            <w:pPr>
              <w:spacing w:line="240" w:lineRule="auto"/>
              <w:rPr>
                <w:color w:val="000000"/>
              </w:rPr>
            </w:pPr>
            <w:r w:rsidRPr="00207C8A">
              <w:rPr>
                <w:b/>
                <w:color w:val="000000"/>
                <w:sz w:val="20"/>
              </w:rPr>
              <w:t>Potencia de referencia</w:t>
            </w:r>
          </w:p>
        </w:tc>
        <w:tc>
          <w:tcPr>
            <w:tcW w:w="3240" w:type="dxa"/>
            <w:tcBorders>
              <w:top w:val="nil"/>
              <w:bottom w:val="nil"/>
            </w:tcBorders>
            <w:shd w:val="clear" w:color="auto" w:fill="FFFFFF"/>
            <w:vAlign w:val="center"/>
          </w:tcPr>
          <w:p w14:paraId="1E09FB32" w14:textId="77777777" w:rsidR="00910F71" w:rsidRPr="00207C8A" w:rsidRDefault="00543A90">
            <w:pPr>
              <w:spacing w:line="240" w:lineRule="auto"/>
              <w:jc w:val="center"/>
              <w:rPr>
                <w:color w:val="000000"/>
              </w:rPr>
            </w:pPr>
            <w:r w:rsidRPr="00207C8A">
              <w:rPr>
                <w:color w:val="000000"/>
                <w:sz w:val="20"/>
              </w:rPr>
              <w:t>415 W</w:t>
            </w:r>
          </w:p>
        </w:tc>
        <w:tc>
          <w:tcPr>
            <w:tcW w:w="3168" w:type="dxa"/>
            <w:tcBorders>
              <w:top w:val="nil"/>
              <w:bottom w:val="nil"/>
            </w:tcBorders>
            <w:shd w:val="clear" w:color="auto" w:fill="FFFFFF"/>
            <w:vAlign w:val="center"/>
          </w:tcPr>
          <w:p w14:paraId="7FF6747E" w14:textId="77777777" w:rsidR="00910F71" w:rsidRPr="00207C8A" w:rsidRDefault="00543A90">
            <w:pPr>
              <w:spacing w:line="240" w:lineRule="auto"/>
              <w:jc w:val="center"/>
              <w:rPr>
                <w:color w:val="000000"/>
              </w:rPr>
            </w:pPr>
            <w:r w:rsidRPr="00207C8A">
              <w:rPr>
                <w:color w:val="000000"/>
                <w:sz w:val="20"/>
              </w:rPr>
              <w:t>Sensibilidad eléctrica conservadora</w:t>
            </w:r>
          </w:p>
        </w:tc>
      </w:tr>
      <w:tr w:rsidR="00910F71" w:rsidRPr="00207C8A" w14:paraId="0C0B6F3F" w14:textId="77777777" w:rsidTr="00207C8A">
        <w:trPr>
          <w:jc w:val="center"/>
        </w:trPr>
        <w:tc>
          <w:tcPr>
            <w:tcW w:w="2448" w:type="dxa"/>
            <w:tcBorders>
              <w:top w:val="nil"/>
              <w:bottom w:val="single" w:sz="4" w:space="0" w:color="000000"/>
            </w:tcBorders>
            <w:shd w:val="clear" w:color="auto" w:fill="FFFFFF"/>
            <w:vAlign w:val="center"/>
          </w:tcPr>
          <w:p w14:paraId="28DF1EBE" w14:textId="77777777" w:rsidR="00910F71" w:rsidRPr="00207C8A" w:rsidRDefault="00543A90">
            <w:pPr>
              <w:spacing w:line="240" w:lineRule="auto"/>
              <w:rPr>
                <w:color w:val="000000"/>
              </w:rPr>
            </w:pPr>
            <w:r w:rsidRPr="00207C8A">
              <w:rPr>
                <w:b/>
                <w:color w:val="000000"/>
                <w:sz w:val="20"/>
              </w:rPr>
              <w:t>Precio eléctrico</w:t>
            </w:r>
          </w:p>
        </w:tc>
        <w:tc>
          <w:tcPr>
            <w:tcW w:w="3240" w:type="dxa"/>
            <w:tcBorders>
              <w:top w:val="nil"/>
              <w:bottom w:val="single" w:sz="4" w:space="0" w:color="000000"/>
            </w:tcBorders>
            <w:shd w:val="clear" w:color="auto" w:fill="FFFFFF"/>
            <w:vAlign w:val="center"/>
          </w:tcPr>
          <w:p w14:paraId="12AB2469" w14:textId="77777777" w:rsidR="00910F71" w:rsidRPr="00207C8A" w:rsidRDefault="00543A90">
            <w:pPr>
              <w:spacing w:line="240" w:lineRule="auto"/>
              <w:jc w:val="center"/>
              <w:rPr>
                <w:color w:val="000000"/>
              </w:rPr>
            </w:pPr>
            <w:r w:rsidRPr="00207C8A">
              <w:rPr>
                <w:color w:val="000000"/>
                <w:sz w:val="20"/>
              </w:rPr>
              <w:t>USD 0,1453/kWh</w:t>
            </w:r>
          </w:p>
        </w:tc>
        <w:tc>
          <w:tcPr>
            <w:tcW w:w="3168" w:type="dxa"/>
            <w:tcBorders>
              <w:top w:val="nil"/>
              <w:bottom w:val="single" w:sz="4" w:space="0" w:color="000000"/>
            </w:tcBorders>
            <w:shd w:val="clear" w:color="auto" w:fill="FFFFFF"/>
            <w:vAlign w:val="center"/>
          </w:tcPr>
          <w:p w14:paraId="4AA08B43" w14:textId="77777777" w:rsidR="00910F71" w:rsidRPr="00207C8A" w:rsidRDefault="00543A90">
            <w:pPr>
              <w:spacing w:line="240" w:lineRule="auto"/>
              <w:jc w:val="center"/>
              <w:rPr>
                <w:color w:val="000000"/>
              </w:rPr>
            </w:pPr>
            <w:r w:rsidRPr="00207C8A">
              <w:rPr>
                <w:color w:val="000000"/>
                <w:sz w:val="20"/>
              </w:rPr>
              <w:t>Benchmark comercial; no tarifa argentina</w:t>
            </w:r>
          </w:p>
        </w:tc>
      </w:tr>
    </w:tbl>
    <w:p w14:paraId="2DB77890" w14:textId="77777777" w:rsidR="00910F71" w:rsidRDefault="00910F71">
      <w:pPr>
        <w:spacing w:after="80"/>
      </w:pPr>
    </w:p>
    <w:p w14:paraId="7298FA63" w14:textId="77777777" w:rsidR="00910F71" w:rsidRDefault="00543A90">
      <w:pPr>
        <w:pStyle w:val="Ttulo1"/>
        <w:pageBreakBefore/>
        <w:spacing w:before="400" w:after="200"/>
        <w:jc w:val="center"/>
      </w:pPr>
      <w:r>
        <w:t>Capítulo 6 - Implementación y Prototipo</w:t>
      </w:r>
    </w:p>
    <w:p w14:paraId="71CA8C24" w14:textId="77777777" w:rsidR="00910F71" w:rsidRDefault="00910F71">
      <w:pPr>
        <w:spacing w:after="160"/>
        <w:jc w:val="both"/>
      </w:pPr>
    </w:p>
    <w:p w14:paraId="026F3BBD" w14:textId="77777777" w:rsidR="00910F71" w:rsidRDefault="00543A90">
      <w:pPr>
        <w:pStyle w:val="Ttulo2"/>
        <w:spacing w:before="280" w:after="120"/>
      </w:pPr>
      <w:r>
        <w:t>6.1 Entorno y modelos</w:t>
      </w:r>
    </w:p>
    <w:p w14:paraId="0053827A" w14:textId="77777777" w:rsidR="00910F71" w:rsidRDefault="00543A90">
      <w:pPr>
        <w:spacing w:after="160"/>
        <w:jc w:val="both"/>
      </w:pPr>
      <w:r>
        <w:t>El prototipo se ejecuta en Windows con Python 3.11. GPT-4o mini se consume mediante la API de OpenAI; LLaMA 3.1 8B y Mistral se sirven localmente con Ollama sobre una NVIDIA RTX 3080 Ti y un AMD Ryzen 5 5600X. Las respuestas se generan con una interfaz común que registra texto, latencia, tokens y error. Pydantic valida el esquema de entrada y las credenciales se leen desde variables de entorno que no se versionan.</w:t>
      </w:r>
    </w:p>
    <w:p w14:paraId="1EC13A5F" w14:textId="77777777" w:rsidR="00910F71" w:rsidRDefault="00543A90">
      <w:pPr>
        <w:pStyle w:val="Ttulo2"/>
        <w:spacing w:before="280" w:after="120"/>
      </w:pPr>
      <w:r>
        <w:t>6.2 Construcción del corpus RAG</w:t>
      </w:r>
    </w:p>
    <w:p w14:paraId="75E913E3" w14:textId="77777777" w:rsidR="00910F71" w:rsidRDefault="00543A90">
      <w:pPr>
        <w:spacing w:after="160"/>
        <w:jc w:val="both"/>
      </w:pPr>
      <w:r>
        <w:t>El script construir_corpus_rag.py produce la base de 81 documentos y su auditoría. La traducción opcional del corpus utilizó gpt-4o-mini-2024-07-18: 17.466 tokens de entrada, 13.799 de salida y USD 0,010899 de costo. Dos marcadores variables fueron alterados por la traducción y se restauraron determinísticamente; la validación final informó cero diferencias de placeholders.</w:t>
      </w:r>
    </w:p>
    <w:p w14:paraId="09ACE30E" w14:textId="77777777" w:rsidR="00910F71" w:rsidRDefault="00543A90">
      <w:pPr>
        <w:pStyle w:val="Ttulo2"/>
        <w:spacing w:before="280" w:after="120"/>
      </w:pPr>
      <w:r>
        <w:t>6.3 Pipeline reproducible</w:t>
      </w:r>
    </w:p>
    <w:p w14:paraId="488F3FAA" w14:textId="77777777" w:rsidR="00910F71" w:rsidRDefault="00543A90">
      <w:pPr>
        <w:spacing w:after="160"/>
        <w:jc w:val="both"/>
      </w:pPr>
      <w:r>
        <w:t>La ejecución se divide en scripts independientes para construir, traducir y validar el corpus, realizar el smoke test, ejecutar RAG, repetir el baseline controlado y evaluar ambos resultados. El notebook 03_rag_piloto.ipynb carga los archivos ya evaluados por defecto; las generaciones solo se habilitan mediante una bandera explícita. Este diseño evita gastos y repeticiones accidentales.</w:t>
      </w:r>
    </w:p>
    <w:p w14:paraId="1DEF4FFC" w14:textId="77777777" w:rsidR="00910F71" w:rsidRDefault="00543A90">
      <w:pPr>
        <w:spacing w:after="160"/>
        <w:jc w:val="both"/>
      </w:pPr>
      <w:r>
        <w:t xml:space="preserve">La capa de entrada se implementó en esquema_datos.py y acepta archivos CSV, JSON, JSONL y NDJSON. Para las consultas exige un identificador único y el texto; la respuesta de referencia, el idioma, la categoría y la intención son opcionales. Para el conocimiento exige un identificador y el contenido, mientras que el idioma, la categoría, la intención y la fuente son opcionales. Un archivo de mapeo permite asociar columnas propias del usuario con estos campos, y los atributos adicionales se conservan en metadata. Los adaptadores de Bitext mantienen la compatibilidad con el corpus experimental y el comando validar_datos_entrada.py informa la fila y el campo ante un error antes de ejecutar modelos o consumir APIs. El ejecutor ejecutar_datos_propios.py conecta estas estructuras con el recuperador y los clientes de modelos. Antes de una corrida presenta un </w:t>
      </w:r>
      <w:r>
        <w:t>plan sin cargar modelos ni consumir APIs y exige una confirmación explícita para generar respuestas. Cuando faltan referencias o intenciones, la ejecución continúa y declara como no disponibles las métricas que dependen de esos campos. Además, valida cada checkpoint contra el identificador y el texto de la consulta para evitar la mezcla accidental de datasets.</w:t>
      </w:r>
    </w:p>
    <w:p w14:paraId="3A8A43B6" w14:textId="77777777" w:rsidR="00910F71" w:rsidRDefault="00543A90">
      <w:pPr>
        <w:spacing w:after="80"/>
        <w:ind w:left="720" w:hanging="360"/>
      </w:pPr>
      <w:r>
        <w:t>• comparacion_controlada_rag.csv: comparación principal baseline-RAG.</w:t>
      </w:r>
    </w:p>
    <w:p w14:paraId="6554669F" w14:textId="77777777" w:rsidR="00910F71" w:rsidRDefault="00543A90">
      <w:pPr>
        <w:spacing w:after="80"/>
        <w:ind w:left="720" w:hanging="360"/>
      </w:pPr>
      <w:r>
        <w:t>• resultados_baseline_controlado_evaluados.csv: 60 respuestas del control con métricas.</w:t>
      </w:r>
    </w:p>
    <w:p w14:paraId="71F1C2DE" w14:textId="77777777" w:rsidR="00910F71" w:rsidRDefault="00543A90">
      <w:pPr>
        <w:spacing w:after="80"/>
        <w:ind w:left="720" w:hanging="360"/>
      </w:pPr>
      <w:r>
        <w:t>• resultados_rag_piloto_evaluados.csv: 60 respuestas RAG con recuperación, calidad y costos.</w:t>
      </w:r>
    </w:p>
    <w:p w14:paraId="62CDA812" w14:textId="77777777" w:rsidR="00910F71" w:rsidRDefault="00543A90">
      <w:pPr>
        <w:spacing w:after="80"/>
        <w:ind w:left="720" w:hanging="360"/>
      </w:pPr>
      <w:r>
        <w:t>• data/conocimiento_rag_auditoria.json: trazabilidad de la base de conocimiento.</w:t>
      </w:r>
    </w:p>
    <w:p w14:paraId="06B5AA43" w14:textId="77777777" w:rsidR="00910F71" w:rsidRDefault="00543A90">
      <w:pPr>
        <w:pStyle w:val="Ttulo2"/>
        <w:spacing w:before="280" w:after="120"/>
      </w:pPr>
      <w:r>
        <w:t>6.4 Verificación técnica</w:t>
      </w:r>
    </w:p>
    <w:p w14:paraId="02517927" w14:textId="77777777" w:rsidR="00910F71" w:rsidRDefault="00543A90">
      <w:pPr>
        <w:spacing w:after="160"/>
        <w:jc w:val="both"/>
      </w:pPr>
      <w:r>
        <w:t>El smoke test local completó cuatro generaciones de dos consultas en LLaMA y Mistral. La corrida completa produjo 60 de 60 respuestas válidas en RAG y otras 60 de 60 en el baseline controlado. La suite automatizada finalizó con 66 pruebas aprobadas, incluidas trece dedicadas al esquema de entrada y su integración con el pipeline. Durante el smoke test, Mistral inventó un canal de correo que no estaba respaldado por el contexto; este caso confirma que RAG reduce el espacio de respuesta, pero no garantiza por sí mismo la ausencia de alucinaciones.</w:t>
      </w:r>
    </w:p>
    <w:p w14:paraId="0AA1721C" w14:textId="77777777" w:rsidR="00207C8A" w:rsidRDefault="00207C8A" w:rsidP="00207C8A">
      <w:pPr>
        <w:pStyle w:val="Ttulo2"/>
      </w:pPr>
      <w:r>
        <w:t>6.5 Dashboard de resultados</w:t>
      </w:r>
    </w:p>
    <w:p w14:paraId="0D5B37A2" w14:textId="77777777" w:rsidR="00207C8A" w:rsidRDefault="00207C8A" w:rsidP="00207C8A">
      <w:r>
        <w:rPr>
          <w:rFonts w:ascii="Times New Roman" w:hAnsi="Times New Roman" w:cs="Times New Roman"/>
          <w:sz w:val="24"/>
        </w:rPr>
        <w:t>El prototipo incluye un dashboard desarrollado en Streamlit que carga los archivos de resultados del experimento ampliado sin volver a invocar modelos ni APIs. La vista presenta indicadores de recuperación, comparaciones de calidad con y sin RAG, latencia, costo estimado por 1.000 consultas y una tabla detallada por modelo. Las figuras incluidas en el Capítulo 7 se generan mediante un script reproducible a partir de los mismos archivos CSV.</w:t>
      </w:r>
    </w:p>
    <w:p w14:paraId="7F71FBEB" w14:textId="77777777" w:rsidR="00207C8A" w:rsidRDefault="00207C8A" w:rsidP="00207C8A"/>
    <w:p w14:paraId="52DA5DCE" w14:textId="77777777" w:rsidR="00910F71" w:rsidRDefault="00543A90">
      <w:pPr>
        <w:pStyle w:val="Ttulo1"/>
        <w:pageBreakBefore/>
        <w:spacing w:before="400" w:after="200"/>
        <w:jc w:val="center"/>
      </w:pPr>
      <w:r>
        <w:t>Capítulo 7 - Experimentación y Resultados</w:t>
      </w:r>
    </w:p>
    <w:p w14:paraId="1E4D965C" w14:textId="77777777" w:rsidR="00910F71" w:rsidRDefault="00910F71">
      <w:pPr>
        <w:spacing w:after="160"/>
        <w:jc w:val="both"/>
      </w:pPr>
    </w:p>
    <w:p w14:paraId="218DF7D4" w14:textId="77777777" w:rsidR="00910F71" w:rsidRDefault="00543A90">
      <w:pPr>
        <w:pStyle w:val="Ttulo2"/>
        <w:spacing w:before="280" w:after="120"/>
      </w:pPr>
      <w:r>
        <w:t>7.1 Diseño del piloto controlado</w:t>
      </w:r>
    </w:p>
    <w:p w14:paraId="5E694087" w14:textId="77777777" w:rsidR="00910F71" w:rsidRDefault="00543A90">
      <w:pPr>
        <w:spacing w:after="160"/>
        <w:jc w:val="both"/>
      </w:pPr>
      <w:r>
        <w:t>La comparación controlada usa las mismas 20 consultas, referencias, modelos y parámetros de generación en ambas condiciones. El baseline se repitió con calentamiento en la misma sesión que RAG. Se obtuvieron 60 observaciones por condición sin errores. Todos los resultados siguientes son promedios descriptivos por modelo.</w:t>
      </w:r>
    </w:p>
    <w:p w14:paraId="06DD63F2" w14:textId="77777777" w:rsidR="00910F71" w:rsidRDefault="00543A90">
      <w:pPr>
        <w:pStyle w:val="Ttulo2"/>
        <w:spacing w:before="280" w:after="120"/>
      </w:pPr>
      <w:r>
        <w:t>7.2 Rendimiento del recuperador</w:t>
      </w:r>
    </w:p>
    <w:p w14:paraId="764FF9C7" w14:textId="77777777" w:rsidR="00910F71" w:rsidRDefault="00910F71">
      <w:pPr>
        <w:keepNext/>
        <w:spacing w:before="120" w:after="80"/>
        <w:jc w:val="center"/>
      </w:pPr>
    </w:p>
    <w:p>
      <w:pPr>
        <w:pStyle w:val="Descripcin"/>
        <w:keepNext/>
        <w:spacing w:before="240" w:after="0" w:line="360" w:lineRule="auto"/>
        <w:jc w:val="left"/>
      </w:pPr>
      <w:r>
        <w:rPr>
          <w:rFonts w:ascii="Times New Roman" w:hAnsi="Times New Roman" w:cs="Times New Roman"/>
          <w:b/>
          <w:sz w:val="24"/>
        </w:rPr>
        <w:t>Tabla 2</w:t>
        <w:br/>
      </w:r>
      <w:r>
        <w:rPr>
          <w:rFonts w:ascii="Times New Roman" w:hAnsi="Times New Roman" w:cs="Times New Roman"/>
          <w:i/>
          <w:sz w:val="24"/>
        </w:rPr>
        <w:t>Auditoría y desempeño de recuperación del piloto</w:t>
      </w: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3384"/>
        <w:gridCol w:w="2736"/>
        <w:gridCol w:w="2736"/>
      </w:tblGrid>
      <w:tr w:rsidR="00910F71" w:rsidRPr="00207C8A" w14:paraId="75FBDBA8" w14:textId="77777777" w:rsidTr="00207C8A">
        <w:trPr>
          <w:tblHeader/>
          <w:jc w:val="center"/>
        </w:trPr>
        <w:tc>
          <w:tcPr>
            <w:tcW w:w="3384" w:type="dxa"/>
            <w:tcBorders>
              <w:top w:val="single" w:sz="4" w:space="0" w:color="000000"/>
              <w:bottom w:val="single" w:sz="4" w:space="0" w:color="000000"/>
            </w:tcBorders>
            <w:shd w:val="clear" w:color="auto" w:fill="FFFFFF"/>
            <w:vAlign w:val="center"/>
          </w:tcPr>
          <w:p>
            <w:r>
              <w:t>Indicador</w:t>
            </w:r>
          </w:p>
        </w:tc>
        <w:tc>
          <w:tcPr>
            <w:tcW w:w="2736" w:type="dxa"/>
            <w:tcBorders>
              <w:top w:val="single" w:sz="4" w:space="0" w:color="000000"/>
              <w:bottom w:val="single" w:sz="4" w:space="0" w:color="000000"/>
            </w:tcBorders>
            <w:shd w:val="clear" w:color="auto" w:fill="FFFFFF"/>
            <w:vAlign w:val="center"/>
          </w:tcPr>
          <w:p w14:paraId="39BC6231" w14:textId="77777777" w:rsidR="00910F71" w:rsidRPr="00207C8A" w:rsidRDefault="00543A90">
            <w:pPr>
              <w:spacing w:line="240" w:lineRule="auto"/>
              <w:jc w:val="center"/>
              <w:rPr>
                <w:b/>
                <w:color w:val="000000"/>
              </w:rPr>
            </w:pPr>
            <w:r w:rsidRPr="00207C8A">
              <w:rPr>
                <w:b/>
                <w:color w:val="000000"/>
                <w:sz w:val="20"/>
              </w:rPr>
              <w:t>Corpus inglés</w:t>
            </w:r>
          </w:p>
        </w:tc>
        <w:tc>
          <w:tcPr>
            <w:tcW w:w="2736" w:type="dxa"/>
            <w:tcBorders>
              <w:top w:val="single" w:sz="4" w:space="0" w:color="000000"/>
              <w:bottom w:val="single" w:sz="4" w:space="0" w:color="000000"/>
            </w:tcBorders>
            <w:shd w:val="clear" w:color="auto" w:fill="FFFFFF"/>
            <w:vAlign w:val="center"/>
          </w:tcPr>
          <w:p w14:paraId="0B0FBE15" w14:textId="77777777" w:rsidR="00910F71" w:rsidRPr="00207C8A" w:rsidRDefault="00543A90">
            <w:pPr>
              <w:spacing w:line="240" w:lineRule="auto"/>
              <w:jc w:val="center"/>
              <w:rPr>
                <w:b/>
                <w:color w:val="000000"/>
              </w:rPr>
            </w:pPr>
            <w:r w:rsidRPr="00207C8A">
              <w:rPr>
                <w:b/>
                <w:color w:val="000000"/>
                <w:sz w:val="20"/>
              </w:rPr>
              <w:t>Corpus traducido</w:t>
            </w:r>
          </w:p>
        </w:tc>
      </w:tr>
      <w:tr w:rsidR="00910F71" w:rsidRPr="00207C8A" w14:paraId="11B29DC5" w14:textId="77777777" w:rsidTr="00207C8A">
        <w:trPr>
          <w:jc w:val="center"/>
        </w:trPr>
        <w:tc>
          <w:tcPr>
            <w:tcW w:w="3384" w:type="dxa"/>
            <w:tcBorders>
              <w:top w:val="single" w:sz="4" w:space="0" w:color="000000"/>
              <w:bottom w:val="nil"/>
            </w:tcBorders>
            <w:shd w:val="clear" w:color="auto" w:fill="FFFFFF"/>
            <w:vAlign w:val="center"/>
          </w:tcPr>
          <w:p w14:paraId="5A26A66E" w14:textId="77777777" w:rsidR="00910F71" w:rsidRPr="00207C8A" w:rsidRDefault="00543A90">
            <w:pPr>
              <w:spacing w:line="240" w:lineRule="auto"/>
              <w:rPr>
                <w:color w:val="000000"/>
              </w:rPr>
            </w:pPr>
            <w:r w:rsidRPr="00207C8A">
              <w:rPr>
                <w:b/>
                <w:color w:val="000000"/>
                <w:sz w:val="20"/>
              </w:rPr>
              <w:t>Documentos / intenciones</w:t>
            </w:r>
          </w:p>
        </w:tc>
        <w:tc>
          <w:tcPr>
            <w:tcW w:w="2736" w:type="dxa"/>
            <w:tcBorders>
              <w:top w:val="single" w:sz="4" w:space="0" w:color="000000"/>
              <w:bottom w:val="nil"/>
            </w:tcBorders>
            <w:shd w:val="clear" w:color="auto" w:fill="FFFFFF"/>
            <w:vAlign w:val="center"/>
          </w:tcPr>
          <w:p w14:paraId="17CBA11B" w14:textId="77777777" w:rsidR="00910F71" w:rsidRPr="00207C8A" w:rsidRDefault="00543A90">
            <w:pPr>
              <w:spacing w:line="240" w:lineRule="auto"/>
              <w:jc w:val="center"/>
              <w:rPr>
                <w:color w:val="000000"/>
              </w:rPr>
            </w:pPr>
            <w:r w:rsidRPr="00207C8A">
              <w:rPr>
                <w:color w:val="000000"/>
                <w:sz w:val="20"/>
              </w:rPr>
              <w:t>81 / 27</w:t>
            </w:r>
          </w:p>
        </w:tc>
        <w:tc>
          <w:tcPr>
            <w:tcW w:w="2736" w:type="dxa"/>
            <w:tcBorders>
              <w:top w:val="single" w:sz="4" w:space="0" w:color="000000"/>
              <w:bottom w:val="nil"/>
            </w:tcBorders>
            <w:shd w:val="clear" w:color="auto" w:fill="FFFFFF"/>
            <w:vAlign w:val="center"/>
          </w:tcPr>
          <w:p w14:paraId="79F045CC" w14:textId="77777777" w:rsidR="00910F71" w:rsidRPr="00207C8A" w:rsidRDefault="00543A90">
            <w:pPr>
              <w:spacing w:line="240" w:lineRule="auto"/>
              <w:jc w:val="center"/>
              <w:rPr>
                <w:color w:val="000000"/>
              </w:rPr>
            </w:pPr>
            <w:r w:rsidRPr="00207C8A">
              <w:rPr>
                <w:color w:val="000000"/>
                <w:sz w:val="20"/>
              </w:rPr>
              <w:t>81 / 27</w:t>
            </w:r>
          </w:p>
        </w:tc>
      </w:tr>
      <w:tr w:rsidR="00910F71" w:rsidRPr="00207C8A" w14:paraId="1DAEE1E9" w14:textId="77777777" w:rsidTr="00207C8A">
        <w:trPr>
          <w:jc w:val="center"/>
        </w:trPr>
        <w:tc>
          <w:tcPr>
            <w:tcW w:w="3384" w:type="dxa"/>
            <w:tcBorders>
              <w:top w:val="nil"/>
              <w:bottom w:val="nil"/>
            </w:tcBorders>
            <w:shd w:val="clear" w:color="auto" w:fill="FFFFFF"/>
            <w:vAlign w:val="center"/>
          </w:tcPr>
          <w:p w14:paraId="0C5B4F62" w14:textId="77777777" w:rsidR="00910F71" w:rsidRPr="00207C8A" w:rsidRDefault="00543A90">
            <w:pPr>
              <w:spacing w:line="240" w:lineRule="auto"/>
              <w:rPr>
                <w:color w:val="000000"/>
              </w:rPr>
            </w:pPr>
            <w:r w:rsidRPr="00207C8A">
              <w:rPr>
                <w:b/>
                <w:color w:val="000000"/>
                <w:sz w:val="20"/>
              </w:rPr>
              <w:t>Hit@1</w:t>
            </w:r>
          </w:p>
        </w:tc>
        <w:tc>
          <w:tcPr>
            <w:tcW w:w="2736" w:type="dxa"/>
            <w:tcBorders>
              <w:top w:val="nil"/>
              <w:bottom w:val="nil"/>
            </w:tcBorders>
            <w:shd w:val="clear" w:color="auto" w:fill="FFFFFF"/>
            <w:vAlign w:val="center"/>
          </w:tcPr>
          <w:p w14:paraId="26011AA6" w14:textId="77777777" w:rsidR="00910F71" w:rsidRPr="00207C8A" w:rsidRDefault="00543A90">
            <w:pPr>
              <w:spacing w:line="240" w:lineRule="auto"/>
              <w:jc w:val="center"/>
              <w:rPr>
                <w:color w:val="000000"/>
              </w:rPr>
            </w:pPr>
            <w:r w:rsidRPr="00207C8A">
              <w:rPr>
                <w:color w:val="000000"/>
                <w:sz w:val="20"/>
              </w:rPr>
              <w:t>80 %</w:t>
            </w:r>
          </w:p>
        </w:tc>
        <w:tc>
          <w:tcPr>
            <w:tcW w:w="2736" w:type="dxa"/>
            <w:tcBorders>
              <w:top w:val="nil"/>
              <w:bottom w:val="nil"/>
            </w:tcBorders>
            <w:shd w:val="clear" w:color="auto" w:fill="FFFFFF"/>
            <w:vAlign w:val="center"/>
          </w:tcPr>
          <w:p w14:paraId="1368270D" w14:textId="77777777" w:rsidR="00910F71" w:rsidRPr="00207C8A" w:rsidRDefault="00543A90">
            <w:pPr>
              <w:spacing w:line="240" w:lineRule="auto"/>
              <w:jc w:val="center"/>
              <w:rPr>
                <w:color w:val="000000"/>
              </w:rPr>
            </w:pPr>
            <w:r w:rsidRPr="00207C8A">
              <w:rPr>
                <w:color w:val="000000"/>
                <w:sz w:val="20"/>
              </w:rPr>
              <w:t>70 %</w:t>
            </w:r>
          </w:p>
        </w:tc>
      </w:tr>
      <w:tr w:rsidR="00910F71" w:rsidRPr="00207C8A" w14:paraId="003439A0" w14:textId="77777777" w:rsidTr="00207C8A">
        <w:trPr>
          <w:jc w:val="center"/>
        </w:trPr>
        <w:tc>
          <w:tcPr>
            <w:tcW w:w="3384" w:type="dxa"/>
            <w:tcBorders>
              <w:top w:val="nil"/>
              <w:bottom w:val="nil"/>
            </w:tcBorders>
            <w:shd w:val="clear" w:color="auto" w:fill="FFFFFF"/>
            <w:vAlign w:val="center"/>
          </w:tcPr>
          <w:p w14:paraId="591D665C" w14:textId="77777777" w:rsidR="00910F71" w:rsidRPr="00207C8A" w:rsidRDefault="00543A90">
            <w:pPr>
              <w:spacing w:line="240" w:lineRule="auto"/>
              <w:rPr>
                <w:color w:val="000000"/>
              </w:rPr>
            </w:pPr>
            <w:r w:rsidRPr="00207C8A">
              <w:rPr>
                <w:b/>
                <w:color w:val="000000"/>
                <w:sz w:val="20"/>
              </w:rPr>
              <w:t>Hit@3</w:t>
            </w:r>
          </w:p>
        </w:tc>
        <w:tc>
          <w:tcPr>
            <w:tcW w:w="2736" w:type="dxa"/>
            <w:tcBorders>
              <w:top w:val="nil"/>
              <w:bottom w:val="nil"/>
            </w:tcBorders>
            <w:shd w:val="clear" w:color="auto" w:fill="FFFFFF"/>
            <w:vAlign w:val="center"/>
          </w:tcPr>
          <w:p w14:paraId="57ECB289" w14:textId="77777777" w:rsidR="00910F71" w:rsidRPr="00207C8A" w:rsidRDefault="00543A90">
            <w:pPr>
              <w:spacing w:line="240" w:lineRule="auto"/>
              <w:jc w:val="center"/>
              <w:rPr>
                <w:color w:val="000000"/>
              </w:rPr>
            </w:pPr>
            <w:r w:rsidRPr="00207C8A">
              <w:rPr>
                <w:color w:val="000000"/>
                <w:sz w:val="20"/>
              </w:rPr>
              <w:t>90 %</w:t>
            </w:r>
          </w:p>
        </w:tc>
        <w:tc>
          <w:tcPr>
            <w:tcW w:w="2736" w:type="dxa"/>
            <w:tcBorders>
              <w:top w:val="nil"/>
              <w:bottom w:val="nil"/>
            </w:tcBorders>
            <w:shd w:val="clear" w:color="auto" w:fill="FFFFFF"/>
            <w:vAlign w:val="center"/>
          </w:tcPr>
          <w:p w14:paraId="2E8A06D1" w14:textId="77777777" w:rsidR="00910F71" w:rsidRPr="00207C8A" w:rsidRDefault="00543A90">
            <w:pPr>
              <w:spacing w:line="240" w:lineRule="auto"/>
              <w:jc w:val="center"/>
              <w:rPr>
                <w:color w:val="000000"/>
              </w:rPr>
            </w:pPr>
            <w:r w:rsidRPr="00207C8A">
              <w:rPr>
                <w:color w:val="000000"/>
                <w:sz w:val="20"/>
              </w:rPr>
              <w:t>85 %</w:t>
            </w:r>
          </w:p>
        </w:tc>
      </w:tr>
      <w:tr w:rsidR="00910F71" w:rsidRPr="00207C8A" w14:paraId="3C4E7196" w14:textId="77777777" w:rsidTr="00207C8A">
        <w:trPr>
          <w:jc w:val="center"/>
        </w:trPr>
        <w:tc>
          <w:tcPr>
            <w:tcW w:w="3384" w:type="dxa"/>
            <w:tcBorders>
              <w:top w:val="nil"/>
              <w:bottom w:val="single" w:sz="4" w:space="0" w:color="000000"/>
            </w:tcBorders>
            <w:shd w:val="clear" w:color="auto" w:fill="FFFFFF"/>
            <w:vAlign w:val="center"/>
          </w:tcPr>
          <w:p w14:paraId="6E935D5A" w14:textId="77777777" w:rsidR="00910F71" w:rsidRPr="00207C8A" w:rsidRDefault="00543A90">
            <w:pPr>
              <w:spacing w:line="240" w:lineRule="auto"/>
              <w:rPr>
                <w:color w:val="000000"/>
              </w:rPr>
            </w:pPr>
            <w:r w:rsidRPr="00207C8A">
              <w:rPr>
                <w:b/>
                <w:color w:val="000000"/>
                <w:sz w:val="20"/>
              </w:rPr>
              <w:t>Latencia media</w:t>
            </w:r>
          </w:p>
        </w:tc>
        <w:tc>
          <w:tcPr>
            <w:tcW w:w="2736" w:type="dxa"/>
            <w:tcBorders>
              <w:top w:val="nil"/>
              <w:bottom w:val="single" w:sz="4" w:space="0" w:color="000000"/>
            </w:tcBorders>
            <w:shd w:val="clear" w:color="auto" w:fill="FFFFFF"/>
            <w:vAlign w:val="center"/>
          </w:tcPr>
          <w:p w14:paraId="267148AC" w14:textId="77777777" w:rsidR="00910F71" w:rsidRPr="00207C8A" w:rsidRDefault="00543A90">
            <w:pPr>
              <w:spacing w:line="240" w:lineRule="auto"/>
              <w:jc w:val="center"/>
              <w:rPr>
                <w:color w:val="000000"/>
              </w:rPr>
            </w:pPr>
            <w:r w:rsidRPr="00207C8A">
              <w:rPr>
                <w:color w:val="000000"/>
                <w:sz w:val="20"/>
              </w:rPr>
              <w:t>14,40 ms</w:t>
            </w:r>
          </w:p>
        </w:tc>
        <w:tc>
          <w:tcPr>
            <w:tcW w:w="2736" w:type="dxa"/>
            <w:tcBorders>
              <w:top w:val="nil"/>
              <w:bottom w:val="single" w:sz="4" w:space="0" w:color="000000"/>
            </w:tcBorders>
            <w:shd w:val="clear" w:color="auto" w:fill="FFFFFF"/>
            <w:vAlign w:val="center"/>
          </w:tcPr>
          <w:p w14:paraId="62FDC3D3" w14:textId="77777777" w:rsidR="00910F71" w:rsidRPr="00207C8A" w:rsidRDefault="00543A90">
            <w:pPr>
              <w:spacing w:line="240" w:lineRule="auto"/>
              <w:jc w:val="center"/>
              <w:rPr>
                <w:color w:val="000000"/>
              </w:rPr>
            </w:pPr>
            <w:r w:rsidRPr="00207C8A">
              <w:rPr>
                <w:color w:val="000000"/>
                <w:sz w:val="20"/>
              </w:rPr>
              <w:t>14,56 ms</w:t>
            </w:r>
          </w:p>
        </w:tc>
      </w:tr>
    </w:tbl>
    <w:p w14:paraId="28684B9B" w14:textId="77777777" w:rsidR="00910F71" w:rsidRDefault="00910F71">
      <w:pPr>
        <w:spacing w:after="80"/>
      </w:pPr>
    </w:p>
    <w:p w14:paraId="4429310E" w14:textId="77777777" w:rsidR="00910F71" w:rsidRDefault="00543A90">
      <w:pPr>
        <w:spacing w:after="160"/>
        <w:jc w:val="both"/>
      </w:pPr>
      <w:r>
        <w:t>La diferencia favorece al conocimiento original en inglés a pesar de que las consultas están en español, lo que muestra que traducir el corpus no garantizó una mejor vecindad semántica. La configuración inglesa se fijó antes de la generación completa y se mantuvo sin ajustar los dos fallos de Hit@3.</w:t>
      </w:r>
    </w:p>
    <w:p w14:paraId="7B4BC551" w14:textId="77777777" w:rsidR="00910F71" w:rsidRDefault="00543A90">
      <w:pPr>
        <w:pStyle w:val="Ttulo2"/>
        <w:spacing w:before="280" w:after="120"/>
      </w:pPr>
      <w:r>
        <w:t>7.3 Calidad por modelo y condición</w:t>
      </w:r>
    </w:p>
    <w:p w14:paraId="24DDAF76" w14:textId="77777777" w:rsidR="00910F71" w:rsidRDefault="00910F71">
      <w:pPr>
        <w:keepNext/>
        <w:spacing w:before="120" w:after="80"/>
        <w:jc w:val="center"/>
      </w:pPr>
    </w:p>
    <w:p>
      <w:pPr>
        <w:pStyle w:val="Descripcin"/>
        <w:keepNext/>
        <w:spacing w:before="240" w:after="0" w:line="360" w:lineRule="auto"/>
        <w:jc w:val="left"/>
      </w:pPr>
      <w:r>
        <w:rPr>
          <w:rFonts w:ascii="Times New Roman" w:hAnsi="Times New Roman" w:cs="Times New Roman"/>
          <w:b/>
          <w:sz w:val="24"/>
        </w:rPr>
        <w:t>Tabla 3</w:t>
        <w:br/>
      </w:r>
      <w:r>
        <w:rPr>
          <w:rFonts w:ascii="Times New Roman" w:hAnsi="Times New Roman" w:cs="Times New Roman"/>
          <w:i/>
          <w:sz w:val="24"/>
        </w:rPr>
        <w:t>Calidad semántica en la comparación controlada del piloto</w:t>
      </w: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232"/>
        <w:gridCol w:w="3384"/>
        <w:gridCol w:w="3384"/>
      </w:tblGrid>
      <w:tr w:rsidR="00910F71" w:rsidRPr="00207C8A" w14:paraId="7F62103F" w14:textId="77777777" w:rsidTr="00207C8A">
        <w:trPr>
          <w:tblHeader/>
          <w:jc w:val="center"/>
        </w:trPr>
        <w:tc>
          <w:tcPr>
            <w:tcW w:w="2232" w:type="dxa"/>
            <w:tcBorders>
              <w:top w:val="single" w:sz="4" w:space="0" w:color="000000"/>
              <w:bottom w:val="single" w:sz="4" w:space="0" w:color="000000"/>
            </w:tcBorders>
            <w:shd w:val="clear" w:color="auto" w:fill="FFFFFF"/>
            <w:vAlign w:val="center"/>
          </w:tcPr>
          <w:p>
            <w:r>
              <w:t>Modelo</w:t>
            </w:r>
          </w:p>
        </w:tc>
        <w:tc>
          <w:tcPr>
            <w:tcW w:w="3384" w:type="dxa"/>
            <w:tcBorders>
              <w:top w:val="single" w:sz="4" w:space="0" w:color="000000"/>
              <w:bottom w:val="single" w:sz="4" w:space="0" w:color="000000"/>
            </w:tcBorders>
            <w:shd w:val="clear" w:color="auto" w:fill="FFFFFF"/>
            <w:vAlign w:val="center"/>
          </w:tcPr>
          <w:p w14:paraId="294DC089" w14:textId="77777777" w:rsidR="00910F71" w:rsidRPr="00207C8A" w:rsidRDefault="00543A90">
            <w:pPr>
              <w:spacing w:line="240" w:lineRule="auto"/>
              <w:jc w:val="center"/>
              <w:rPr>
                <w:b/>
                <w:color w:val="000000"/>
              </w:rPr>
            </w:pPr>
            <w:r w:rsidRPr="00207C8A">
              <w:rPr>
                <w:b/>
                <w:color w:val="000000"/>
                <w:sz w:val="20"/>
              </w:rPr>
              <w:t>BERTScore base / RAG / delta</w:t>
            </w:r>
          </w:p>
        </w:tc>
        <w:tc>
          <w:tcPr>
            <w:tcW w:w="3384" w:type="dxa"/>
            <w:tcBorders>
              <w:top w:val="single" w:sz="4" w:space="0" w:color="000000"/>
              <w:bottom w:val="single" w:sz="4" w:space="0" w:color="000000"/>
            </w:tcBorders>
            <w:shd w:val="clear" w:color="auto" w:fill="FFFFFF"/>
            <w:vAlign w:val="center"/>
          </w:tcPr>
          <w:p w14:paraId="26E02116" w14:textId="77777777" w:rsidR="00910F71" w:rsidRPr="00207C8A" w:rsidRDefault="00543A90">
            <w:pPr>
              <w:spacing w:line="240" w:lineRule="auto"/>
              <w:jc w:val="center"/>
              <w:rPr>
                <w:b/>
                <w:color w:val="000000"/>
              </w:rPr>
            </w:pPr>
            <w:r w:rsidRPr="00207C8A">
              <w:rPr>
                <w:b/>
                <w:color w:val="000000"/>
                <w:sz w:val="20"/>
              </w:rPr>
              <w:t>ROUGE-L base / RAG / delta</w:t>
            </w:r>
          </w:p>
        </w:tc>
      </w:tr>
      <w:tr w:rsidR="00910F71" w:rsidRPr="00207C8A" w14:paraId="495581BC" w14:textId="77777777" w:rsidTr="00207C8A">
        <w:trPr>
          <w:jc w:val="center"/>
        </w:trPr>
        <w:tc>
          <w:tcPr>
            <w:tcW w:w="2232" w:type="dxa"/>
            <w:tcBorders>
              <w:top w:val="single" w:sz="4" w:space="0" w:color="000000"/>
              <w:bottom w:val="nil"/>
            </w:tcBorders>
            <w:shd w:val="clear" w:color="auto" w:fill="FFFFFF"/>
            <w:vAlign w:val="center"/>
          </w:tcPr>
          <w:p w14:paraId="7016371F" w14:textId="77777777" w:rsidR="00910F71" w:rsidRPr="00207C8A" w:rsidRDefault="00543A90">
            <w:pPr>
              <w:spacing w:line="240" w:lineRule="auto"/>
              <w:rPr>
                <w:color w:val="000000"/>
              </w:rPr>
            </w:pPr>
            <w:r w:rsidRPr="00207C8A">
              <w:rPr>
                <w:b/>
                <w:color w:val="000000"/>
                <w:sz w:val="20"/>
              </w:rPr>
              <w:t>GPT-4o mini</w:t>
            </w:r>
          </w:p>
        </w:tc>
        <w:tc>
          <w:tcPr>
            <w:tcW w:w="3384" w:type="dxa"/>
            <w:tcBorders>
              <w:top w:val="single" w:sz="4" w:space="0" w:color="000000"/>
              <w:bottom w:val="nil"/>
            </w:tcBorders>
            <w:shd w:val="clear" w:color="auto" w:fill="FFFFFF"/>
            <w:vAlign w:val="center"/>
          </w:tcPr>
          <w:p w14:paraId="1F4D9261" w14:textId="77777777" w:rsidR="00910F71" w:rsidRPr="00207C8A" w:rsidRDefault="00543A90">
            <w:pPr>
              <w:spacing w:line="240" w:lineRule="auto"/>
              <w:jc w:val="center"/>
              <w:rPr>
                <w:color w:val="000000"/>
              </w:rPr>
            </w:pPr>
            <w:r w:rsidRPr="00207C8A">
              <w:rPr>
                <w:color w:val="000000"/>
                <w:sz w:val="20"/>
              </w:rPr>
              <w:t>0,7121 / 0,7526 / +0,0405</w:t>
            </w:r>
          </w:p>
        </w:tc>
        <w:tc>
          <w:tcPr>
            <w:tcW w:w="3384" w:type="dxa"/>
            <w:tcBorders>
              <w:top w:val="single" w:sz="4" w:space="0" w:color="000000"/>
              <w:bottom w:val="nil"/>
            </w:tcBorders>
            <w:shd w:val="clear" w:color="auto" w:fill="FFFFFF"/>
            <w:vAlign w:val="center"/>
          </w:tcPr>
          <w:p w14:paraId="7DF55F49" w14:textId="77777777" w:rsidR="00910F71" w:rsidRPr="00207C8A" w:rsidRDefault="00543A90">
            <w:pPr>
              <w:spacing w:line="240" w:lineRule="auto"/>
              <w:jc w:val="center"/>
              <w:rPr>
                <w:color w:val="000000"/>
              </w:rPr>
            </w:pPr>
            <w:r w:rsidRPr="00207C8A">
              <w:rPr>
                <w:color w:val="000000"/>
                <w:sz w:val="20"/>
              </w:rPr>
              <w:t>0,2364 / 0,3054 / +0,0690</w:t>
            </w:r>
          </w:p>
        </w:tc>
      </w:tr>
      <w:tr w:rsidR="00910F71" w:rsidRPr="00207C8A" w14:paraId="6A62E9E2" w14:textId="77777777" w:rsidTr="00207C8A">
        <w:trPr>
          <w:jc w:val="center"/>
        </w:trPr>
        <w:tc>
          <w:tcPr>
            <w:tcW w:w="2232" w:type="dxa"/>
            <w:tcBorders>
              <w:top w:val="nil"/>
              <w:bottom w:val="nil"/>
            </w:tcBorders>
            <w:shd w:val="clear" w:color="auto" w:fill="FFFFFF"/>
            <w:vAlign w:val="center"/>
          </w:tcPr>
          <w:p w14:paraId="705ED9D8" w14:textId="77777777" w:rsidR="00910F71" w:rsidRPr="00207C8A" w:rsidRDefault="00543A90">
            <w:pPr>
              <w:spacing w:line="240" w:lineRule="auto"/>
              <w:rPr>
                <w:color w:val="000000"/>
              </w:rPr>
            </w:pPr>
            <w:r w:rsidRPr="00207C8A">
              <w:rPr>
                <w:b/>
                <w:color w:val="000000"/>
                <w:sz w:val="20"/>
              </w:rPr>
              <w:t>LLaMA 3.1 8B</w:t>
            </w:r>
          </w:p>
        </w:tc>
        <w:tc>
          <w:tcPr>
            <w:tcW w:w="3384" w:type="dxa"/>
            <w:tcBorders>
              <w:top w:val="nil"/>
              <w:bottom w:val="nil"/>
            </w:tcBorders>
            <w:shd w:val="clear" w:color="auto" w:fill="FFFFFF"/>
            <w:vAlign w:val="center"/>
          </w:tcPr>
          <w:p w14:paraId="01D8176D" w14:textId="77777777" w:rsidR="00910F71" w:rsidRPr="00207C8A" w:rsidRDefault="00543A90">
            <w:pPr>
              <w:spacing w:line="240" w:lineRule="auto"/>
              <w:jc w:val="center"/>
              <w:rPr>
                <w:color w:val="000000"/>
              </w:rPr>
            </w:pPr>
            <w:r w:rsidRPr="00207C8A">
              <w:rPr>
                <w:color w:val="000000"/>
                <w:sz w:val="20"/>
              </w:rPr>
              <w:t>0,7151 / 0,7213 / +0,0061</w:t>
            </w:r>
          </w:p>
        </w:tc>
        <w:tc>
          <w:tcPr>
            <w:tcW w:w="3384" w:type="dxa"/>
            <w:tcBorders>
              <w:top w:val="nil"/>
              <w:bottom w:val="nil"/>
            </w:tcBorders>
            <w:shd w:val="clear" w:color="auto" w:fill="FFFFFF"/>
            <w:vAlign w:val="center"/>
          </w:tcPr>
          <w:p w14:paraId="5A077010" w14:textId="77777777" w:rsidR="00910F71" w:rsidRPr="00207C8A" w:rsidRDefault="00543A90">
            <w:pPr>
              <w:spacing w:line="240" w:lineRule="auto"/>
              <w:jc w:val="center"/>
              <w:rPr>
                <w:color w:val="000000"/>
              </w:rPr>
            </w:pPr>
            <w:r w:rsidRPr="00207C8A">
              <w:rPr>
                <w:color w:val="000000"/>
                <w:sz w:val="20"/>
              </w:rPr>
              <w:t>0,2479 / 0,2224 / -0,0255</w:t>
            </w:r>
          </w:p>
        </w:tc>
      </w:tr>
      <w:tr w:rsidR="00910F71" w:rsidRPr="00207C8A" w14:paraId="300C6DBF" w14:textId="77777777" w:rsidTr="00207C8A">
        <w:trPr>
          <w:jc w:val="center"/>
        </w:trPr>
        <w:tc>
          <w:tcPr>
            <w:tcW w:w="2232" w:type="dxa"/>
            <w:tcBorders>
              <w:top w:val="nil"/>
              <w:bottom w:val="single" w:sz="4" w:space="0" w:color="000000"/>
            </w:tcBorders>
            <w:shd w:val="clear" w:color="auto" w:fill="FFFFFF"/>
            <w:vAlign w:val="center"/>
          </w:tcPr>
          <w:p w14:paraId="6FB36C4C" w14:textId="77777777" w:rsidR="00910F71" w:rsidRPr="00207C8A" w:rsidRDefault="00543A90">
            <w:pPr>
              <w:spacing w:line="240" w:lineRule="auto"/>
              <w:rPr>
                <w:color w:val="000000"/>
              </w:rPr>
            </w:pPr>
            <w:r w:rsidRPr="00207C8A">
              <w:rPr>
                <w:b/>
                <w:color w:val="000000"/>
                <w:sz w:val="20"/>
              </w:rPr>
              <w:t>Mistral</w:t>
            </w:r>
          </w:p>
        </w:tc>
        <w:tc>
          <w:tcPr>
            <w:tcW w:w="3384" w:type="dxa"/>
            <w:tcBorders>
              <w:top w:val="nil"/>
              <w:bottom w:val="single" w:sz="4" w:space="0" w:color="000000"/>
            </w:tcBorders>
            <w:shd w:val="clear" w:color="auto" w:fill="FFFFFF"/>
            <w:vAlign w:val="center"/>
          </w:tcPr>
          <w:p w14:paraId="514EA0B6" w14:textId="77777777" w:rsidR="00910F71" w:rsidRPr="00207C8A" w:rsidRDefault="00543A90">
            <w:pPr>
              <w:spacing w:line="240" w:lineRule="auto"/>
              <w:jc w:val="center"/>
              <w:rPr>
                <w:color w:val="000000"/>
              </w:rPr>
            </w:pPr>
            <w:r w:rsidRPr="00207C8A">
              <w:rPr>
                <w:color w:val="000000"/>
                <w:sz w:val="20"/>
              </w:rPr>
              <w:t>0,7058 / 0,7333 / +0,0275</w:t>
            </w:r>
          </w:p>
        </w:tc>
        <w:tc>
          <w:tcPr>
            <w:tcW w:w="3384" w:type="dxa"/>
            <w:tcBorders>
              <w:top w:val="nil"/>
              <w:bottom w:val="single" w:sz="4" w:space="0" w:color="000000"/>
            </w:tcBorders>
            <w:shd w:val="clear" w:color="auto" w:fill="FFFFFF"/>
            <w:vAlign w:val="center"/>
          </w:tcPr>
          <w:p w14:paraId="50783EC2" w14:textId="77777777" w:rsidR="00910F71" w:rsidRPr="00207C8A" w:rsidRDefault="00543A90">
            <w:pPr>
              <w:spacing w:line="240" w:lineRule="auto"/>
              <w:jc w:val="center"/>
              <w:rPr>
                <w:color w:val="000000"/>
              </w:rPr>
            </w:pPr>
            <w:r w:rsidRPr="00207C8A">
              <w:rPr>
                <w:color w:val="000000"/>
                <w:sz w:val="20"/>
              </w:rPr>
              <w:t>0,2356 / 0,2770 / +0,0414</w:t>
            </w:r>
          </w:p>
        </w:tc>
      </w:tr>
    </w:tbl>
    <w:p w14:paraId="67DB06FC" w14:textId="77777777" w:rsidR="00910F71" w:rsidRDefault="00910F71">
      <w:pPr>
        <w:spacing w:after="80"/>
      </w:pPr>
    </w:p>
    <w:p w14:paraId="58A7E024" w14:textId="77777777" w:rsidR="00910F71" w:rsidRDefault="00543A90">
      <w:pPr>
        <w:spacing w:after="160"/>
        <w:jc w:val="both"/>
      </w:pPr>
      <w:r>
        <w:t>GPT-4o mini presentó la mayor mejora agregada y el mejor BERTScore con RAG. Mistral también mejoró en ambas métricas. LLaMA aumentó levemente BERTScore, pero redujo ROUGE-L; además, RAG mejoró su BERTScore en 12 de 20 consultas y su ROUGE-L solo en 7 de 20. Por lo tanto, el efecto no fue uniforme ni entre modelos ni entre consultas.</w:t>
      </w:r>
    </w:p>
    <w:p w14:paraId="3B4EA2D0" w14:textId="77777777" w:rsidR="00910F71" w:rsidRDefault="00543A90">
      <w:pPr>
        <w:pStyle w:val="Ttulo2"/>
        <w:spacing w:before="280" w:after="120"/>
      </w:pPr>
      <w:r>
        <w:t>7.4 Latencia, tokens y costos</w:t>
      </w:r>
    </w:p>
    <w:p w14:paraId="52C8E851" w14:textId="77777777" w:rsidR="00910F71" w:rsidRDefault="00910F71">
      <w:pPr>
        <w:keepNext/>
        <w:spacing w:before="120" w:after="80"/>
        <w:jc w:val="center"/>
      </w:pPr>
    </w:p>
    <w:p>
      <w:pPr>
        <w:pStyle w:val="Descripcin"/>
        <w:keepNext/>
        <w:spacing w:before="240" w:after="0" w:line="360" w:lineRule="auto"/>
        <w:jc w:val="left"/>
      </w:pPr>
      <w:r>
        <w:rPr>
          <w:rFonts w:ascii="Times New Roman" w:hAnsi="Times New Roman" w:cs="Times New Roman"/>
          <w:b/>
          <w:sz w:val="24"/>
        </w:rPr>
        <w:t>Tabla 4</w:t>
        <w:br/>
      </w:r>
      <w:r>
        <w:rPr>
          <w:rFonts w:ascii="Times New Roman" w:hAnsi="Times New Roman" w:cs="Times New Roman"/>
          <w:i/>
          <w:sz w:val="24"/>
        </w:rPr>
        <w:t>Eficiencia operativa en la comparación controlada del piloto</w:t>
      </w: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1944"/>
        <w:gridCol w:w="2232"/>
        <w:gridCol w:w="2520"/>
        <w:gridCol w:w="2592"/>
      </w:tblGrid>
      <w:tr w:rsidR="00910F71" w:rsidRPr="00207C8A" w14:paraId="7153E9F7" w14:textId="77777777" w:rsidTr="00207C8A">
        <w:trPr>
          <w:tblHeader/>
          <w:jc w:val="center"/>
        </w:trPr>
        <w:tc>
          <w:tcPr>
            <w:tcW w:w="1944" w:type="dxa"/>
            <w:tcBorders>
              <w:top w:val="single" w:sz="4" w:space="0" w:color="000000"/>
              <w:bottom w:val="single" w:sz="4" w:space="0" w:color="000000"/>
            </w:tcBorders>
            <w:shd w:val="clear" w:color="auto" w:fill="FFFFFF"/>
            <w:vAlign w:val="center"/>
          </w:tcPr>
          <w:p>
            <w:r>
              <w:t>Modelo</w:t>
            </w:r>
          </w:p>
        </w:tc>
        <w:tc>
          <w:tcPr>
            <w:tcW w:w="2232" w:type="dxa"/>
            <w:tcBorders>
              <w:top w:val="single" w:sz="4" w:space="0" w:color="000000"/>
              <w:bottom w:val="single" w:sz="4" w:space="0" w:color="000000"/>
            </w:tcBorders>
            <w:shd w:val="clear" w:color="auto" w:fill="FFFFFF"/>
            <w:vAlign w:val="center"/>
          </w:tcPr>
          <w:p w14:paraId="610058BE" w14:textId="77777777" w:rsidR="00910F71" w:rsidRPr="00207C8A" w:rsidRDefault="00543A90">
            <w:pPr>
              <w:spacing w:line="240" w:lineRule="auto"/>
              <w:jc w:val="center"/>
              <w:rPr>
                <w:b/>
                <w:color w:val="000000"/>
              </w:rPr>
            </w:pPr>
            <w:r w:rsidRPr="00207C8A">
              <w:rPr>
                <w:b/>
                <w:color w:val="000000"/>
                <w:sz w:val="20"/>
              </w:rPr>
              <w:t>Latencia base / RAG</w:t>
            </w:r>
          </w:p>
        </w:tc>
        <w:tc>
          <w:tcPr>
            <w:tcW w:w="2520" w:type="dxa"/>
            <w:tcBorders>
              <w:top w:val="single" w:sz="4" w:space="0" w:color="000000"/>
              <w:bottom w:val="single" w:sz="4" w:space="0" w:color="000000"/>
            </w:tcBorders>
            <w:shd w:val="clear" w:color="auto" w:fill="FFFFFF"/>
            <w:vAlign w:val="center"/>
          </w:tcPr>
          <w:p w14:paraId="65594B33" w14:textId="77777777" w:rsidR="00910F71" w:rsidRPr="00207C8A" w:rsidRDefault="00543A90">
            <w:pPr>
              <w:spacing w:line="240" w:lineRule="auto"/>
              <w:jc w:val="center"/>
              <w:rPr>
                <w:b/>
                <w:color w:val="000000"/>
              </w:rPr>
            </w:pPr>
            <w:r w:rsidRPr="00207C8A">
              <w:rPr>
                <w:b/>
                <w:color w:val="000000"/>
                <w:sz w:val="20"/>
              </w:rPr>
              <w:t>Tokens entrada base / RAG</w:t>
            </w:r>
          </w:p>
        </w:tc>
        <w:tc>
          <w:tcPr>
            <w:tcW w:w="2592" w:type="dxa"/>
            <w:tcBorders>
              <w:top w:val="single" w:sz="4" w:space="0" w:color="000000"/>
              <w:bottom w:val="single" w:sz="4" w:space="0" w:color="000000"/>
            </w:tcBorders>
            <w:shd w:val="clear" w:color="auto" w:fill="FFFFFF"/>
            <w:vAlign w:val="center"/>
          </w:tcPr>
          <w:p w14:paraId="2DA6C157" w14:textId="77777777" w:rsidR="00910F71" w:rsidRPr="00207C8A" w:rsidRDefault="00543A90">
            <w:pPr>
              <w:spacing w:line="240" w:lineRule="auto"/>
              <w:jc w:val="center"/>
              <w:rPr>
                <w:b/>
                <w:color w:val="000000"/>
              </w:rPr>
            </w:pPr>
            <w:r w:rsidRPr="00207C8A">
              <w:rPr>
                <w:b/>
                <w:color w:val="000000"/>
                <w:sz w:val="20"/>
              </w:rPr>
              <w:t>USD por 1.000 base / RAG</w:t>
            </w:r>
          </w:p>
        </w:tc>
      </w:tr>
      <w:tr w:rsidR="00910F71" w:rsidRPr="00207C8A" w14:paraId="66B24F04" w14:textId="77777777" w:rsidTr="00207C8A">
        <w:trPr>
          <w:jc w:val="center"/>
        </w:trPr>
        <w:tc>
          <w:tcPr>
            <w:tcW w:w="1944" w:type="dxa"/>
            <w:tcBorders>
              <w:top w:val="single" w:sz="4" w:space="0" w:color="000000"/>
              <w:bottom w:val="nil"/>
            </w:tcBorders>
            <w:shd w:val="clear" w:color="auto" w:fill="FFFFFF"/>
            <w:vAlign w:val="center"/>
          </w:tcPr>
          <w:p w14:paraId="3B438DE2" w14:textId="77777777" w:rsidR="00910F71" w:rsidRPr="00207C8A" w:rsidRDefault="00543A90">
            <w:pPr>
              <w:spacing w:line="240" w:lineRule="auto"/>
              <w:rPr>
                <w:color w:val="000000"/>
              </w:rPr>
            </w:pPr>
            <w:r w:rsidRPr="00207C8A">
              <w:rPr>
                <w:b/>
                <w:color w:val="000000"/>
                <w:sz w:val="20"/>
              </w:rPr>
              <w:t>GPT-4o mini</w:t>
            </w:r>
          </w:p>
        </w:tc>
        <w:tc>
          <w:tcPr>
            <w:tcW w:w="2232" w:type="dxa"/>
            <w:tcBorders>
              <w:top w:val="single" w:sz="4" w:space="0" w:color="000000"/>
              <w:bottom w:val="nil"/>
            </w:tcBorders>
            <w:shd w:val="clear" w:color="auto" w:fill="FFFFFF"/>
            <w:vAlign w:val="center"/>
          </w:tcPr>
          <w:p w14:paraId="29A6F956" w14:textId="77777777" w:rsidR="00910F71" w:rsidRPr="00207C8A" w:rsidRDefault="00543A90">
            <w:pPr>
              <w:spacing w:line="240" w:lineRule="auto"/>
              <w:jc w:val="center"/>
              <w:rPr>
                <w:color w:val="000000"/>
              </w:rPr>
            </w:pPr>
            <w:r w:rsidRPr="00207C8A">
              <w:rPr>
                <w:color w:val="000000"/>
                <w:sz w:val="20"/>
              </w:rPr>
              <w:t>1,723 / 1,591 s</w:t>
            </w:r>
          </w:p>
        </w:tc>
        <w:tc>
          <w:tcPr>
            <w:tcW w:w="2520" w:type="dxa"/>
            <w:tcBorders>
              <w:top w:val="single" w:sz="4" w:space="0" w:color="000000"/>
              <w:bottom w:val="nil"/>
            </w:tcBorders>
            <w:shd w:val="clear" w:color="auto" w:fill="FFFFFF"/>
            <w:vAlign w:val="center"/>
          </w:tcPr>
          <w:p w14:paraId="05B810BE" w14:textId="77777777" w:rsidR="00910F71" w:rsidRPr="00207C8A" w:rsidRDefault="00543A90">
            <w:pPr>
              <w:spacing w:line="240" w:lineRule="auto"/>
              <w:jc w:val="center"/>
              <w:rPr>
                <w:color w:val="000000"/>
              </w:rPr>
            </w:pPr>
            <w:r w:rsidRPr="00207C8A">
              <w:rPr>
                <w:color w:val="000000"/>
                <w:sz w:val="20"/>
              </w:rPr>
              <w:t>1.295 / 12.110</w:t>
            </w:r>
          </w:p>
        </w:tc>
        <w:tc>
          <w:tcPr>
            <w:tcW w:w="2592" w:type="dxa"/>
            <w:tcBorders>
              <w:top w:val="single" w:sz="4" w:space="0" w:color="000000"/>
              <w:bottom w:val="nil"/>
            </w:tcBorders>
            <w:shd w:val="clear" w:color="auto" w:fill="FFFFFF"/>
            <w:vAlign w:val="center"/>
          </w:tcPr>
          <w:p w14:paraId="0166FADB" w14:textId="77777777" w:rsidR="00910F71" w:rsidRPr="00207C8A" w:rsidRDefault="00543A90">
            <w:pPr>
              <w:spacing w:line="240" w:lineRule="auto"/>
              <w:jc w:val="center"/>
              <w:rPr>
                <w:color w:val="000000"/>
              </w:rPr>
            </w:pPr>
            <w:r w:rsidRPr="00207C8A">
              <w:rPr>
                <w:color w:val="000000"/>
                <w:sz w:val="20"/>
              </w:rPr>
              <w:t>0,0667 / 0,1479</w:t>
            </w:r>
          </w:p>
        </w:tc>
      </w:tr>
      <w:tr w:rsidR="00910F71" w:rsidRPr="00207C8A" w14:paraId="0F5D1C73" w14:textId="77777777" w:rsidTr="00207C8A">
        <w:trPr>
          <w:jc w:val="center"/>
        </w:trPr>
        <w:tc>
          <w:tcPr>
            <w:tcW w:w="1944" w:type="dxa"/>
            <w:tcBorders>
              <w:top w:val="nil"/>
              <w:bottom w:val="nil"/>
            </w:tcBorders>
            <w:shd w:val="clear" w:color="auto" w:fill="FFFFFF"/>
            <w:vAlign w:val="center"/>
          </w:tcPr>
          <w:p w14:paraId="618E33C7" w14:textId="77777777" w:rsidR="00910F71" w:rsidRPr="00207C8A" w:rsidRDefault="00543A90">
            <w:pPr>
              <w:spacing w:line="240" w:lineRule="auto"/>
              <w:rPr>
                <w:color w:val="000000"/>
              </w:rPr>
            </w:pPr>
            <w:r w:rsidRPr="00207C8A">
              <w:rPr>
                <w:b/>
                <w:color w:val="000000"/>
                <w:sz w:val="20"/>
              </w:rPr>
              <w:t>LLaMA 3.1 8B</w:t>
            </w:r>
          </w:p>
        </w:tc>
        <w:tc>
          <w:tcPr>
            <w:tcW w:w="2232" w:type="dxa"/>
            <w:tcBorders>
              <w:top w:val="nil"/>
              <w:bottom w:val="nil"/>
            </w:tcBorders>
            <w:shd w:val="clear" w:color="auto" w:fill="FFFFFF"/>
            <w:vAlign w:val="center"/>
          </w:tcPr>
          <w:p w14:paraId="2765511B" w14:textId="77777777" w:rsidR="00910F71" w:rsidRPr="00207C8A" w:rsidRDefault="00543A90">
            <w:pPr>
              <w:spacing w:line="240" w:lineRule="auto"/>
              <w:jc w:val="center"/>
              <w:rPr>
                <w:color w:val="000000"/>
              </w:rPr>
            </w:pPr>
            <w:r w:rsidRPr="00207C8A">
              <w:rPr>
                <w:color w:val="000000"/>
                <w:sz w:val="20"/>
              </w:rPr>
              <w:t>1,213 / 1,496 s</w:t>
            </w:r>
          </w:p>
        </w:tc>
        <w:tc>
          <w:tcPr>
            <w:tcW w:w="2520" w:type="dxa"/>
            <w:tcBorders>
              <w:top w:val="nil"/>
              <w:bottom w:val="nil"/>
            </w:tcBorders>
            <w:shd w:val="clear" w:color="auto" w:fill="FFFFFF"/>
            <w:vAlign w:val="center"/>
          </w:tcPr>
          <w:p w14:paraId="74E53D4A" w14:textId="77777777" w:rsidR="00910F71" w:rsidRPr="00207C8A" w:rsidRDefault="00543A90">
            <w:pPr>
              <w:spacing w:line="240" w:lineRule="auto"/>
              <w:jc w:val="center"/>
              <w:rPr>
                <w:color w:val="000000"/>
              </w:rPr>
            </w:pPr>
            <w:r w:rsidRPr="00207C8A">
              <w:rPr>
                <w:color w:val="000000"/>
                <w:sz w:val="20"/>
              </w:rPr>
              <w:t>1.511 / 13.164</w:t>
            </w:r>
          </w:p>
        </w:tc>
        <w:tc>
          <w:tcPr>
            <w:tcW w:w="2592" w:type="dxa"/>
            <w:tcBorders>
              <w:top w:val="nil"/>
              <w:bottom w:val="nil"/>
            </w:tcBorders>
            <w:shd w:val="clear" w:color="auto" w:fill="FFFFFF"/>
            <w:vAlign w:val="center"/>
          </w:tcPr>
          <w:p w14:paraId="196D40D6" w14:textId="77777777" w:rsidR="00910F71" w:rsidRPr="00207C8A" w:rsidRDefault="00543A90">
            <w:pPr>
              <w:spacing w:line="240" w:lineRule="auto"/>
              <w:jc w:val="center"/>
              <w:rPr>
                <w:color w:val="000000"/>
              </w:rPr>
            </w:pPr>
            <w:r w:rsidRPr="00207C8A">
              <w:rPr>
                <w:color w:val="000000"/>
                <w:sz w:val="20"/>
              </w:rPr>
              <w:t>0,2325 / 0,2867</w:t>
            </w:r>
          </w:p>
        </w:tc>
      </w:tr>
      <w:tr w:rsidR="00910F71" w:rsidRPr="00207C8A" w14:paraId="59A66724" w14:textId="77777777" w:rsidTr="00207C8A">
        <w:trPr>
          <w:jc w:val="center"/>
        </w:trPr>
        <w:tc>
          <w:tcPr>
            <w:tcW w:w="1944" w:type="dxa"/>
            <w:tcBorders>
              <w:top w:val="nil"/>
              <w:bottom w:val="single" w:sz="4" w:space="0" w:color="000000"/>
            </w:tcBorders>
            <w:shd w:val="clear" w:color="auto" w:fill="FFFFFF"/>
            <w:vAlign w:val="center"/>
          </w:tcPr>
          <w:p w14:paraId="02191EEE" w14:textId="77777777" w:rsidR="00910F71" w:rsidRPr="00207C8A" w:rsidRDefault="00543A90">
            <w:pPr>
              <w:spacing w:line="240" w:lineRule="auto"/>
              <w:rPr>
                <w:color w:val="000000"/>
              </w:rPr>
            </w:pPr>
            <w:r w:rsidRPr="00207C8A">
              <w:rPr>
                <w:b/>
                <w:color w:val="000000"/>
                <w:sz w:val="20"/>
              </w:rPr>
              <w:t>Mistral</w:t>
            </w:r>
          </w:p>
        </w:tc>
        <w:tc>
          <w:tcPr>
            <w:tcW w:w="2232" w:type="dxa"/>
            <w:tcBorders>
              <w:top w:val="nil"/>
              <w:bottom w:val="single" w:sz="4" w:space="0" w:color="000000"/>
            </w:tcBorders>
            <w:shd w:val="clear" w:color="auto" w:fill="FFFFFF"/>
            <w:vAlign w:val="center"/>
          </w:tcPr>
          <w:p w14:paraId="18C437F3" w14:textId="77777777" w:rsidR="00910F71" w:rsidRPr="00207C8A" w:rsidRDefault="00543A90">
            <w:pPr>
              <w:spacing w:line="240" w:lineRule="auto"/>
              <w:jc w:val="center"/>
              <w:rPr>
                <w:color w:val="000000"/>
              </w:rPr>
            </w:pPr>
            <w:r w:rsidRPr="00207C8A">
              <w:rPr>
                <w:color w:val="000000"/>
                <w:sz w:val="20"/>
              </w:rPr>
              <w:t>1,350 / 1,867 s</w:t>
            </w:r>
          </w:p>
        </w:tc>
        <w:tc>
          <w:tcPr>
            <w:tcW w:w="2520" w:type="dxa"/>
            <w:tcBorders>
              <w:top w:val="nil"/>
              <w:bottom w:val="single" w:sz="4" w:space="0" w:color="000000"/>
            </w:tcBorders>
            <w:shd w:val="clear" w:color="auto" w:fill="FFFFFF"/>
            <w:vAlign w:val="center"/>
          </w:tcPr>
          <w:p w14:paraId="3AA3348E" w14:textId="77777777" w:rsidR="00910F71" w:rsidRPr="00207C8A" w:rsidRDefault="00543A90">
            <w:pPr>
              <w:spacing w:line="240" w:lineRule="auto"/>
              <w:jc w:val="center"/>
              <w:rPr>
                <w:color w:val="000000"/>
              </w:rPr>
            </w:pPr>
            <w:r w:rsidRPr="00207C8A">
              <w:rPr>
                <w:color w:val="000000"/>
                <w:sz w:val="20"/>
              </w:rPr>
              <w:t>1.566 / 15.247</w:t>
            </w:r>
          </w:p>
        </w:tc>
        <w:tc>
          <w:tcPr>
            <w:tcW w:w="2592" w:type="dxa"/>
            <w:tcBorders>
              <w:top w:val="nil"/>
              <w:bottom w:val="single" w:sz="4" w:space="0" w:color="000000"/>
            </w:tcBorders>
            <w:shd w:val="clear" w:color="auto" w:fill="FFFFFF"/>
            <w:vAlign w:val="center"/>
          </w:tcPr>
          <w:p w14:paraId="2223FCCF" w14:textId="77777777" w:rsidR="00910F71" w:rsidRPr="00207C8A" w:rsidRDefault="00543A90">
            <w:pPr>
              <w:spacing w:line="240" w:lineRule="auto"/>
              <w:jc w:val="center"/>
              <w:rPr>
                <w:color w:val="000000"/>
              </w:rPr>
            </w:pPr>
            <w:r w:rsidRPr="00207C8A">
              <w:rPr>
                <w:color w:val="000000"/>
                <w:sz w:val="20"/>
              </w:rPr>
              <w:t>0,2587 / 0,3579</w:t>
            </w:r>
          </w:p>
        </w:tc>
      </w:tr>
    </w:tbl>
    <w:p w14:paraId="5FCFB707" w14:textId="77777777" w:rsidR="00910F71" w:rsidRDefault="00910F71">
      <w:pPr>
        <w:spacing w:after="80"/>
      </w:pPr>
    </w:p>
    <w:p w14:paraId="3EAD7769" w14:textId="77777777" w:rsidR="00910F71" w:rsidRDefault="00543A90">
      <w:pPr>
        <w:spacing w:after="160"/>
        <w:jc w:val="both"/>
      </w:pPr>
      <w:r>
        <w:t>RAG agregó 0,283 segundos en LLaMA (+23,3 %) y 0,517 segundos en Mistral (+38,3 %). En GPT la latencia media fue 7,6 % menor, aun cuando los tokens de entrada crecieron 9,35 veces. Debido a que la llamada depende de red, carga y proveedor, esa disminución se trata como variabilidad y no como una mejora causada por RAG.</w:t>
      </w:r>
    </w:p>
    <w:p w14:paraId="1FCAD841" w14:textId="77777777" w:rsidR="00910F71" w:rsidRDefault="00543A90">
      <w:pPr>
        <w:spacing w:after="160"/>
        <w:jc w:val="both"/>
      </w:pPr>
      <w:r>
        <w:t xml:space="preserve">GPT consumió USD 0,001333 para las 20 respuestas del baseline y USD 0,002958 para las 20 con RAG. El costo por 1.000 consultas aumentó en los tres modelos. Bajo el escenario cloud seleccionado, GPT conservó el menor costo por consulta; los modelos abiertos no mostraron la </w:t>
      </w:r>
      <w:r>
        <w:t>ventaja económica esperada en este piloto. La sensibilidad eléctrica produjo cifras menores, pero no incluye compra, amortización, mantenimiento ni capacidad ociosa del hardware.</w:t>
      </w:r>
    </w:p>
    <w:p w14:paraId="43D6F8AD" w14:textId="77777777" w:rsidR="00910F71" w:rsidRDefault="00543A90">
      <w:pPr>
        <w:pStyle w:val="Ttulo2"/>
        <w:spacing w:before="280" w:after="120"/>
      </w:pPr>
      <w:r>
        <w:t>7.5 Aciertos de recuperación y calidad</w:t>
      </w:r>
    </w:p>
    <w:p w14:paraId="290ECE21" w14:textId="77777777" w:rsidR="00910F71" w:rsidRDefault="00910F71">
      <w:pPr>
        <w:keepNext/>
        <w:spacing w:before="120" w:after="80"/>
        <w:jc w:val="center"/>
      </w:pPr>
    </w:p>
    <w:p>
      <w:pPr>
        <w:pStyle w:val="Descripcin"/>
        <w:keepNext/>
        <w:spacing w:before="240" w:after="0" w:line="360" w:lineRule="auto"/>
        <w:jc w:val="left"/>
      </w:pPr>
      <w:r>
        <w:rPr>
          <w:rFonts w:ascii="Times New Roman" w:hAnsi="Times New Roman" w:cs="Times New Roman"/>
          <w:b/>
          <w:sz w:val="24"/>
        </w:rPr>
        <w:t>Tabla 5</w:t>
        <w:br/>
      </w:r>
      <w:r>
        <w:rPr>
          <w:rFonts w:ascii="Times New Roman" w:hAnsi="Times New Roman" w:cs="Times New Roman"/>
          <w:i/>
          <w:sz w:val="24"/>
        </w:rPr>
        <w:t>Calidad media del piloto según Hit@3</w:t>
      </w: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520"/>
        <w:gridCol w:w="3168"/>
        <w:gridCol w:w="3168"/>
      </w:tblGrid>
      <w:tr w:rsidR="00910F71" w:rsidRPr="00207C8A" w14:paraId="57047B7D" w14:textId="77777777" w:rsidTr="00207C8A">
        <w:trPr>
          <w:tblHeader/>
          <w:jc w:val="center"/>
        </w:trPr>
        <w:tc>
          <w:tcPr>
            <w:tcW w:w="2520" w:type="dxa"/>
            <w:tcBorders>
              <w:top w:val="single" w:sz="4" w:space="0" w:color="000000"/>
              <w:bottom w:val="single" w:sz="4" w:space="0" w:color="000000"/>
            </w:tcBorders>
            <w:shd w:val="clear" w:color="auto" w:fill="FFFFFF"/>
            <w:vAlign w:val="center"/>
          </w:tcPr>
          <w:p>
            <w:r>
              <w:t>Modelo</w:t>
            </w:r>
          </w:p>
        </w:tc>
        <w:tc>
          <w:tcPr>
            <w:tcW w:w="3168" w:type="dxa"/>
            <w:tcBorders>
              <w:top w:val="single" w:sz="4" w:space="0" w:color="000000"/>
              <w:bottom w:val="single" w:sz="4" w:space="0" w:color="000000"/>
            </w:tcBorders>
            <w:shd w:val="clear" w:color="auto" w:fill="FFFFFF"/>
            <w:vAlign w:val="center"/>
          </w:tcPr>
          <w:p w14:paraId="339FD83A" w14:textId="77777777" w:rsidR="00910F71" w:rsidRPr="00207C8A" w:rsidRDefault="00543A90">
            <w:pPr>
              <w:spacing w:line="240" w:lineRule="auto"/>
              <w:jc w:val="center"/>
              <w:rPr>
                <w:b/>
                <w:color w:val="000000"/>
              </w:rPr>
            </w:pPr>
            <w:r w:rsidRPr="00207C8A">
              <w:rPr>
                <w:b/>
                <w:color w:val="000000"/>
                <w:sz w:val="20"/>
              </w:rPr>
              <w:t>BERTScore acierto / fallo</w:t>
            </w:r>
          </w:p>
        </w:tc>
        <w:tc>
          <w:tcPr>
            <w:tcW w:w="3168" w:type="dxa"/>
            <w:tcBorders>
              <w:top w:val="single" w:sz="4" w:space="0" w:color="000000"/>
              <w:bottom w:val="single" w:sz="4" w:space="0" w:color="000000"/>
            </w:tcBorders>
            <w:shd w:val="clear" w:color="auto" w:fill="FFFFFF"/>
            <w:vAlign w:val="center"/>
          </w:tcPr>
          <w:p w14:paraId="1636FFEA" w14:textId="77777777" w:rsidR="00910F71" w:rsidRPr="00207C8A" w:rsidRDefault="00543A90">
            <w:pPr>
              <w:spacing w:line="240" w:lineRule="auto"/>
              <w:jc w:val="center"/>
              <w:rPr>
                <w:b/>
                <w:color w:val="000000"/>
              </w:rPr>
            </w:pPr>
            <w:r w:rsidRPr="00207C8A">
              <w:rPr>
                <w:b/>
                <w:color w:val="000000"/>
                <w:sz w:val="20"/>
              </w:rPr>
              <w:t>ROUGE-L acierto / fallo</w:t>
            </w:r>
          </w:p>
        </w:tc>
      </w:tr>
      <w:tr w:rsidR="00910F71" w:rsidRPr="00207C8A" w14:paraId="27D04E75" w14:textId="77777777" w:rsidTr="00207C8A">
        <w:trPr>
          <w:jc w:val="center"/>
        </w:trPr>
        <w:tc>
          <w:tcPr>
            <w:tcW w:w="2520" w:type="dxa"/>
            <w:tcBorders>
              <w:top w:val="single" w:sz="4" w:space="0" w:color="000000"/>
              <w:bottom w:val="nil"/>
            </w:tcBorders>
            <w:shd w:val="clear" w:color="auto" w:fill="FFFFFF"/>
            <w:vAlign w:val="center"/>
          </w:tcPr>
          <w:p w14:paraId="62024F30" w14:textId="77777777" w:rsidR="00910F71" w:rsidRPr="00207C8A" w:rsidRDefault="00543A90">
            <w:pPr>
              <w:spacing w:line="240" w:lineRule="auto"/>
              <w:rPr>
                <w:color w:val="000000"/>
              </w:rPr>
            </w:pPr>
            <w:r w:rsidRPr="00207C8A">
              <w:rPr>
                <w:b/>
                <w:color w:val="000000"/>
                <w:sz w:val="20"/>
              </w:rPr>
              <w:t>GPT-4o mini</w:t>
            </w:r>
          </w:p>
        </w:tc>
        <w:tc>
          <w:tcPr>
            <w:tcW w:w="3168" w:type="dxa"/>
            <w:tcBorders>
              <w:top w:val="single" w:sz="4" w:space="0" w:color="000000"/>
              <w:bottom w:val="nil"/>
            </w:tcBorders>
            <w:shd w:val="clear" w:color="auto" w:fill="FFFFFF"/>
            <w:vAlign w:val="center"/>
          </w:tcPr>
          <w:p w14:paraId="0DA4CA0B" w14:textId="77777777" w:rsidR="00910F71" w:rsidRPr="00207C8A" w:rsidRDefault="00543A90">
            <w:pPr>
              <w:spacing w:line="240" w:lineRule="auto"/>
              <w:jc w:val="center"/>
              <w:rPr>
                <w:color w:val="000000"/>
              </w:rPr>
            </w:pPr>
            <w:r w:rsidRPr="00207C8A">
              <w:rPr>
                <w:color w:val="000000"/>
                <w:sz w:val="20"/>
              </w:rPr>
              <w:t>0,7539 / 0,7407</w:t>
            </w:r>
          </w:p>
        </w:tc>
        <w:tc>
          <w:tcPr>
            <w:tcW w:w="3168" w:type="dxa"/>
            <w:tcBorders>
              <w:top w:val="single" w:sz="4" w:space="0" w:color="000000"/>
              <w:bottom w:val="nil"/>
            </w:tcBorders>
            <w:shd w:val="clear" w:color="auto" w:fill="FFFFFF"/>
            <w:vAlign w:val="center"/>
          </w:tcPr>
          <w:p w14:paraId="05E7C72A" w14:textId="77777777" w:rsidR="00910F71" w:rsidRPr="00207C8A" w:rsidRDefault="00543A90">
            <w:pPr>
              <w:spacing w:line="240" w:lineRule="auto"/>
              <w:jc w:val="center"/>
              <w:rPr>
                <w:color w:val="000000"/>
              </w:rPr>
            </w:pPr>
            <w:r w:rsidRPr="00207C8A">
              <w:rPr>
                <w:color w:val="000000"/>
                <w:sz w:val="20"/>
              </w:rPr>
              <w:t>0,3089 / 0,2745</w:t>
            </w:r>
          </w:p>
        </w:tc>
      </w:tr>
      <w:tr w:rsidR="00910F71" w:rsidRPr="00207C8A" w14:paraId="4620256E" w14:textId="77777777" w:rsidTr="00207C8A">
        <w:trPr>
          <w:jc w:val="center"/>
        </w:trPr>
        <w:tc>
          <w:tcPr>
            <w:tcW w:w="2520" w:type="dxa"/>
            <w:tcBorders>
              <w:top w:val="nil"/>
              <w:bottom w:val="nil"/>
            </w:tcBorders>
            <w:shd w:val="clear" w:color="auto" w:fill="FFFFFF"/>
            <w:vAlign w:val="center"/>
          </w:tcPr>
          <w:p w14:paraId="7D5E9AD1" w14:textId="77777777" w:rsidR="00910F71" w:rsidRPr="00207C8A" w:rsidRDefault="00543A90">
            <w:pPr>
              <w:spacing w:line="240" w:lineRule="auto"/>
              <w:rPr>
                <w:color w:val="000000"/>
              </w:rPr>
            </w:pPr>
            <w:r w:rsidRPr="00207C8A">
              <w:rPr>
                <w:b/>
                <w:color w:val="000000"/>
                <w:sz w:val="20"/>
              </w:rPr>
              <w:t>LLaMA 3.1 8B</w:t>
            </w:r>
          </w:p>
        </w:tc>
        <w:tc>
          <w:tcPr>
            <w:tcW w:w="3168" w:type="dxa"/>
            <w:tcBorders>
              <w:top w:val="nil"/>
              <w:bottom w:val="nil"/>
            </w:tcBorders>
            <w:shd w:val="clear" w:color="auto" w:fill="FFFFFF"/>
            <w:vAlign w:val="center"/>
          </w:tcPr>
          <w:p w14:paraId="31664C99" w14:textId="77777777" w:rsidR="00910F71" w:rsidRPr="00207C8A" w:rsidRDefault="00543A90">
            <w:pPr>
              <w:spacing w:line="240" w:lineRule="auto"/>
              <w:jc w:val="center"/>
              <w:rPr>
                <w:color w:val="000000"/>
              </w:rPr>
            </w:pPr>
            <w:r w:rsidRPr="00207C8A">
              <w:rPr>
                <w:color w:val="000000"/>
                <w:sz w:val="20"/>
              </w:rPr>
              <w:t>0,7227 / 0,7086</w:t>
            </w:r>
          </w:p>
        </w:tc>
        <w:tc>
          <w:tcPr>
            <w:tcW w:w="3168" w:type="dxa"/>
            <w:tcBorders>
              <w:top w:val="nil"/>
              <w:bottom w:val="nil"/>
            </w:tcBorders>
            <w:shd w:val="clear" w:color="auto" w:fill="FFFFFF"/>
            <w:vAlign w:val="center"/>
          </w:tcPr>
          <w:p w14:paraId="3C95490C" w14:textId="77777777" w:rsidR="00910F71" w:rsidRPr="00207C8A" w:rsidRDefault="00543A90">
            <w:pPr>
              <w:spacing w:line="240" w:lineRule="auto"/>
              <w:jc w:val="center"/>
              <w:rPr>
                <w:color w:val="000000"/>
              </w:rPr>
            </w:pPr>
            <w:r w:rsidRPr="00207C8A">
              <w:rPr>
                <w:color w:val="000000"/>
                <w:sz w:val="20"/>
              </w:rPr>
              <w:t>0,2259 / 0,1908</w:t>
            </w:r>
          </w:p>
        </w:tc>
      </w:tr>
      <w:tr w:rsidR="00910F71" w:rsidRPr="00207C8A" w14:paraId="1B7850ED" w14:textId="77777777" w:rsidTr="00207C8A">
        <w:trPr>
          <w:jc w:val="center"/>
        </w:trPr>
        <w:tc>
          <w:tcPr>
            <w:tcW w:w="2520" w:type="dxa"/>
            <w:tcBorders>
              <w:top w:val="nil"/>
              <w:bottom w:val="single" w:sz="4" w:space="0" w:color="000000"/>
            </w:tcBorders>
            <w:shd w:val="clear" w:color="auto" w:fill="FFFFFF"/>
            <w:vAlign w:val="center"/>
          </w:tcPr>
          <w:p w14:paraId="5A48BF28" w14:textId="77777777" w:rsidR="00910F71" w:rsidRPr="00207C8A" w:rsidRDefault="00543A90">
            <w:pPr>
              <w:spacing w:line="240" w:lineRule="auto"/>
              <w:rPr>
                <w:color w:val="000000"/>
              </w:rPr>
            </w:pPr>
            <w:r w:rsidRPr="00207C8A">
              <w:rPr>
                <w:b/>
                <w:color w:val="000000"/>
                <w:sz w:val="20"/>
              </w:rPr>
              <w:t>Mistral</w:t>
            </w:r>
          </w:p>
        </w:tc>
        <w:tc>
          <w:tcPr>
            <w:tcW w:w="3168" w:type="dxa"/>
            <w:tcBorders>
              <w:top w:val="nil"/>
              <w:bottom w:val="single" w:sz="4" w:space="0" w:color="000000"/>
            </w:tcBorders>
            <w:shd w:val="clear" w:color="auto" w:fill="FFFFFF"/>
            <w:vAlign w:val="center"/>
          </w:tcPr>
          <w:p w14:paraId="33DA4556" w14:textId="77777777" w:rsidR="00910F71" w:rsidRPr="00207C8A" w:rsidRDefault="00543A90">
            <w:pPr>
              <w:spacing w:line="240" w:lineRule="auto"/>
              <w:jc w:val="center"/>
              <w:rPr>
                <w:color w:val="000000"/>
              </w:rPr>
            </w:pPr>
            <w:r w:rsidRPr="00207C8A">
              <w:rPr>
                <w:color w:val="000000"/>
                <w:sz w:val="20"/>
              </w:rPr>
              <w:t>0,7365 / 0,7042</w:t>
            </w:r>
          </w:p>
        </w:tc>
        <w:tc>
          <w:tcPr>
            <w:tcW w:w="3168" w:type="dxa"/>
            <w:tcBorders>
              <w:top w:val="nil"/>
              <w:bottom w:val="single" w:sz="4" w:space="0" w:color="000000"/>
            </w:tcBorders>
            <w:shd w:val="clear" w:color="auto" w:fill="FFFFFF"/>
            <w:vAlign w:val="center"/>
          </w:tcPr>
          <w:p w14:paraId="57A2CBFB" w14:textId="77777777" w:rsidR="00910F71" w:rsidRPr="00207C8A" w:rsidRDefault="00543A90">
            <w:pPr>
              <w:spacing w:line="240" w:lineRule="auto"/>
              <w:jc w:val="center"/>
              <w:rPr>
                <w:color w:val="000000"/>
              </w:rPr>
            </w:pPr>
            <w:r w:rsidRPr="00207C8A">
              <w:rPr>
                <w:color w:val="000000"/>
                <w:sz w:val="20"/>
              </w:rPr>
              <w:t>0,2859 / 0,1972</w:t>
            </w:r>
          </w:p>
        </w:tc>
      </w:tr>
    </w:tbl>
    <w:p w14:paraId="71C5476C" w14:textId="77777777" w:rsidR="00910F71" w:rsidRDefault="00910F71">
      <w:pPr>
        <w:spacing w:after="80"/>
      </w:pPr>
    </w:p>
    <w:p w14:paraId="3851E455" w14:textId="77777777" w:rsidR="00910F71" w:rsidRDefault="00543A90">
      <w:pPr>
        <w:spacing w:after="160"/>
        <w:jc w:val="both"/>
      </w:pPr>
      <w:r>
        <w:t>En los tres modelos, las 18 consultas con Hit@3 tuvieron mayor calidad media que los dos fallos. La dirección del resultado es coherente con el diseño de RAG, pero dos observaciones fallidas son insuficientes para estimar con precisión el tamaño del efecto.</w:t>
      </w:r>
    </w:p>
    <w:p w14:paraId="38B17283" w14:textId="77777777" w:rsidR="00207C8A" w:rsidRDefault="00207C8A" w:rsidP="00207C8A">
      <w:pPr>
        <w:pStyle w:val="Ttulo2"/>
      </w:pPr>
      <w:r>
        <w:t>7.6 Discusión de las hipótesis en el piloto</w:t>
      </w:r>
    </w:p>
    <w:p w14:paraId="0A82D912" w14:textId="77777777" w:rsidR="00910F71" w:rsidRDefault="00543A90">
      <w:pPr>
        <w:spacing w:after="160"/>
        <w:jc w:val="both"/>
      </w:pPr>
      <w:r>
        <w:t>La Hipótesis 1 recibe apoyo parcial. Mistral quedó a 0,0193 puntos de GPT en BERTScore con RAG, mientras que LLaMA quedó a 0,0313. La cercanía observada en Mistral es compatible con una calidad comparable, pero el piloto no define equivalencia estadística.</w:t>
      </w:r>
    </w:p>
    <w:p w14:paraId="58CE33F8" w14:textId="77777777" w:rsidR="00910F71" w:rsidRDefault="00543A90">
      <w:pPr>
        <w:spacing w:after="160"/>
        <w:jc w:val="both"/>
      </w:pPr>
      <w:r>
        <w:t>La Hipótesis 2 no recibe apoyo en esta iteración. GPT costó USD 0,1479 por 1.000 consultas con RAG, frente a USD 0,2867 de LLaMA y USD 0,3579 de Mistral bajo el escenario cloud. Además, la diferencia de BERTScore entre GPT y LLaMA superó el umbral de 0,02 formulado en la hipótesis.</w:t>
      </w:r>
    </w:p>
    <w:p w14:paraId="79ACA647" w14:textId="77777777" w:rsidR="00910F71" w:rsidRDefault="00543A90">
      <w:pPr>
        <w:spacing w:after="160"/>
        <w:jc w:val="both"/>
      </w:pPr>
      <w:r>
        <w:t>La Hipótesis 3 tampoco recibe apoyo descriptivo. El índice compuesto exploratorio ubicó primero a GPT-4o mini (0,784), seguido por LLaMA (0,696) y Mistral (0,673). Este índice depende de la normalización dentro de la muestra y de los supuestos de costo; por ello no se utiliza como prueba definitiva.</w:t>
      </w:r>
    </w:p>
    <w:p w14:paraId="6F73F54A" w14:textId="77777777" w:rsidR="00910F71" w:rsidRDefault="00543A90">
      <w:pPr>
        <w:pStyle w:val="Ttulo2"/>
        <w:spacing w:before="280" w:after="120"/>
      </w:pPr>
      <w:r>
        <w:t>7.7 Limitaciones del piloto</w:t>
      </w:r>
    </w:p>
    <w:p w14:paraId="4E960FB1" w14:textId="77777777" w:rsidR="00910F71" w:rsidRDefault="00543A90">
      <w:pPr>
        <w:spacing w:after="80"/>
        <w:ind w:left="720" w:hanging="360"/>
      </w:pPr>
      <w:r>
        <w:t>• La muestra de 20 consultas por configuración no permite inferencia estadística ni generalización.</w:t>
      </w:r>
    </w:p>
    <w:p w14:paraId="6DE4E439" w14:textId="77777777" w:rsidR="00910F71" w:rsidRDefault="00543A90">
      <w:pPr>
        <w:spacing w:after="80"/>
        <w:ind w:left="720" w:hanging="360"/>
      </w:pPr>
      <w:r>
        <w:t>• BERTScore y ROUGE-L no reemplazan la evaluación humana de exactitud, utilidad y alucinaciones.</w:t>
      </w:r>
    </w:p>
    <w:p w14:paraId="01144045" w14:textId="77777777" w:rsidR="00910F71" w:rsidRDefault="00543A90">
      <w:pPr>
        <w:spacing w:after="80"/>
        <w:ind w:left="720" w:hanging="360"/>
      </w:pPr>
      <w:r>
        <w:t>• El corpus de conocimiento es pequeño, sintético y derivado del mismo dominio que la evaluación, aunque se controló el solapamiento.</w:t>
      </w:r>
    </w:p>
    <w:p w14:paraId="00F2375D" w14:textId="77777777" w:rsidR="00910F71" w:rsidRDefault="00543A90">
      <w:pPr>
        <w:spacing w:after="80"/>
        <w:ind w:left="720" w:hanging="360"/>
      </w:pPr>
      <w:r>
        <w:t>• Las latencias corresponden a una sesión, una red y un equipo; la API y Ollama pueden variar entre corridas.</w:t>
      </w:r>
    </w:p>
    <w:p w14:paraId="6742A946" w14:textId="77777777" w:rsidR="00910F71" w:rsidRDefault="00543A90">
      <w:pPr>
        <w:spacing w:after="80"/>
        <w:ind w:left="720" w:hanging="360"/>
      </w:pPr>
      <w:r>
        <w:t>• El costo cloud combina un precio publicado con latencias locales y debe leerse como escenario comparativo, no como factura observada.</w:t>
      </w:r>
    </w:p>
    <w:p w14:paraId="0364DA81" w14:textId="77777777" w:rsidR="00910F71" w:rsidRDefault="00543A90">
      <w:pPr>
        <w:spacing w:after="80"/>
        <w:ind w:left="720" w:hanging="360"/>
      </w:pPr>
      <w:r>
        <w:t>• La potencia de 415 W es una cota de componentes, no una medición de consumo en pared, y el precio eléctrico no es una tarifa argentina.</w:t>
      </w:r>
    </w:p>
    <w:p w14:paraId="4F1F3997" w14:textId="77777777" w:rsidR="00910F71" w:rsidRDefault="00543A90">
      <w:pPr>
        <w:spacing w:after="80"/>
        <w:ind w:left="720" w:hanging="360"/>
      </w:pPr>
      <w:r>
        <w:t>• La búsqueda exacta es adecuada para 81 documentos, pero su escalabilidad debe validarse con un corpus mayor.</w:t>
      </w:r>
    </w:p>
    <w:p w14:paraId="7BF12E91" w14:textId="77777777" w:rsidR="00207C8A" w:rsidRDefault="00207C8A" w:rsidP="00207C8A">
      <w:pPr>
        <w:pStyle w:val="Ttulo2"/>
      </w:pPr>
      <w:r>
        <w:t>7.8 Experimento ampliado y visualización de resultados</w:t>
      </w:r>
    </w:p>
    <w:p w14:paraId="50173559" w14:textId="77777777" w:rsidR="00207C8A" w:rsidRDefault="00207C8A" w:rsidP="00207C8A">
      <w:r>
        <w:t>La ampliación conserva el diseño pareado del piloto y eleva la muestra a 324 consultas. Al combinar tres modelos y dos condiciones se obtuvieron 1.944 respuestas válidas. El recuperador alcanzó Hit@1 de 81,8 % y Hit@3 de 96,0 %, lo que indica que en 311 de las 324 consultas la intención correcta apareció entre los tres primeros documentos recuperados.</w:t>
      </w:r>
    </w:p>
    <w:p w14:paraId="256666FC" w14:textId="77777777" w:rsidR="00207C8A" w:rsidRDefault="00207C8A" w:rsidP="00207C8A"/>
    <w:p w14:paraId="6489883E" w14:textId="77777777" w:rsidR="00207C8A" w:rsidRDefault="00207C8A" w:rsidP="00207C8A">
      <w:r>
        <w:t>RAG mejoró BERTScore y ROUGE-L en los tres modelos. Las diferencias fueron significativas después de aplicar la corrección de Holm (p ajustado &lt; 0,05). Al mismo tiempo, la latencia media y el costo estimado aumentaron en todas las comparaciones, por lo que la mejora de calidad debe analizarse como un compromiso operativo y no como una ganancia sin costo.</w:t>
      </w:r>
    </w:p>
    <w:p w14:paraId="368CFD70" w14:textId="77777777" w:rsidR="00207C8A" w:rsidRPr="00207C8A" w:rsidRDefault="00207C8A" w:rsidP="00207C8A">
      <w:pPr>
        <w:pStyle w:val="Descripcin"/>
        <w:keepNext/>
        <w:spacing w:after="0" w:before="240" w:line="360" w:lineRule="auto"/>
        <w:jc w:val="left"/>
        <w:rPr>
          <w:b/>
          <w:color w:val="000000"/>
        </w:rPr>
      </w:pPr>
      <w:r>
        <w:rPr>
          <w:rFonts w:ascii="Times New Roman" w:hAnsi="Times New Roman" w:cs="Times New Roman"/>
          <w:b/>
          <w:sz w:val="24"/>
        </w:rPr>
        <w:t>Tabla 6</w:t>
        <w:br/>
      </w:r>
      <w:r>
        <w:rPr>
          <w:rFonts w:ascii="Times New Roman" w:hAnsi="Times New Roman" w:cs="Times New Roman"/>
          <w:i/>
          <w:sz w:val="24"/>
        </w:rPr>
        <w:t>Resultados agregados del experimento ampliado en la condición RAG</w:t>
      </w:r>
    </w:p>
    <w:tbl>
      <w:tblPr>
        <w:tblStyle w:val="TableNormal"/>
        <w:tblW w:w="0" w:type="auto"/>
        <w:jc w:val="center"/>
        <w:tblInd w:w="0" w:type="dxa"/>
        <w:tblBorders>
          <w:top w:val="single" w:sz="4" w:space="0" w:color="000000"/>
          <w:bottom w:val="single" w:sz="4" w:space="0" w:color="000000"/>
        </w:tblBorders>
        <w:tblLayout w:type="fixed"/>
        <w:tblLook w:val="04A0" w:firstRow="1" w:lastRow="0" w:firstColumn="1" w:lastColumn="0" w:noHBand="0" w:noVBand="1"/>
      </w:tblPr>
      <w:tblGrid>
        <w:gridCol w:w="1560"/>
        <w:gridCol w:w="1560"/>
        <w:gridCol w:w="1560"/>
        <w:gridCol w:w="1560"/>
        <w:gridCol w:w="1560"/>
        <w:gridCol w:w="1560"/>
      </w:tblGrid>
      <w:tr w:rsidR="00207C8A" w:rsidRPr="00207C8A" w14:paraId="7D7F7F8F" w14:textId="77777777" w:rsidTr="00207C8A">
        <w:trPr>
          <w:tblHeader/>
          <w:jc w:val="center"/>
        </w:trPr>
        <w:tc>
          <w:tcPr>
            <w:tcW w:w="1560" w:type="dxa"/>
            <w:tcBorders>
              <w:top w:val="single" w:sz="4" w:space="0" w:color="000000"/>
              <w:bottom w:val="single" w:sz="4" w:space="0" w:color="000000"/>
            </w:tcBorders>
            <w:shd w:val="clear" w:color="auto" w:fill="FFFFFF"/>
            <w:vAlign w:val="center"/>
          </w:tcPr>
          <w:p w14:paraId="59E37F76" w14:textId="77777777" w:rsidR="00207C8A" w:rsidRPr="00207C8A" w:rsidRDefault="00207C8A">
            <w:pPr>
              <w:spacing w:before="400" w:after="200"/>
              <w:jc w:val="center"/>
              <w:rPr>
                <w:b/>
                <w:color w:val="000000"/>
                <w:sz w:val="17"/>
              </w:rPr>
            </w:pPr>
            <w:r w:rsidRPr="00207C8A">
              <w:rPr>
                <w:b/>
                <w:color w:val="000000"/>
                <w:sz w:val="17"/>
              </w:rPr>
              <w:t>Modelo</w:t>
            </w:r>
          </w:p>
        </w:tc>
        <w:tc>
          <w:tcPr>
            <w:tcW w:w="1560" w:type="dxa"/>
            <w:tcBorders>
              <w:top w:val="single" w:sz="4" w:space="0" w:color="000000"/>
              <w:bottom w:val="single" w:sz="4" w:space="0" w:color="000000"/>
            </w:tcBorders>
            <w:shd w:val="clear" w:color="auto" w:fill="FFFFFF"/>
            <w:vAlign w:val="center"/>
          </w:tcPr>
          <w:p w14:paraId="079DC08A" w14:textId="77777777" w:rsidR="00207C8A" w:rsidRPr="00207C8A" w:rsidRDefault="00207C8A">
            <w:pPr>
              <w:spacing w:before="400" w:after="200"/>
              <w:jc w:val="center"/>
              <w:rPr>
                <w:b/>
                <w:color w:val="000000"/>
                <w:sz w:val="17"/>
              </w:rPr>
            </w:pPr>
            <w:r w:rsidRPr="00207C8A">
              <w:rPr>
                <w:b/>
                <w:color w:val="000000"/>
                <w:sz w:val="17"/>
              </w:rPr>
              <w:t>BERTScore F1</w:t>
            </w:r>
          </w:p>
        </w:tc>
        <w:tc>
          <w:tcPr>
            <w:tcW w:w="1560" w:type="dxa"/>
            <w:tcBorders>
              <w:top w:val="single" w:sz="4" w:space="0" w:color="000000"/>
              <w:bottom w:val="single" w:sz="4" w:space="0" w:color="000000"/>
            </w:tcBorders>
            <w:shd w:val="clear" w:color="auto" w:fill="FFFFFF"/>
            <w:vAlign w:val="center"/>
          </w:tcPr>
          <w:p w14:paraId="49F02C79" w14:textId="77777777" w:rsidR="00207C8A" w:rsidRPr="00207C8A" w:rsidRDefault="00207C8A">
            <w:pPr>
              <w:spacing w:before="400" w:after="200"/>
              <w:jc w:val="center"/>
              <w:rPr>
                <w:b/>
                <w:color w:val="000000"/>
                <w:sz w:val="17"/>
              </w:rPr>
            </w:pPr>
            <w:r w:rsidRPr="00207C8A">
              <w:rPr>
                <w:b/>
                <w:color w:val="000000"/>
                <w:sz w:val="17"/>
              </w:rPr>
              <w:t>ROUGE-L</w:t>
            </w:r>
          </w:p>
        </w:tc>
        <w:tc>
          <w:tcPr>
            <w:tcW w:w="1560" w:type="dxa"/>
            <w:tcBorders>
              <w:top w:val="single" w:sz="4" w:space="0" w:color="000000"/>
              <w:bottom w:val="single" w:sz="4" w:space="0" w:color="000000"/>
            </w:tcBorders>
            <w:shd w:val="clear" w:color="auto" w:fill="FFFFFF"/>
            <w:vAlign w:val="center"/>
          </w:tcPr>
          <w:p w14:paraId="1DE6FC98" w14:textId="77777777" w:rsidR="00207C8A" w:rsidRPr="00207C8A" w:rsidRDefault="00207C8A">
            <w:pPr>
              <w:spacing w:before="400" w:after="200"/>
              <w:jc w:val="center"/>
              <w:rPr>
                <w:b/>
                <w:color w:val="000000"/>
                <w:sz w:val="17"/>
              </w:rPr>
            </w:pPr>
            <w:r w:rsidRPr="00207C8A">
              <w:rPr>
                <w:b/>
                <w:color w:val="000000"/>
                <w:sz w:val="17"/>
              </w:rPr>
              <w:t>Latencia media (s)</w:t>
            </w:r>
          </w:p>
        </w:tc>
        <w:tc>
          <w:tcPr>
            <w:tcW w:w="1560" w:type="dxa"/>
            <w:tcBorders>
              <w:top w:val="single" w:sz="4" w:space="0" w:color="000000"/>
              <w:bottom w:val="single" w:sz="4" w:space="0" w:color="000000"/>
            </w:tcBorders>
            <w:shd w:val="clear" w:color="auto" w:fill="FFFFFF"/>
            <w:vAlign w:val="center"/>
          </w:tcPr>
          <w:p w14:paraId="41751681" w14:textId="77777777" w:rsidR="00207C8A" w:rsidRPr="00207C8A" w:rsidRDefault="00207C8A">
            <w:pPr>
              <w:spacing w:before="400" w:after="200"/>
              <w:jc w:val="center"/>
              <w:rPr>
                <w:b/>
                <w:color w:val="000000"/>
                <w:sz w:val="17"/>
              </w:rPr>
            </w:pPr>
            <w:r w:rsidRPr="00207C8A">
              <w:rPr>
                <w:b/>
                <w:color w:val="000000"/>
                <w:sz w:val="17"/>
              </w:rPr>
              <w:t>USD por 1.000</w:t>
            </w:r>
          </w:p>
        </w:tc>
        <w:tc>
          <w:tcPr>
            <w:tcW w:w="1560" w:type="dxa"/>
            <w:tcBorders>
              <w:top w:val="single" w:sz="4" w:space="0" w:color="000000"/>
              <w:bottom w:val="single" w:sz="4" w:space="0" w:color="000000"/>
            </w:tcBorders>
            <w:shd w:val="clear" w:color="auto" w:fill="FFFFFF"/>
            <w:vAlign w:val="center"/>
          </w:tcPr>
          <w:p w14:paraId="43ED310C" w14:textId="77777777" w:rsidR="00207C8A" w:rsidRPr="00207C8A" w:rsidRDefault="00207C8A">
            <w:pPr>
              <w:spacing w:before="400" w:after="200"/>
              <w:jc w:val="center"/>
              <w:rPr>
                <w:b/>
                <w:color w:val="000000"/>
                <w:sz w:val="17"/>
              </w:rPr>
            </w:pPr>
            <w:r w:rsidRPr="00207C8A">
              <w:rPr>
                <w:b/>
                <w:color w:val="000000"/>
                <w:sz w:val="17"/>
              </w:rPr>
              <w:t>Índice</w:t>
            </w:r>
          </w:p>
        </w:tc>
      </w:tr>
      <w:tr w:rsidR="00207C8A" w:rsidRPr="00207C8A" w14:paraId="6E8AB536" w14:textId="77777777" w:rsidTr="00207C8A">
        <w:trPr>
          <w:jc w:val="center"/>
        </w:trPr>
        <w:tc>
          <w:tcPr>
            <w:tcW w:w="1560" w:type="dxa"/>
            <w:tcBorders>
              <w:top w:val="single" w:sz="4" w:space="0" w:color="000000"/>
              <w:bottom w:val="nil"/>
            </w:tcBorders>
            <w:shd w:val="clear" w:color="auto" w:fill="FFFFFF"/>
            <w:vAlign w:val="center"/>
          </w:tcPr>
          <w:p w14:paraId="1F4D87DD" w14:textId="77777777" w:rsidR="00207C8A" w:rsidRPr="00207C8A" w:rsidRDefault="00207C8A">
            <w:pPr>
              <w:spacing w:before="400" w:after="200"/>
              <w:jc w:val="center"/>
              <w:rPr>
                <w:color w:val="000000"/>
                <w:sz w:val="17"/>
              </w:rPr>
            </w:pPr>
            <w:r w:rsidRPr="00207C8A">
              <w:rPr>
                <w:color w:val="000000"/>
                <w:sz w:val="17"/>
              </w:rPr>
              <w:t>GPT-4o mini</w:t>
            </w:r>
          </w:p>
        </w:tc>
        <w:tc>
          <w:tcPr>
            <w:tcW w:w="1560" w:type="dxa"/>
            <w:tcBorders>
              <w:top w:val="single" w:sz="4" w:space="0" w:color="000000"/>
              <w:bottom w:val="nil"/>
            </w:tcBorders>
            <w:shd w:val="clear" w:color="auto" w:fill="FFFFFF"/>
            <w:vAlign w:val="center"/>
          </w:tcPr>
          <w:p w14:paraId="7C61E6F3" w14:textId="77777777" w:rsidR="00207C8A" w:rsidRPr="00207C8A" w:rsidRDefault="00207C8A">
            <w:pPr>
              <w:spacing w:before="400" w:after="200"/>
              <w:jc w:val="center"/>
              <w:rPr>
                <w:color w:val="000000"/>
                <w:sz w:val="17"/>
              </w:rPr>
            </w:pPr>
            <w:r w:rsidRPr="00207C8A">
              <w:rPr>
                <w:color w:val="000000"/>
                <w:sz w:val="17"/>
              </w:rPr>
              <w:t>0,7491</w:t>
            </w:r>
          </w:p>
        </w:tc>
        <w:tc>
          <w:tcPr>
            <w:tcW w:w="1560" w:type="dxa"/>
            <w:tcBorders>
              <w:top w:val="single" w:sz="4" w:space="0" w:color="000000"/>
              <w:bottom w:val="nil"/>
            </w:tcBorders>
            <w:shd w:val="clear" w:color="auto" w:fill="FFFFFF"/>
            <w:vAlign w:val="center"/>
          </w:tcPr>
          <w:p w14:paraId="52E5E4EC" w14:textId="77777777" w:rsidR="00207C8A" w:rsidRPr="00207C8A" w:rsidRDefault="00207C8A">
            <w:pPr>
              <w:spacing w:before="400" w:after="200"/>
              <w:jc w:val="center"/>
              <w:rPr>
                <w:color w:val="000000"/>
                <w:sz w:val="17"/>
              </w:rPr>
            </w:pPr>
            <w:r w:rsidRPr="00207C8A">
              <w:rPr>
                <w:color w:val="000000"/>
                <w:sz w:val="17"/>
              </w:rPr>
              <w:t>0,3021</w:t>
            </w:r>
          </w:p>
        </w:tc>
        <w:tc>
          <w:tcPr>
            <w:tcW w:w="1560" w:type="dxa"/>
            <w:tcBorders>
              <w:top w:val="single" w:sz="4" w:space="0" w:color="000000"/>
              <w:bottom w:val="nil"/>
            </w:tcBorders>
            <w:shd w:val="clear" w:color="auto" w:fill="FFFFFF"/>
            <w:vAlign w:val="center"/>
          </w:tcPr>
          <w:p w14:paraId="588C1A42" w14:textId="77777777" w:rsidR="00207C8A" w:rsidRPr="00207C8A" w:rsidRDefault="00207C8A">
            <w:pPr>
              <w:spacing w:before="400" w:after="200"/>
              <w:jc w:val="center"/>
              <w:rPr>
                <w:color w:val="000000"/>
                <w:sz w:val="17"/>
              </w:rPr>
            </w:pPr>
            <w:r w:rsidRPr="00207C8A">
              <w:rPr>
                <w:color w:val="000000"/>
                <w:sz w:val="17"/>
              </w:rPr>
              <w:t>1,530</w:t>
            </w:r>
          </w:p>
        </w:tc>
        <w:tc>
          <w:tcPr>
            <w:tcW w:w="1560" w:type="dxa"/>
            <w:tcBorders>
              <w:top w:val="single" w:sz="4" w:space="0" w:color="000000"/>
              <w:bottom w:val="nil"/>
            </w:tcBorders>
            <w:shd w:val="clear" w:color="auto" w:fill="FFFFFF"/>
            <w:vAlign w:val="center"/>
          </w:tcPr>
          <w:p w14:paraId="11D83EBB" w14:textId="77777777" w:rsidR="00207C8A" w:rsidRPr="00207C8A" w:rsidRDefault="00207C8A">
            <w:pPr>
              <w:spacing w:before="400" w:after="200"/>
              <w:jc w:val="center"/>
              <w:rPr>
                <w:color w:val="000000"/>
                <w:sz w:val="17"/>
              </w:rPr>
            </w:pPr>
            <w:r w:rsidRPr="00207C8A">
              <w:rPr>
                <w:color w:val="000000"/>
                <w:sz w:val="17"/>
              </w:rPr>
              <w:t>0,1620</w:t>
            </w:r>
          </w:p>
        </w:tc>
        <w:tc>
          <w:tcPr>
            <w:tcW w:w="1560" w:type="dxa"/>
            <w:tcBorders>
              <w:top w:val="single" w:sz="4" w:space="0" w:color="000000"/>
              <w:bottom w:val="nil"/>
            </w:tcBorders>
            <w:shd w:val="clear" w:color="auto" w:fill="FFFFFF"/>
            <w:vAlign w:val="center"/>
          </w:tcPr>
          <w:p w14:paraId="2FEB3CDD" w14:textId="77777777" w:rsidR="00207C8A" w:rsidRPr="00207C8A" w:rsidRDefault="00207C8A">
            <w:pPr>
              <w:spacing w:before="400" w:after="200"/>
              <w:jc w:val="center"/>
              <w:rPr>
                <w:color w:val="000000"/>
                <w:sz w:val="17"/>
              </w:rPr>
            </w:pPr>
            <w:r w:rsidRPr="00207C8A">
              <w:rPr>
                <w:color w:val="000000"/>
                <w:sz w:val="17"/>
              </w:rPr>
              <w:t>0,7680</w:t>
            </w:r>
          </w:p>
        </w:tc>
      </w:tr>
      <w:tr w:rsidR="00207C8A" w:rsidRPr="00207C8A" w14:paraId="4B556521" w14:textId="77777777" w:rsidTr="00207C8A">
        <w:trPr>
          <w:jc w:val="center"/>
        </w:trPr>
        <w:tc>
          <w:tcPr>
            <w:tcW w:w="1560" w:type="dxa"/>
            <w:tcBorders>
              <w:top w:val="nil"/>
              <w:bottom w:val="nil"/>
            </w:tcBorders>
            <w:shd w:val="clear" w:color="auto" w:fill="FFFFFF"/>
            <w:vAlign w:val="center"/>
          </w:tcPr>
          <w:p w14:paraId="5A56CB08" w14:textId="77777777" w:rsidR="00207C8A" w:rsidRPr="00207C8A" w:rsidRDefault="00207C8A">
            <w:pPr>
              <w:spacing w:before="400" w:after="200"/>
              <w:jc w:val="center"/>
              <w:rPr>
                <w:color w:val="000000"/>
                <w:sz w:val="17"/>
              </w:rPr>
            </w:pPr>
            <w:r w:rsidRPr="00207C8A">
              <w:rPr>
                <w:color w:val="000000"/>
                <w:sz w:val="17"/>
              </w:rPr>
              <w:t>LLaMA 3.1 8B</w:t>
            </w:r>
          </w:p>
        </w:tc>
        <w:tc>
          <w:tcPr>
            <w:tcW w:w="1560" w:type="dxa"/>
            <w:tcBorders>
              <w:top w:val="nil"/>
              <w:bottom w:val="nil"/>
            </w:tcBorders>
            <w:shd w:val="clear" w:color="auto" w:fill="FFFFFF"/>
            <w:vAlign w:val="center"/>
          </w:tcPr>
          <w:p w14:paraId="4EB7D9D5" w14:textId="77777777" w:rsidR="00207C8A" w:rsidRPr="00207C8A" w:rsidRDefault="00207C8A">
            <w:pPr>
              <w:spacing w:before="400" w:after="200"/>
              <w:jc w:val="center"/>
              <w:rPr>
                <w:color w:val="000000"/>
                <w:sz w:val="17"/>
              </w:rPr>
            </w:pPr>
            <w:r w:rsidRPr="00207C8A">
              <w:rPr>
                <w:color w:val="000000"/>
                <w:sz w:val="17"/>
              </w:rPr>
              <w:t>0,7314</w:t>
            </w:r>
          </w:p>
        </w:tc>
        <w:tc>
          <w:tcPr>
            <w:tcW w:w="1560" w:type="dxa"/>
            <w:tcBorders>
              <w:top w:val="nil"/>
              <w:bottom w:val="nil"/>
            </w:tcBorders>
            <w:shd w:val="clear" w:color="auto" w:fill="FFFFFF"/>
            <w:vAlign w:val="center"/>
          </w:tcPr>
          <w:p w14:paraId="7E2C97BE" w14:textId="77777777" w:rsidR="00207C8A" w:rsidRPr="00207C8A" w:rsidRDefault="00207C8A">
            <w:pPr>
              <w:spacing w:before="400" w:after="200"/>
              <w:jc w:val="center"/>
              <w:rPr>
                <w:color w:val="000000"/>
                <w:sz w:val="17"/>
              </w:rPr>
            </w:pPr>
            <w:r w:rsidRPr="00207C8A">
              <w:rPr>
                <w:color w:val="000000"/>
                <w:sz w:val="17"/>
              </w:rPr>
              <w:t>0,2589</w:t>
            </w:r>
          </w:p>
        </w:tc>
        <w:tc>
          <w:tcPr>
            <w:tcW w:w="1560" w:type="dxa"/>
            <w:tcBorders>
              <w:top w:val="nil"/>
              <w:bottom w:val="nil"/>
            </w:tcBorders>
            <w:shd w:val="clear" w:color="auto" w:fill="FFFFFF"/>
            <w:vAlign w:val="center"/>
          </w:tcPr>
          <w:p w14:paraId="0FC64C49" w14:textId="77777777" w:rsidR="00207C8A" w:rsidRPr="00207C8A" w:rsidRDefault="00207C8A">
            <w:pPr>
              <w:spacing w:before="400" w:after="200"/>
              <w:jc w:val="center"/>
              <w:rPr>
                <w:color w:val="000000"/>
                <w:sz w:val="17"/>
              </w:rPr>
            </w:pPr>
            <w:r w:rsidRPr="00207C8A">
              <w:rPr>
                <w:color w:val="000000"/>
                <w:sz w:val="17"/>
              </w:rPr>
              <w:t>1,112</w:t>
            </w:r>
          </w:p>
        </w:tc>
        <w:tc>
          <w:tcPr>
            <w:tcW w:w="1560" w:type="dxa"/>
            <w:tcBorders>
              <w:top w:val="nil"/>
              <w:bottom w:val="nil"/>
            </w:tcBorders>
            <w:shd w:val="clear" w:color="auto" w:fill="FFFFFF"/>
            <w:vAlign w:val="center"/>
          </w:tcPr>
          <w:p w14:paraId="45695487" w14:textId="77777777" w:rsidR="00207C8A" w:rsidRPr="00207C8A" w:rsidRDefault="00207C8A">
            <w:pPr>
              <w:spacing w:before="400" w:after="200"/>
              <w:jc w:val="center"/>
              <w:rPr>
                <w:color w:val="000000"/>
                <w:sz w:val="17"/>
              </w:rPr>
            </w:pPr>
            <w:r w:rsidRPr="00207C8A">
              <w:rPr>
                <w:color w:val="000000"/>
                <w:sz w:val="17"/>
              </w:rPr>
              <w:t>0,2130</w:t>
            </w:r>
          </w:p>
        </w:tc>
        <w:tc>
          <w:tcPr>
            <w:tcW w:w="1560" w:type="dxa"/>
            <w:tcBorders>
              <w:top w:val="nil"/>
              <w:bottom w:val="nil"/>
            </w:tcBorders>
            <w:shd w:val="clear" w:color="auto" w:fill="FFFFFF"/>
            <w:vAlign w:val="center"/>
          </w:tcPr>
          <w:p w14:paraId="74DC87DF" w14:textId="77777777" w:rsidR="00207C8A" w:rsidRPr="00207C8A" w:rsidRDefault="00207C8A">
            <w:pPr>
              <w:spacing w:before="400" w:after="200"/>
              <w:jc w:val="center"/>
              <w:rPr>
                <w:color w:val="000000"/>
                <w:sz w:val="17"/>
              </w:rPr>
            </w:pPr>
            <w:r w:rsidRPr="00207C8A">
              <w:rPr>
                <w:color w:val="000000"/>
                <w:sz w:val="17"/>
              </w:rPr>
              <w:t>0,7563</w:t>
            </w:r>
          </w:p>
        </w:tc>
      </w:tr>
      <w:tr w:rsidR="00207C8A" w:rsidRPr="00207C8A" w14:paraId="730C969A" w14:textId="77777777" w:rsidTr="00207C8A">
        <w:trPr>
          <w:jc w:val="center"/>
        </w:trPr>
        <w:tc>
          <w:tcPr>
            <w:tcW w:w="1560" w:type="dxa"/>
            <w:tcBorders>
              <w:top w:val="nil"/>
              <w:bottom w:val="single" w:sz="4" w:space="0" w:color="000000"/>
            </w:tcBorders>
            <w:shd w:val="clear" w:color="auto" w:fill="FFFFFF"/>
            <w:vAlign w:val="center"/>
          </w:tcPr>
          <w:p w14:paraId="26158B37" w14:textId="77777777" w:rsidR="00207C8A" w:rsidRPr="00207C8A" w:rsidRDefault="00207C8A">
            <w:pPr>
              <w:spacing w:before="400" w:after="200"/>
              <w:jc w:val="center"/>
              <w:rPr>
                <w:color w:val="000000"/>
                <w:sz w:val="17"/>
              </w:rPr>
            </w:pPr>
            <w:r w:rsidRPr="00207C8A">
              <w:rPr>
                <w:color w:val="000000"/>
                <w:sz w:val="17"/>
              </w:rPr>
              <w:t>Mistral</w:t>
            </w:r>
          </w:p>
        </w:tc>
        <w:tc>
          <w:tcPr>
            <w:tcW w:w="1560" w:type="dxa"/>
            <w:tcBorders>
              <w:top w:val="nil"/>
              <w:bottom w:val="single" w:sz="4" w:space="0" w:color="000000"/>
            </w:tcBorders>
            <w:shd w:val="clear" w:color="auto" w:fill="FFFFFF"/>
            <w:vAlign w:val="center"/>
          </w:tcPr>
          <w:p w14:paraId="238A89DC" w14:textId="77777777" w:rsidR="00207C8A" w:rsidRPr="00207C8A" w:rsidRDefault="00207C8A">
            <w:pPr>
              <w:spacing w:before="400" w:after="200"/>
              <w:jc w:val="center"/>
              <w:rPr>
                <w:color w:val="000000"/>
                <w:sz w:val="17"/>
              </w:rPr>
            </w:pPr>
            <w:r w:rsidRPr="00207C8A">
              <w:rPr>
                <w:color w:val="000000"/>
                <w:sz w:val="17"/>
              </w:rPr>
              <w:t>0,7372</w:t>
            </w:r>
          </w:p>
        </w:tc>
        <w:tc>
          <w:tcPr>
            <w:tcW w:w="1560" w:type="dxa"/>
            <w:tcBorders>
              <w:top w:val="nil"/>
              <w:bottom w:val="single" w:sz="4" w:space="0" w:color="000000"/>
            </w:tcBorders>
            <w:shd w:val="clear" w:color="auto" w:fill="FFFFFF"/>
            <w:vAlign w:val="center"/>
          </w:tcPr>
          <w:p w14:paraId="14D77E56" w14:textId="77777777" w:rsidR="00207C8A" w:rsidRPr="00207C8A" w:rsidRDefault="00207C8A">
            <w:pPr>
              <w:spacing w:before="400" w:after="200"/>
              <w:jc w:val="center"/>
              <w:rPr>
                <w:color w:val="000000"/>
                <w:sz w:val="17"/>
              </w:rPr>
            </w:pPr>
            <w:r w:rsidRPr="00207C8A">
              <w:rPr>
                <w:color w:val="000000"/>
                <w:sz w:val="17"/>
              </w:rPr>
              <w:t>0,2720</w:t>
            </w:r>
          </w:p>
        </w:tc>
        <w:tc>
          <w:tcPr>
            <w:tcW w:w="1560" w:type="dxa"/>
            <w:tcBorders>
              <w:top w:val="nil"/>
              <w:bottom w:val="single" w:sz="4" w:space="0" w:color="000000"/>
            </w:tcBorders>
            <w:shd w:val="clear" w:color="auto" w:fill="FFFFFF"/>
            <w:vAlign w:val="center"/>
          </w:tcPr>
          <w:p w14:paraId="2A1672AC" w14:textId="77777777" w:rsidR="00207C8A" w:rsidRPr="00207C8A" w:rsidRDefault="00207C8A">
            <w:pPr>
              <w:spacing w:before="400" w:after="200"/>
              <w:jc w:val="center"/>
              <w:rPr>
                <w:color w:val="000000"/>
                <w:sz w:val="17"/>
              </w:rPr>
            </w:pPr>
            <w:r w:rsidRPr="00207C8A">
              <w:rPr>
                <w:color w:val="000000"/>
                <w:sz w:val="17"/>
              </w:rPr>
              <w:t>1,576</w:t>
            </w:r>
          </w:p>
        </w:tc>
        <w:tc>
          <w:tcPr>
            <w:tcW w:w="1560" w:type="dxa"/>
            <w:tcBorders>
              <w:top w:val="nil"/>
              <w:bottom w:val="single" w:sz="4" w:space="0" w:color="000000"/>
            </w:tcBorders>
            <w:shd w:val="clear" w:color="auto" w:fill="FFFFFF"/>
            <w:vAlign w:val="center"/>
          </w:tcPr>
          <w:p w14:paraId="3A3A0AA0" w14:textId="77777777" w:rsidR="00207C8A" w:rsidRPr="00207C8A" w:rsidRDefault="00207C8A">
            <w:pPr>
              <w:spacing w:before="400" w:after="200"/>
              <w:jc w:val="center"/>
              <w:rPr>
                <w:color w:val="000000"/>
                <w:sz w:val="17"/>
              </w:rPr>
            </w:pPr>
            <w:r w:rsidRPr="00207C8A">
              <w:rPr>
                <w:color w:val="000000"/>
                <w:sz w:val="17"/>
              </w:rPr>
              <w:t>0,3020</w:t>
            </w:r>
          </w:p>
        </w:tc>
        <w:tc>
          <w:tcPr>
            <w:tcW w:w="1560" w:type="dxa"/>
            <w:tcBorders>
              <w:top w:val="nil"/>
              <w:bottom w:val="single" w:sz="4" w:space="0" w:color="000000"/>
            </w:tcBorders>
            <w:shd w:val="clear" w:color="auto" w:fill="FFFFFF"/>
            <w:vAlign w:val="center"/>
          </w:tcPr>
          <w:p w14:paraId="5FB6634E" w14:textId="77777777" w:rsidR="00207C8A" w:rsidRPr="00207C8A" w:rsidRDefault="00207C8A">
            <w:pPr>
              <w:spacing w:before="400" w:after="200"/>
              <w:jc w:val="center"/>
              <w:rPr>
                <w:color w:val="000000"/>
                <w:sz w:val="17"/>
              </w:rPr>
            </w:pPr>
            <w:r w:rsidRPr="00207C8A">
              <w:rPr>
                <w:color w:val="000000"/>
                <w:sz w:val="17"/>
              </w:rPr>
              <w:t>0,7177</w:t>
            </w:r>
          </w:p>
        </w:tc>
      </w:tr>
    </w:tbl>
    <w:p w14:paraId="44FA8808" w14:textId="77777777" w:rsidR="00207C8A" w:rsidRDefault="00207C8A" w:rsidP="00207C8A">
      <w:r>
        <w:t>GPT-4o mini mantuvo el mayor BERTScore y el menor costo estimado por 1.000 consultas dentro de la condición RAG. LLaMA registró la menor latencia, mientras que Mistral fue el modelo abierto más cercano a GPT en calidad semántica. La Figura 1 resume estas relaciones y funciona como una versión estática del dashboard implementado.</w:t>
      </w:r>
    </w:p>
    <w:p w14:paraId="5A417EEF" w14:textId="77777777" w:rsidR="00207C8A" w:rsidRDefault="00207C8A" w:rsidP="00207C8A"/>
    <w:p w14:paraId="1DAF8379" w14:textId="77777777" w:rsidR="00207C8A" w:rsidRPr="00207C8A" w:rsidRDefault="00207C8A" w:rsidP="00207C8A">
      <w:pPr>
        <w:pStyle w:val="Descripcin"/>
        <w:keepNext/>
        <w:spacing w:after="0" w:before="240" w:line="360" w:lineRule="auto"/>
        <w:jc w:val="left"/>
        <w:rPr>
          <w:color w:val="000000"/>
        </w:rPr>
      </w:pPr>
      <w:r>
        <w:rPr>
          <w:rFonts w:ascii="Times New Roman" w:hAnsi="Times New Roman" w:cs="Times New Roman"/>
          <w:b/>
          <w:sz w:val="24"/>
        </w:rPr>
        <w:t>Figura 1</w:t>
        <w:br/>
      </w:r>
      <w:r>
        <w:rPr>
          <w:rFonts w:ascii="Times New Roman" w:hAnsi="Times New Roman" w:cs="Times New Roman"/>
          <w:i/>
          <w:sz w:val="24"/>
        </w:rPr>
        <w:t>Dashboard del experimento ampliado</w:t>
      </w:r>
    </w:p>
    <w:p w14:paraId="71537AF7" w14:textId="77777777" w:rsidR="00207C8A" w:rsidRDefault="00207C8A" w:rsidP="00207C8A">
      <w:pPr>
        <w:jc w:val="center"/>
      </w:pPr>
      <w:r>
        <w:rPr>
          <w:noProof/>
        </w:rPr>
        <w:drawing>
          <wp:inline distT="0" distB="0" distL="0" distR="0" wp14:anchorId="09432B82" wp14:editId="3CB95F34">
            <wp:extent cx="5461000" cy="3092816"/>
            <wp:effectExtent l="0" t="0" r="6350" b="0"/>
            <wp:docPr id="81164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4889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61000" cy="3092816"/>
                    </a:xfrm>
                    <a:prstGeom prst="rect">
                      <a:avLst/>
                    </a:prstGeom>
                  </pic:spPr>
                </pic:pic>
              </a:graphicData>
            </a:graphic>
          </wp:inline>
        </w:drawing>
      </w:r>
    </w:p>
    <w:p w14:paraId="2AA156E9" w14:textId="77777777" w:rsidR="00207C8A" w:rsidRPr="00207C8A" w:rsidRDefault="00207C8A" w:rsidP="00207C8A">
      <w:pPr>
        <w:spacing w:after="160" w:line="360" w:lineRule="auto"/>
        <w:rPr>
          <w:sz w:val="18"/>
        </w:rPr>
      </w:pPr>
      <w:r>
        <w:rPr>
          <w:rFonts w:ascii="Times New Roman" w:hAnsi="Times New Roman" w:cs="Times New Roman"/>
          <w:i/>
          <w:sz w:val="24"/>
        </w:rPr>
        <w:t>Nota.</w:t>
      </w:r>
      <w:r>
        <w:rPr>
          <w:rFonts w:ascii="Times New Roman" w:hAnsi="Times New Roman" w:cs="Times New Roman"/>
          <w:sz w:val="24"/>
        </w:rPr>
        <w:t xml:space="preserve"> Elaboración propia a partir de resumen_experimento_ampliado.csv y resultados_recuperacion_rag_ampliada_por_intencion.csv.</w:t>
      </w:r>
    </w:p>
    <w:p w14:paraId="0A8FE1D2" w14:textId="77777777" w:rsidR="00207C8A" w:rsidRPr="00207C8A" w:rsidRDefault="00207C8A" w:rsidP="00207C8A">
      <w:pPr>
        <w:spacing w:after="160"/>
        <w:rPr>
          <w:sz w:val="18"/>
        </w:rPr>
      </w:pPr>
    </w:p>
    <w:p w14:paraId="4CD6D91B" w14:textId="77777777" w:rsidR="00207C8A" w:rsidRDefault="00207C8A" w:rsidP="00207C8A">
      <w:r>
        <w:t>La Figura 2 permite observar que el efecto de RAG es positivo para ambas métricas en los tres modelos. Los incrementos medios de BERTScore fueron 0,0357 para GPT-4o mini, 0,0274 para LLaMA y 0,0322 para Mistral. En ROUGE-L, los aumentos fueron 0,0739, 0,0496 y 0,0552, respectivamente.</w:t>
      </w:r>
    </w:p>
    <w:p w14:paraId="6953B3E7" w14:textId="77777777" w:rsidR="00207C8A" w:rsidRDefault="00207C8A" w:rsidP="00207C8A"/>
    <w:p w14:paraId="4B298F9E" w14:textId="77777777" w:rsidR="00207C8A" w:rsidRPr="00207C8A" w:rsidRDefault="00207C8A" w:rsidP="00207C8A">
      <w:pPr>
        <w:pStyle w:val="Descripcin"/>
        <w:keepNext/>
        <w:spacing w:after="0" w:before="240" w:line="360" w:lineRule="auto"/>
        <w:jc w:val="left"/>
        <w:rPr>
          <w:color w:val="000000"/>
        </w:rPr>
      </w:pPr>
      <w:r>
        <w:rPr>
          <w:rFonts w:ascii="Times New Roman" w:hAnsi="Times New Roman" w:cs="Times New Roman"/>
          <w:b/>
          <w:sz w:val="24"/>
        </w:rPr>
        <w:t>Figura 2</w:t>
        <w:br/>
      </w:r>
      <w:r>
        <w:rPr>
          <w:rFonts w:ascii="Times New Roman" w:hAnsi="Times New Roman" w:cs="Times New Roman"/>
          <w:i/>
          <w:sz w:val="24"/>
        </w:rPr>
        <w:t>Calidad automática por modelo y condición</w:t>
      </w:r>
    </w:p>
    <w:p w14:paraId="14776D0E" w14:textId="77777777" w:rsidR="00207C8A" w:rsidRDefault="00207C8A" w:rsidP="00207C8A">
      <w:pPr>
        <w:jc w:val="center"/>
      </w:pPr>
      <w:r>
        <w:rPr>
          <w:noProof/>
        </w:rPr>
        <w:drawing>
          <wp:inline distT="0" distB="0" distL="0" distR="0" wp14:anchorId="66AA25AD" wp14:editId="1686640F">
            <wp:extent cx="5461000" cy="2178566"/>
            <wp:effectExtent l="0" t="0" r="6350" b="0"/>
            <wp:docPr id="18465708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080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61000" cy="2178566"/>
                    </a:xfrm>
                    <a:prstGeom prst="rect">
                      <a:avLst/>
                    </a:prstGeom>
                  </pic:spPr>
                </pic:pic>
              </a:graphicData>
            </a:graphic>
          </wp:inline>
        </w:drawing>
      </w:r>
    </w:p>
    <w:p w14:paraId="449F5E98" w14:textId="77777777" w:rsidR="00207C8A" w:rsidRPr="00207C8A" w:rsidRDefault="00207C8A" w:rsidP="00207C8A">
      <w:pPr>
        <w:spacing w:after="160" w:line="360" w:lineRule="auto"/>
        <w:rPr>
          <w:sz w:val="18"/>
        </w:rPr>
      </w:pPr>
      <w:r>
        <w:rPr>
          <w:rFonts w:ascii="Times New Roman" w:hAnsi="Times New Roman" w:cs="Times New Roman"/>
          <w:i/>
          <w:sz w:val="24"/>
        </w:rPr>
        <w:t>Nota.</w:t>
      </w:r>
      <w:r>
        <w:rPr>
          <w:rFonts w:ascii="Times New Roman" w:hAnsi="Times New Roman" w:cs="Times New Roman"/>
          <w:sz w:val="24"/>
        </w:rPr>
        <w:t xml:space="preserve"> Elaboración propia a partir de resumen_experimento_ampliado.csv.</w:t>
      </w:r>
    </w:p>
    <w:p w14:paraId="30FCC303" w14:textId="77777777" w:rsidR="00207C8A" w:rsidRPr="00207C8A" w:rsidRDefault="00207C8A" w:rsidP="00207C8A">
      <w:pPr>
        <w:spacing w:after="160"/>
        <w:rPr>
          <w:sz w:val="18"/>
        </w:rPr>
      </w:pPr>
    </w:p>
    <w:p w14:paraId="6BD2231A" w14:textId="77777777" w:rsidR="00207C8A" w:rsidRDefault="00207C8A" w:rsidP="00207C8A">
      <w:r>
        <w:t>La Figura 3 muestra que ningún modelo domina simultáneamente las tres dimensiones. GPT ofrece la mayor calidad y el menor costo estimado, LLaMA presenta la menor latencia y Mistral alcanza una calidad intermedia con el costo más alto del grupo bajo el escenario cloud seleccionado.</w:t>
      </w:r>
    </w:p>
    <w:p w14:paraId="7799948D" w14:textId="77777777" w:rsidR="00207C8A" w:rsidRDefault="00207C8A" w:rsidP="00207C8A"/>
    <w:p w14:paraId="59E4EC04" w14:textId="77777777" w:rsidR="00207C8A" w:rsidRPr="00207C8A" w:rsidRDefault="00207C8A" w:rsidP="00207C8A">
      <w:pPr>
        <w:pStyle w:val="Descripcin"/>
        <w:keepNext/>
        <w:spacing w:after="0" w:before="240" w:line="360" w:lineRule="auto"/>
        <w:jc w:val="left"/>
        <w:rPr>
          <w:color w:val="000000"/>
        </w:rPr>
      </w:pPr>
      <w:r>
        <w:rPr>
          <w:rFonts w:ascii="Times New Roman" w:hAnsi="Times New Roman" w:cs="Times New Roman"/>
          <w:b/>
          <w:sz w:val="24"/>
        </w:rPr>
        <w:t>Figura 3</w:t>
        <w:br/>
      </w:r>
      <w:r>
        <w:rPr>
          <w:rFonts w:ascii="Times New Roman" w:hAnsi="Times New Roman" w:cs="Times New Roman"/>
          <w:i/>
          <w:sz w:val="24"/>
        </w:rPr>
        <w:t>Relación entre latencia, costo y calidad en la condición RAG</w:t>
      </w:r>
    </w:p>
    <w:p w14:paraId="3E3F4CF7" w14:textId="77777777" w:rsidR="00207C8A" w:rsidRDefault="00207C8A" w:rsidP="00207C8A">
      <w:pPr>
        <w:jc w:val="center"/>
      </w:pPr>
      <w:r>
        <w:rPr>
          <w:noProof/>
        </w:rPr>
        <w:drawing>
          <wp:inline distT="0" distB="0" distL="0" distR="0" wp14:anchorId="73F4690F" wp14:editId="60EA45D8">
            <wp:extent cx="5461000" cy="3358865"/>
            <wp:effectExtent l="0" t="0" r="6350" b="0"/>
            <wp:docPr id="6233807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8076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000" cy="3358865"/>
                    </a:xfrm>
                    <a:prstGeom prst="rect">
                      <a:avLst/>
                    </a:prstGeom>
                  </pic:spPr>
                </pic:pic>
              </a:graphicData>
            </a:graphic>
          </wp:inline>
        </w:drawing>
      </w:r>
    </w:p>
    <w:p w14:paraId="1D786EB5" w14:textId="77777777" w:rsidR="00207C8A" w:rsidRPr="00207C8A" w:rsidRDefault="00207C8A" w:rsidP="00207C8A">
      <w:pPr>
        <w:spacing w:after="160" w:line="360" w:lineRule="auto"/>
        <w:rPr>
          <w:sz w:val="18"/>
        </w:rPr>
      </w:pPr>
      <w:r>
        <w:rPr>
          <w:rFonts w:ascii="Times New Roman" w:hAnsi="Times New Roman" w:cs="Times New Roman"/>
          <w:i/>
          <w:sz w:val="24"/>
        </w:rPr>
        <w:t>Nota.</w:t>
      </w:r>
      <w:r>
        <w:rPr>
          <w:rFonts w:ascii="Times New Roman" w:hAnsi="Times New Roman" w:cs="Times New Roman"/>
          <w:sz w:val="24"/>
        </w:rPr>
        <w:t xml:space="preserve"> El tamaño del marcador representa BERTScore F1. Elaboración propia a partir de resumen_experimento_ampliado.csv.</w:t>
      </w:r>
    </w:p>
    <w:p w14:paraId="303BDA77" w14:textId="77777777" w:rsidR="00207C8A" w:rsidRPr="00207C8A" w:rsidRDefault="00207C8A" w:rsidP="00207C8A">
      <w:pPr>
        <w:spacing w:after="160"/>
        <w:rPr>
          <w:sz w:val="18"/>
        </w:rPr>
      </w:pPr>
    </w:p>
    <w:p w14:paraId="0338D05D" w14:textId="77777777" w:rsidR="00207C8A" w:rsidRDefault="00207C8A" w:rsidP="00207C8A">
      <w:r>
        <w:t>En la Hipótesis 1, Mistral quedó 0,0119 puntos por debajo de GPT y su intervalo de confianza del 95 % permaneció dentro del margen de ±0,02; por ello recibe apoyo con el criterio definido. LLaMA presentó una diferencia puntual de 0,0177, pero el límite inferior de su intervalo alcanzó -0,0217, de modo que no cumplió el criterio completo. Las Hipótesis 2 y 3 no recibieron apoyo: los modelos abiertos no fueron menos costosos y tampoco superaron el índice compuesto de GPT. La evaluación humana permanece pendiente y podrá modificar la interpretación de calidad cuando se incorporen utilidad, fidelidad y alucinaciones.</w:t>
      </w:r>
    </w:p>
    <w:p w14:paraId="12BF5065" w14:textId="77777777" w:rsidR="00910F71" w:rsidRDefault="00543A90">
      <w:pPr>
        <w:pStyle w:val="Ttulo1"/>
        <w:pageBreakBefore/>
        <w:spacing w:before="400" w:after="200"/>
        <w:jc w:val="center"/>
      </w:pPr>
      <w:bookmarkStart w:id="76" w:name="_Toc243326978"/>
      <w:r>
        <w:t>Conclusiones</w:t>
      </w:r>
      <w:bookmarkEnd w:id="76"/>
    </w:p>
    <w:p w14:paraId="507BEABD" w14:textId="77777777" w:rsidR="00207C8A" w:rsidRDefault="00207C8A" w:rsidP="00207C8A">
      <w:bookmarkStart w:id="77" w:name="_1javjldikxag" w:colFirst="0" w:colLast="0"/>
      <w:bookmarkEnd w:id="77"/>
      <w:r>
        <w:t>El experimento ampliado confirma que RAG mejora la calidad automática de las respuestas en los tres modelos evaluados. Sobre 324 consultas, los incrementos de BERTScore y ROUGE-L fueron positivos y estadísticamente significativos. El recuperador obtuvo Hit@3 de 96,0 %, aunque todavía presentó fallos concentrados en algunas intenciones.</w:t>
      </w:r>
    </w:p>
    <w:p w14:paraId="3CE92968" w14:textId="77777777" w:rsidR="00207C8A" w:rsidRDefault="00207C8A" w:rsidP="00207C8A"/>
    <w:p w14:paraId="57E63EF7" w14:textId="77777777" w:rsidR="00207C8A" w:rsidRDefault="00207C8A" w:rsidP="00207C8A">
      <w:r>
        <w:t>La primera hipótesis recibe apoyo para Mistral, cuya diferencia de BERTScore frente a GPT-4o mini se mantuvo dentro del margen de ±0,02 al considerar el intervalo de confianza completo. LLaMA quedó dentro del margen únicamente en la estimación puntual. Las hipótesis de menor costo y de superioridad del índice compuesto para los modelos abiertos no recibieron apoyo bajo el escenario de costos utilizado.</w:t>
      </w:r>
    </w:p>
    <w:p w14:paraId="370A6ECF" w14:textId="77777777" w:rsidR="00207C8A" w:rsidRDefault="00207C8A" w:rsidP="00207C8A"/>
    <w:p w14:paraId="2649D650" w14:textId="77777777" w:rsidR="00207C8A" w:rsidRDefault="00207C8A" w:rsidP="00207C8A">
      <w:r>
        <w:t>Los resultados también muestran que la elección de modelo no puede resolverse con una única métrica. GPT-4o mini obtuvo la mayor calidad y el menor costo estimado, LLaMA la menor latencia y Mistral la mayor cercanía de calidad entre los modelos abiertos. RAG aumentó la calidad, pero también incrementó el tiempo y el costo de procesamiento.</w:t>
      </w:r>
    </w:p>
    <w:p w14:paraId="79AF901A" w14:textId="77777777" w:rsidR="00207C8A" w:rsidRDefault="00207C8A" w:rsidP="00207C8A"/>
    <w:p w14:paraId="5F383BDD" w14:textId="77777777" w:rsidR="00207C8A" w:rsidRDefault="00207C8A" w:rsidP="00207C8A">
      <w:r>
        <w:t>El aporte del trabajo es un framework reproducible que acepta un esquema de datos común, conserva la trazabilidad del corpus y de cada respuesta, separa recuperación y generación, y presenta los compromisos entre métricas mediante un dashboard. La evaluación humana ciega constituye el paso pendiente antes de formular conclusiones definitivas sobre corrección, utilidad, fidelidad y alucinaciones.</w:t>
      </w:r>
    </w:p>
    <w:p w14:paraId="0B5D8865" w14:textId="77777777" w:rsidR="00207C8A" w:rsidRDefault="00207C8A" w:rsidP="00207C8A"/>
    <w:p w14:paraId="1E464EE1" w14:textId="77777777" w:rsidR="00910F71" w:rsidRDefault="00543A90">
      <w:pPr>
        <w:pStyle w:val="Ttulo1"/>
        <w:pageBreakBefore/>
        <w:spacing w:before="400" w:after="200"/>
        <w:jc w:val="center"/>
      </w:pPr>
      <w:bookmarkStart w:id="78" w:name="_Toc243326979"/>
      <w:r>
        <w:t>Líneas Futuras de Investigación</w:t>
      </w:r>
      <w:bookmarkEnd w:id="78"/>
    </w:p>
    <w:p w14:paraId="0A4CCC75" w14:textId="77777777" w:rsidR="00207C8A" w:rsidRDefault="00207C8A" w:rsidP="00207C8A">
      <w:bookmarkStart w:id="79" w:name="_fylbre2ubi46" w:colFirst="0" w:colLast="0"/>
      <w:bookmarkEnd w:id="79"/>
      <w:r>
        <w:t>• Completar la evaluación humana ciega y calcular el acuerdo entre evaluadores antes de integrar sus resultados con las métricas automáticas.</w:t>
      </w:r>
    </w:p>
    <w:p w14:paraId="3F4C5941" w14:textId="77777777" w:rsidR="00207C8A" w:rsidRDefault="00207C8A" w:rsidP="00207C8A"/>
    <w:p w14:paraId="6F08E7A8" w14:textId="77777777" w:rsidR="00207C8A" w:rsidRDefault="00207C8A" w:rsidP="00207C8A">
      <w:r>
        <w:t>• Repetir las mediciones en distintas sesiones y reportar dispersión, intervalos y estabilidad temporal.</w:t>
      </w:r>
    </w:p>
    <w:p w14:paraId="43ABF817" w14:textId="77777777" w:rsidR="00207C8A" w:rsidRDefault="00207C8A" w:rsidP="00207C8A"/>
    <w:p w14:paraId="37595F1A" w14:textId="77777777" w:rsidR="00207C8A" w:rsidRDefault="00207C8A" w:rsidP="00207C8A">
      <w:r>
        <w:t>• Medir energía con un dispositivo de pared y reemplazar el benchmark eléctrico por una tarifa local documentada.</w:t>
      </w:r>
    </w:p>
    <w:p w14:paraId="7AA22CA0" w14:textId="77777777" w:rsidR="00207C8A" w:rsidRDefault="00207C8A" w:rsidP="00207C8A"/>
    <w:p w14:paraId="3A970191" w14:textId="77777777" w:rsidR="00207C8A" w:rsidRDefault="00207C8A" w:rsidP="00207C8A">
      <w:r>
        <w:t>• Evaluar un despliegue cloud real de los modelos abiertos para medir throughput y costo sin combinar hardware local con precios remotos.</w:t>
      </w:r>
    </w:p>
    <w:p w14:paraId="4E23F2DD" w14:textId="77777777" w:rsidR="00207C8A" w:rsidRDefault="00207C8A" w:rsidP="00207C8A"/>
    <w:p w14:paraId="5428E44C" w14:textId="77777777" w:rsidR="00207C8A" w:rsidRDefault="00207C8A" w:rsidP="00207C8A">
      <w:r>
        <w:t>• Escalar el corpus y comparar búsqueda exacta con FAISS cuando el volumen permita medir diferencias de rendimiento.</w:t>
      </w:r>
    </w:p>
    <w:p w14:paraId="3FCB138C" w14:textId="77777777" w:rsidR="00207C8A" w:rsidRDefault="00207C8A" w:rsidP="00207C8A"/>
    <w:p w14:paraId="6CB9B6D3" w14:textId="77777777" w:rsidR="00207C8A" w:rsidRDefault="00207C8A" w:rsidP="00207C8A">
      <w:r>
        <w:t>• Incorporar métricas específicas de fidelidad al contexto y mecanismos de rechazo cuando la evidencia recuperada sea insuficiente.</w:t>
      </w:r>
    </w:p>
    <w:p w14:paraId="2BA7BC1B" w14:textId="77777777" w:rsidR="00207C8A" w:rsidRDefault="00207C8A" w:rsidP="00207C8A"/>
    <w:p w14:paraId="5CE83099" w14:textId="77777777" w:rsidR="00910F71" w:rsidRDefault="00543A90">
      <w:pPr>
        <w:pStyle w:val="Ttulo1"/>
        <w:pageBreakBefore/>
        <w:spacing w:before="400" w:after="200"/>
        <w:jc w:val="center"/>
      </w:pPr>
      <w:bookmarkStart w:id="80" w:name="_Toc243326980"/>
      <w:r>
        <w:t>Referencias</w:t>
      </w:r>
      <w:bookmarkEnd w:id="80"/>
    </w:p>
    <w:p>
      <w:pPr>
        <w:spacing w:line="360" w:lineRule="auto" w:after="0"/>
        <w:ind w:left="720" w:hanging="720"/>
        <w:jc w:val="left"/>
      </w:pPr>
      <w:r>
        <w:rPr>
          <w:rFonts w:ascii="Times New Roman" w:hAnsi="Times New Roman" w:cs="Times New Roman"/>
          <w:sz w:val="24"/>
        </w:rPr>
        <w:t xml:space="preserve">Advanced Micro Devices, Inc. (s. f.). </w:t>
      </w:r>
      <w:r>
        <w:rPr>
          <w:rFonts w:ascii="Times New Roman" w:hAnsi="Times New Roman" w:cs="Times New Roman"/>
          <w:i/>
          <w:sz w:val="24"/>
        </w:rPr>
        <w:t>AMD Ryzen 5 5600X desktop processors</w:t>
      </w:r>
      <w:r>
        <w:rPr>
          <w:rFonts w:ascii="Times New Roman" w:hAnsi="Times New Roman" w:cs="Times New Roman"/>
          <w:sz w:val="24"/>
        </w:rPr>
        <w:t>. Recuperado el 4 de octubre de 2026, de https://www.amd.com/en/products/processors/desktops/ryzen/5000-series/amd-ryzen-5-5600x.html</w:t>
      </w:r>
    </w:p>
    <w:p>
      <w:pPr>
        <w:spacing w:line="360" w:lineRule="auto" w:after="0"/>
        <w:ind w:left="720" w:hanging="720"/>
        <w:jc w:val="left"/>
      </w:pPr>
      <w:r>
        <w:rPr>
          <w:rFonts w:ascii="Times New Roman" w:hAnsi="Times New Roman" w:cs="Times New Roman"/>
          <w:sz w:val="24"/>
        </w:rPr>
        <w:t xml:space="preserve">Balaji, S., Mishra, P., Sachdeva, A., &amp; Agrawal, S. (2026). Beyond IVR: Benchmarking customer support LLM agents for business-adherence. En </w:t>
      </w:r>
      <w:r>
        <w:rPr>
          <w:rFonts w:ascii="Times New Roman" w:hAnsi="Times New Roman" w:cs="Times New Roman"/>
          <w:i/>
          <w:sz w:val="24"/>
        </w:rPr>
        <w:t>Proceedings of the 19th Conference of the European Chapter of the Association for Computational Linguistics (Volume 5: Industry Track)</w:t>
      </w:r>
      <w:r>
        <w:rPr>
          <w:rFonts w:ascii="Times New Roman" w:hAnsi="Times New Roman" w:cs="Times New Roman"/>
          <w:sz w:val="24"/>
        </w:rPr>
        <w:t xml:space="preserve"> (pp. 193-208). Association for Computational Linguistics. https://doi.org/10.18653/v1/2026.eacl-industry.15</w:t>
      </w:r>
    </w:p>
    <w:p>
      <w:pPr>
        <w:spacing w:line="360" w:lineRule="auto" w:after="0"/>
        <w:ind w:left="720" w:hanging="720"/>
        <w:jc w:val="left"/>
      </w:pPr>
      <w:r>
        <w:rPr>
          <w:rFonts w:ascii="Times New Roman" w:hAnsi="Times New Roman" w:cs="Times New Roman"/>
          <w:sz w:val="24"/>
        </w:rPr>
        <w:t xml:space="preserve">Barandoni, S., Chiarello, F., Cascone, L., Marrale, E., &amp; Puccio, S. (2024). </w:t>
      </w:r>
      <w:r>
        <w:rPr>
          <w:rFonts w:ascii="Times New Roman" w:hAnsi="Times New Roman" w:cs="Times New Roman"/>
          <w:i/>
          <w:sz w:val="24"/>
        </w:rPr>
        <w:t>Automating customer needs analysis: A comparative study of large language models in the travel industry</w:t>
      </w:r>
      <w:r>
        <w:rPr>
          <w:rFonts w:ascii="Times New Roman" w:hAnsi="Times New Roman" w:cs="Times New Roman"/>
          <w:sz w:val="24"/>
        </w:rPr>
        <w:t>. arXiv:2404.17975. https://arxiv.org/abs/2404.17975</w:t>
      </w:r>
    </w:p>
    <w:p>
      <w:pPr>
        <w:spacing w:line="360" w:lineRule="auto" w:after="0"/>
        <w:ind w:left="720" w:hanging="720"/>
        <w:jc w:val="left"/>
      </w:pPr>
      <w:r>
        <w:rPr>
          <w:rFonts w:ascii="Times New Roman" w:hAnsi="Times New Roman" w:cs="Times New Roman"/>
          <w:sz w:val="24"/>
        </w:rPr>
        <w:t xml:space="preserve">Bitext. (s. f.). </w:t>
      </w:r>
      <w:r>
        <w:rPr>
          <w:rFonts w:ascii="Times New Roman" w:hAnsi="Times New Roman" w:cs="Times New Roman"/>
          <w:i/>
          <w:sz w:val="24"/>
        </w:rPr>
        <w:t>Bitext Customer Support LLM Chatbot Training Dataset</w:t>
      </w:r>
      <w:r>
        <w:rPr>
          <w:rFonts w:ascii="Times New Roman" w:hAnsi="Times New Roman" w:cs="Times New Roman"/>
          <w:sz w:val="24"/>
        </w:rPr>
        <w:t xml:space="preserve"> [Conjunto de datos]. Hugging Face. Recuperado el 14 de septiembre de 2026, de https://huggingface.co/datasets/bitext/Bitext-customer-support-llm-chatbot-training-dataset</w:t>
      </w:r>
    </w:p>
    <w:p>
      <w:pPr>
        <w:spacing w:line="360" w:lineRule="auto" w:after="0"/>
        <w:ind w:left="720" w:hanging="720"/>
        <w:jc w:val="left"/>
      </w:pPr>
      <w:r>
        <w:rPr>
          <w:rFonts w:ascii="Times New Roman" w:hAnsi="Times New Roman" w:cs="Times New Roman"/>
          <w:sz w:val="24"/>
        </w:rPr>
        <w:t xml:space="preserve">Brown, T. B., Mann, B., Ryder, N., Subbiah, M., Kaplan, J., Dhariwal, P., Neelakantan, A., Shyam, P., Sastry, G., Askell, A., Agarwal, S., Herbert-Voss, A., Krueger, G., Henighan, T., Child, R., Ramesh, A., Ziegler, D. M., Wu, J., Winter, C., … Amodei, D. (2020). Language models are few-shot learners. En </w:t>
      </w:r>
      <w:r>
        <w:rPr>
          <w:rFonts w:ascii="Times New Roman" w:hAnsi="Times New Roman" w:cs="Times New Roman"/>
          <w:i/>
          <w:sz w:val="24"/>
        </w:rPr>
        <w:t>Advances in Neural Information Processing Systems</w:t>
      </w:r>
      <w:r>
        <w:rPr>
          <w:rFonts w:ascii="Times New Roman" w:hAnsi="Times New Roman" w:cs="Times New Roman"/>
          <w:sz w:val="24"/>
        </w:rPr>
        <w:t xml:space="preserve"> (Vol. 33, pp. 1877-1901). Curran Associates.</w:t>
      </w:r>
    </w:p>
    <w:p>
      <w:pPr>
        <w:spacing w:line="360" w:lineRule="auto" w:after="0"/>
        <w:ind w:left="720" w:hanging="720"/>
        <w:jc w:val="left"/>
      </w:pPr>
      <w:r>
        <w:rPr>
          <w:rFonts w:ascii="Times New Roman" w:hAnsi="Times New Roman" w:cs="Times New Roman"/>
          <w:sz w:val="24"/>
        </w:rPr>
        <w:t xml:space="preserve">Casazola Cruz, O. D., Alfaro Mariño, G., Burgos Tejada, J., &amp; Ramos More, O. A. (2021). La usabilidad percibida de los chatbots sobre la atención al cliente en las organizaciones: Una revisión de la literatura. </w:t>
      </w:r>
      <w:r>
        <w:rPr>
          <w:rFonts w:ascii="Times New Roman" w:hAnsi="Times New Roman" w:cs="Times New Roman"/>
          <w:i/>
          <w:sz w:val="24"/>
        </w:rPr>
        <w:t>Interfases</w:t>
      </w:r>
      <w:r>
        <w:rPr>
          <w:rFonts w:ascii="Times New Roman" w:hAnsi="Times New Roman" w:cs="Times New Roman"/>
          <w:sz w:val="24"/>
        </w:rPr>
        <w:t>, (</w:t>
      </w:r>
      <w:r>
        <w:rPr>
          <w:rFonts w:ascii="Times New Roman" w:hAnsi="Times New Roman" w:cs="Times New Roman"/>
          <w:i/>
          <w:sz w:val="24"/>
        </w:rPr>
        <w:t>14</w:t>
      </w:r>
      <w:r>
        <w:rPr>
          <w:rFonts w:ascii="Times New Roman" w:hAnsi="Times New Roman" w:cs="Times New Roman"/>
          <w:sz w:val="24"/>
        </w:rPr>
        <w:t>), 184-204. https://doi.org/10.26439/interfases2021.n014.5401</w:t>
      </w:r>
    </w:p>
    <w:p>
      <w:pPr>
        <w:spacing w:line="360" w:lineRule="auto" w:after="0"/>
        <w:ind w:left="720" w:hanging="720"/>
        <w:jc w:val="left"/>
      </w:pPr>
      <w:r>
        <w:rPr>
          <w:rFonts w:ascii="Times New Roman" w:hAnsi="Times New Roman" w:cs="Times New Roman"/>
          <w:sz w:val="24"/>
        </w:rPr>
        <w:t xml:space="preserve">Devlin, J., Chang, M.-W., Lee, K., &amp; Toutanova, K. (2019). BERT: Pre-training of deep bidirectional transformers for language understanding. En </w:t>
      </w:r>
      <w:r>
        <w:rPr>
          <w:rFonts w:ascii="Times New Roman" w:hAnsi="Times New Roman" w:cs="Times New Roman"/>
          <w:i/>
          <w:sz w:val="24"/>
        </w:rPr>
        <w:t>Proceedings of the 2019 Conference of the North American Chapter of the Association for Computational Linguistics: Human Language Technologies</w:t>
      </w:r>
      <w:r>
        <w:rPr>
          <w:rFonts w:ascii="Times New Roman" w:hAnsi="Times New Roman" w:cs="Times New Roman"/>
          <w:sz w:val="24"/>
        </w:rPr>
        <w:t xml:space="preserve"> (pp. 4171-4186). Association for Computational Linguistics.</w:t>
      </w:r>
    </w:p>
    <w:p>
      <w:pPr>
        <w:spacing w:line="360" w:lineRule="auto" w:after="0"/>
        <w:ind w:left="720" w:hanging="720"/>
        <w:jc w:val="left"/>
      </w:pPr>
      <w:r>
        <w:rPr>
          <w:rFonts w:ascii="Times New Roman" w:hAnsi="Times New Roman" w:cs="Times New Roman"/>
          <w:sz w:val="24"/>
        </w:rPr>
        <w:t xml:space="preserve">Es, S., James, J., Espinosa Anke, L., &amp; Schockaert, S. (2024). RAGAs: Automated evaluation of retrieval augmented generation. En </w:t>
      </w:r>
      <w:r>
        <w:rPr>
          <w:rFonts w:ascii="Times New Roman" w:hAnsi="Times New Roman" w:cs="Times New Roman"/>
          <w:i/>
          <w:sz w:val="24"/>
        </w:rPr>
        <w:t>Proceedings of the 18th Conference of the European Chapter of the Association for Computational Linguistics: System Demonstrations</w:t>
      </w:r>
      <w:r>
        <w:rPr>
          <w:rFonts w:ascii="Times New Roman" w:hAnsi="Times New Roman" w:cs="Times New Roman"/>
          <w:sz w:val="24"/>
        </w:rPr>
        <w:t xml:space="preserve"> (pp. 150-158). Association for Computational Linguistics. https://doi.org/10.18653/v1/2024.eacl-demo.16</w:t>
      </w:r>
    </w:p>
    <w:p>
      <w:pPr>
        <w:spacing w:line="360" w:lineRule="auto" w:after="0"/>
        <w:ind w:left="720" w:hanging="720"/>
        <w:jc w:val="left"/>
      </w:pPr>
      <w:r>
        <w:rPr>
          <w:rFonts w:ascii="Times New Roman" w:hAnsi="Times New Roman" w:cs="Times New Roman"/>
          <w:sz w:val="24"/>
        </w:rPr>
        <w:t xml:space="preserve">Faysal, N. M. (2024). </w:t>
      </w:r>
      <w:r>
        <w:rPr>
          <w:rFonts w:ascii="Times New Roman" w:hAnsi="Times New Roman" w:cs="Times New Roman"/>
          <w:i/>
          <w:sz w:val="24"/>
        </w:rPr>
        <w:t>An empirical study on the efficacy of LLM-powered chatbots in basic information retrieval tasks</w:t>
      </w:r>
      <w:r>
        <w:rPr>
          <w:rFonts w:ascii="Times New Roman" w:hAnsi="Times New Roman" w:cs="Times New Roman"/>
          <w:sz w:val="24"/>
        </w:rPr>
        <w:t xml:space="preserve"> [Master's Project, California State University, San Bernardino]. CSUSB ScholarWorks. https://scholarworks.lib.csusb.edu/etd/1938</w:t>
      </w:r>
    </w:p>
    <w:p>
      <w:pPr>
        <w:spacing w:line="360" w:lineRule="auto" w:after="0"/>
        <w:ind w:left="720" w:hanging="720"/>
        <w:jc w:val="left"/>
      </w:pPr>
      <w:r>
        <w:rPr>
          <w:rFonts w:ascii="Times New Roman" w:hAnsi="Times New Roman" w:cs="Times New Roman"/>
          <w:sz w:val="24"/>
        </w:rPr>
        <w:t xml:space="preserve">Gao, Y., Xiong, Y., Gao, X., Jia, K., Pan, J., Bi, Y., Dai, Y., Sun, J., &amp; Wang, H. (2023). </w:t>
      </w:r>
      <w:r>
        <w:rPr>
          <w:rFonts w:ascii="Times New Roman" w:hAnsi="Times New Roman" w:cs="Times New Roman"/>
          <w:i/>
          <w:sz w:val="24"/>
        </w:rPr>
        <w:t>Retrieval-augmented generation for large language models: A survey</w:t>
      </w:r>
      <w:r>
        <w:rPr>
          <w:rFonts w:ascii="Times New Roman" w:hAnsi="Times New Roman" w:cs="Times New Roman"/>
          <w:sz w:val="24"/>
        </w:rPr>
        <w:t>. arXiv. https://arxiv.org/abs/2312.10997</w:t>
      </w:r>
    </w:p>
    <w:p>
      <w:pPr>
        <w:spacing w:line="360" w:lineRule="auto" w:after="0"/>
        <w:ind w:left="720" w:hanging="720"/>
        <w:jc w:val="left"/>
      </w:pPr>
      <w:r>
        <w:rPr>
          <w:rFonts w:ascii="Times New Roman" w:hAnsi="Times New Roman" w:cs="Times New Roman"/>
          <w:sz w:val="24"/>
        </w:rPr>
        <w:t xml:space="preserve">Garzón-Quiroz, M., Del Campo-Saltos, G., &amp; Loor-Ávila, B. (2025). Análisis sistemático sobre la eficiencia comunicativa entre chatbots basados en reglas y modelos de lenguaje natural. </w:t>
      </w:r>
      <w:r>
        <w:rPr>
          <w:rFonts w:ascii="Times New Roman" w:hAnsi="Times New Roman" w:cs="Times New Roman"/>
          <w:i/>
          <w:sz w:val="24"/>
        </w:rPr>
        <w:t>Universitas-XXI, Revista de Ciencias Sociales y Humanas</w:t>
      </w:r>
      <w:r>
        <w:rPr>
          <w:rFonts w:ascii="Times New Roman" w:hAnsi="Times New Roman" w:cs="Times New Roman"/>
          <w:sz w:val="24"/>
        </w:rPr>
        <w:t xml:space="preserve">, </w:t>
      </w:r>
      <w:r>
        <w:rPr>
          <w:rFonts w:ascii="Times New Roman" w:hAnsi="Times New Roman" w:cs="Times New Roman"/>
          <w:i/>
          <w:sz w:val="24"/>
        </w:rPr>
        <w:t>42</w:t>
      </w:r>
      <w:r>
        <w:rPr>
          <w:rFonts w:ascii="Times New Roman" w:hAnsi="Times New Roman" w:cs="Times New Roman"/>
          <w:sz w:val="24"/>
        </w:rPr>
        <w:t>, 167-192. https://doi.org/10.17163/uni.n42.2025.07</w:t>
      </w:r>
    </w:p>
    <w:p>
      <w:pPr>
        <w:spacing w:line="360" w:lineRule="auto" w:after="0"/>
        <w:ind w:left="720" w:hanging="720"/>
        <w:jc w:val="left"/>
      </w:pPr>
      <w:r>
        <w:rPr>
          <w:rFonts w:ascii="Times New Roman" w:hAnsi="Times New Roman" w:cs="Times New Roman"/>
          <w:sz w:val="24"/>
        </w:rPr>
        <w:t xml:space="preserve">Hevner, A. R., March, S. T., Park, J., &amp; Ram, S. (2004). Design science in information systems research. </w:t>
      </w:r>
      <w:r>
        <w:rPr>
          <w:rFonts w:ascii="Times New Roman" w:hAnsi="Times New Roman" w:cs="Times New Roman"/>
          <w:i/>
          <w:sz w:val="24"/>
        </w:rPr>
        <w:t>MIS Quarterly</w:t>
      </w:r>
      <w:r>
        <w:rPr>
          <w:rFonts w:ascii="Times New Roman" w:hAnsi="Times New Roman" w:cs="Times New Roman"/>
          <w:sz w:val="24"/>
        </w:rPr>
        <w:t xml:space="preserve">, </w:t>
      </w:r>
      <w:r>
        <w:rPr>
          <w:rFonts w:ascii="Times New Roman" w:hAnsi="Times New Roman" w:cs="Times New Roman"/>
          <w:i/>
          <w:sz w:val="24"/>
        </w:rPr>
        <w:t>28</w:t>
      </w:r>
      <w:r>
        <w:rPr>
          <w:rFonts w:ascii="Times New Roman" w:hAnsi="Times New Roman" w:cs="Times New Roman"/>
          <w:sz w:val="24"/>
        </w:rPr>
        <w:t>(1), 75-105. https://doi.org/10.2307/25148625</w:t>
      </w:r>
    </w:p>
    <w:p>
      <w:pPr>
        <w:spacing w:line="360" w:lineRule="auto" w:after="0"/>
        <w:ind w:left="720" w:hanging="720"/>
        <w:jc w:val="left"/>
      </w:pPr>
      <w:r>
        <w:rPr>
          <w:rFonts w:ascii="Times New Roman" w:hAnsi="Times New Roman" w:cs="Times New Roman"/>
          <w:sz w:val="24"/>
        </w:rPr>
        <w:t xml:space="preserve">Jiang, A. Q., Sablayrolles, A., Mensch, A., Bamford, C., Chaplot, D. S., de las Casas, D., Bressand, F., Lengyel, G., Lample, G., Saulnier, L., Lavaud, L. R., Lachaux, M.-A., Stock, P., Le Scao, T., Lavril, T., Wang, T., Lacroix, T., &amp; El Sayed, W. (2023). </w:t>
      </w:r>
      <w:r>
        <w:rPr>
          <w:rFonts w:ascii="Times New Roman" w:hAnsi="Times New Roman" w:cs="Times New Roman"/>
          <w:i/>
          <w:sz w:val="24"/>
        </w:rPr>
        <w:t>Mistral 7B</w:t>
      </w:r>
      <w:r>
        <w:rPr>
          <w:rFonts w:ascii="Times New Roman" w:hAnsi="Times New Roman" w:cs="Times New Roman"/>
          <w:sz w:val="24"/>
        </w:rPr>
        <w:t>. arXiv. https://arxiv.org/abs/2310.06825</w:t>
      </w:r>
    </w:p>
    <w:p>
      <w:pPr>
        <w:spacing w:line="360" w:lineRule="auto" w:after="0"/>
        <w:ind w:left="720" w:hanging="720"/>
        <w:jc w:val="left"/>
      </w:pPr>
      <w:r>
        <w:rPr>
          <w:rFonts w:ascii="Times New Roman" w:hAnsi="Times New Roman" w:cs="Times New Roman"/>
          <w:sz w:val="24"/>
        </w:rPr>
        <w:t xml:space="preserve">Johnson, J., Douze, M., &amp; Jégou, H. (2019). Billion-scale similarity search with GPUs. </w:t>
      </w:r>
      <w:r>
        <w:rPr>
          <w:rFonts w:ascii="Times New Roman" w:hAnsi="Times New Roman" w:cs="Times New Roman"/>
          <w:i/>
          <w:sz w:val="24"/>
        </w:rPr>
        <w:t>IEEE Transactions on Big Data</w:t>
      </w:r>
      <w:r>
        <w:rPr>
          <w:rFonts w:ascii="Times New Roman" w:hAnsi="Times New Roman" w:cs="Times New Roman"/>
          <w:sz w:val="24"/>
        </w:rPr>
        <w:t xml:space="preserve">, </w:t>
      </w:r>
      <w:r>
        <w:rPr>
          <w:rFonts w:ascii="Times New Roman" w:hAnsi="Times New Roman" w:cs="Times New Roman"/>
          <w:i/>
          <w:sz w:val="24"/>
        </w:rPr>
        <w:t>7</w:t>
      </w:r>
      <w:r>
        <w:rPr>
          <w:rFonts w:ascii="Times New Roman" w:hAnsi="Times New Roman" w:cs="Times New Roman"/>
          <w:sz w:val="24"/>
        </w:rPr>
        <w:t>(3), 535-547. https://doi.org/10.1109/TBDATA.2019.2921572</w:t>
      </w:r>
    </w:p>
    <w:p>
      <w:pPr>
        <w:spacing w:line="360" w:lineRule="auto" w:after="0"/>
        <w:ind w:left="720" w:hanging="720"/>
        <w:jc w:val="left"/>
      </w:pPr>
      <w:r>
        <w:rPr>
          <w:rFonts w:ascii="Times New Roman" w:hAnsi="Times New Roman" w:cs="Times New Roman"/>
          <w:sz w:val="24"/>
        </w:rPr>
        <w:t xml:space="preserve">Lambda, Inc. (s. f.). </w:t>
      </w:r>
      <w:r>
        <w:rPr>
          <w:rFonts w:ascii="Times New Roman" w:hAnsi="Times New Roman" w:cs="Times New Roman"/>
          <w:i/>
          <w:sz w:val="24"/>
        </w:rPr>
        <w:t>GPU cloud instances</w:t>
      </w:r>
      <w:r>
        <w:rPr>
          <w:rFonts w:ascii="Times New Roman" w:hAnsi="Times New Roman" w:cs="Times New Roman"/>
          <w:sz w:val="24"/>
        </w:rPr>
        <w:t>. Recuperado el 4 de octubre de 2026, de https://lambda.ai/instances</w:t>
      </w:r>
    </w:p>
    <w:p>
      <w:pPr>
        <w:spacing w:line="360" w:lineRule="auto" w:after="0"/>
        <w:ind w:left="720" w:hanging="720"/>
        <w:jc w:val="left"/>
      </w:pPr>
      <w:r>
        <w:rPr>
          <w:rFonts w:ascii="Times New Roman" w:hAnsi="Times New Roman" w:cs="Times New Roman"/>
          <w:sz w:val="24"/>
        </w:rPr>
        <w:t xml:space="preserve">Lewis, P., Perez, E., Piktus, A., Petroni, F., Karpukhin, V., Goyal, N., Küttler, H., Lewis, M., Yih, W., Rocktäschel, T., Riedel, S., &amp; Kiela, D. (2020). Retrieval-augmented generation for knowledge-intensive NLP tasks. En </w:t>
      </w:r>
      <w:r>
        <w:rPr>
          <w:rFonts w:ascii="Times New Roman" w:hAnsi="Times New Roman" w:cs="Times New Roman"/>
          <w:i/>
          <w:sz w:val="24"/>
        </w:rPr>
        <w:t>Advances in Neural Information Processing Systems</w:t>
      </w:r>
      <w:r>
        <w:rPr>
          <w:rFonts w:ascii="Times New Roman" w:hAnsi="Times New Roman" w:cs="Times New Roman"/>
          <w:sz w:val="24"/>
        </w:rPr>
        <w:t xml:space="preserve"> (Vol. 33, pp. 9459-9474). Curran Associates.</w:t>
      </w:r>
    </w:p>
    <w:p>
      <w:pPr>
        <w:spacing w:line="360" w:lineRule="auto" w:after="0"/>
        <w:ind w:left="720" w:hanging="720"/>
        <w:jc w:val="left"/>
      </w:pPr>
      <w:r>
        <w:rPr>
          <w:rFonts w:ascii="Times New Roman" w:hAnsi="Times New Roman" w:cs="Times New Roman"/>
          <w:sz w:val="24"/>
        </w:rPr>
        <w:t xml:space="preserve">Li, F., Wang, Y., Xu, Y., Wang, S., Liang, J., &amp; Chen, Z. (2024). Performance evaluations of large language models for customer service. </w:t>
      </w:r>
      <w:r>
        <w:rPr>
          <w:rFonts w:ascii="Times New Roman" w:hAnsi="Times New Roman" w:cs="Times New Roman"/>
          <w:i/>
          <w:sz w:val="24"/>
        </w:rPr>
        <w:t>International Journal of Machine Learning and Cybernetics</w:t>
      </w:r>
      <w:r>
        <w:rPr>
          <w:rFonts w:ascii="Times New Roman" w:hAnsi="Times New Roman" w:cs="Times New Roman"/>
          <w:sz w:val="24"/>
        </w:rPr>
        <w:t>. https://doi.org/10.1007/s13042-024-02432-9</w:t>
      </w:r>
    </w:p>
    <w:p>
      <w:pPr>
        <w:spacing w:line="360" w:lineRule="auto" w:after="0"/>
        <w:ind w:left="720" w:hanging="720"/>
        <w:jc w:val="left"/>
      </w:pPr>
      <w:r>
        <w:rPr>
          <w:rFonts w:ascii="Times New Roman" w:hAnsi="Times New Roman" w:cs="Times New Roman"/>
          <w:sz w:val="24"/>
        </w:rPr>
        <w:t xml:space="preserve">Lin, C.-Y. (2004). ROUGE: A package for automatic evaluation of summaries. En </w:t>
      </w:r>
      <w:r>
        <w:rPr>
          <w:rFonts w:ascii="Times New Roman" w:hAnsi="Times New Roman" w:cs="Times New Roman"/>
          <w:i/>
          <w:sz w:val="24"/>
        </w:rPr>
        <w:t>Text Summarization Branches Out</w:t>
      </w:r>
      <w:r>
        <w:rPr>
          <w:rFonts w:ascii="Times New Roman" w:hAnsi="Times New Roman" w:cs="Times New Roman"/>
          <w:sz w:val="24"/>
        </w:rPr>
        <w:t xml:space="preserve"> (pp. 74-81). Association for Computational Linguistics.</w:t>
      </w:r>
    </w:p>
    <w:p>
      <w:pPr>
        <w:spacing w:line="360" w:lineRule="auto" w:after="0"/>
        <w:ind w:left="720" w:hanging="720"/>
        <w:jc w:val="left"/>
      </w:pPr>
      <w:r>
        <w:rPr>
          <w:rFonts w:ascii="Times New Roman" w:hAnsi="Times New Roman" w:cs="Times New Roman"/>
          <w:sz w:val="24"/>
        </w:rPr>
        <w:t xml:space="preserve">Niu, C., Wu, Y., Zhu, J., Xu, S., Shum, K., Zhong, R., Song, J., &amp; Zhang, T. (2024). RAGTruth: A hallucination corpus for developing trustworthy retrieval-augmented language models. En </w:t>
      </w:r>
      <w:r>
        <w:rPr>
          <w:rFonts w:ascii="Times New Roman" w:hAnsi="Times New Roman" w:cs="Times New Roman"/>
          <w:i/>
          <w:sz w:val="24"/>
        </w:rPr>
        <w:t>Proceedings of the 62nd Annual Meeting of the Association for Computational Linguistics (Volume 1: Long Papers)</w:t>
      </w:r>
      <w:r>
        <w:rPr>
          <w:rFonts w:ascii="Times New Roman" w:hAnsi="Times New Roman" w:cs="Times New Roman"/>
          <w:sz w:val="24"/>
        </w:rPr>
        <w:t xml:space="preserve"> (pp. 10862-10878). Association for Computational Linguistics. https://doi.org/10.18653/v1/2024.acl-long.585</w:t>
      </w:r>
    </w:p>
    <w:p>
      <w:pPr>
        <w:spacing w:line="360" w:lineRule="auto" w:after="0"/>
        <w:ind w:left="720" w:hanging="720"/>
        <w:jc w:val="left"/>
      </w:pPr>
      <w:r>
        <w:rPr>
          <w:rFonts w:ascii="Times New Roman" w:hAnsi="Times New Roman" w:cs="Times New Roman"/>
          <w:sz w:val="24"/>
        </w:rPr>
        <w:t xml:space="preserve">NVIDIA Corporation. (s. f.). </w:t>
      </w:r>
      <w:r>
        <w:rPr>
          <w:rFonts w:ascii="Times New Roman" w:hAnsi="Times New Roman" w:cs="Times New Roman"/>
          <w:i/>
          <w:sz w:val="24"/>
        </w:rPr>
        <w:t>GeForce RTX 3080 family of graphics cards</w:t>
      </w:r>
      <w:r>
        <w:rPr>
          <w:rFonts w:ascii="Times New Roman" w:hAnsi="Times New Roman" w:cs="Times New Roman"/>
          <w:sz w:val="24"/>
        </w:rPr>
        <w:t>. Recuperado el 4 de octubre de 2026, de https://www.nvidia.com/en-us/geforce/graphics-cards/30-series/rtx-3080-3080ti/</w:t>
      </w:r>
    </w:p>
    <w:p>
      <w:pPr>
        <w:spacing w:line="360" w:lineRule="auto" w:after="0"/>
        <w:ind w:left="720" w:hanging="720"/>
        <w:jc w:val="left"/>
      </w:pPr>
      <w:r>
        <w:rPr>
          <w:rFonts w:ascii="Times New Roman" w:hAnsi="Times New Roman" w:cs="Times New Roman"/>
          <w:sz w:val="24"/>
        </w:rPr>
        <w:t xml:space="preserve">OpenAI. (s. f.). </w:t>
      </w:r>
      <w:r>
        <w:rPr>
          <w:rFonts w:ascii="Times New Roman" w:hAnsi="Times New Roman" w:cs="Times New Roman"/>
          <w:i/>
          <w:sz w:val="24"/>
        </w:rPr>
        <w:t>GPT-4o mini model</w:t>
      </w:r>
      <w:r>
        <w:rPr>
          <w:rFonts w:ascii="Times New Roman" w:hAnsi="Times New Roman" w:cs="Times New Roman"/>
          <w:sz w:val="24"/>
        </w:rPr>
        <w:t>. Recuperado el 4 de octubre de 2026, de https://developers.openai.com/api/docs/models/gpt-4o-mini</w:t>
      </w:r>
    </w:p>
    <w:p>
      <w:pPr>
        <w:spacing w:line="360" w:lineRule="auto" w:after="0"/>
        <w:ind w:left="720" w:hanging="720"/>
        <w:jc w:val="left"/>
      </w:pPr>
      <w:r>
        <w:rPr>
          <w:rFonts w:ascii="Times New Roman" w:hAnsi="Times New Roman" w:cs="Times New Roman"/>
          <w:sz w:val="24"/>
        </w:rPr>
        <w:t xml:space="preserve">Packowski, S., Halilovic, I., Schlotfeldt, J., &amp; Smith, T. (2024). Optimizing and evaluating enterprise retrieval-augmented generation (RAG): A content design perspective. En </w:t>
      </w:r>
      <w:r>
        <w:rPr>
          <w:rFonts w:ascii="Times New Roman" w:hAnsi="Times New Roman" w:cs="Times New Roman"/>
          <w:i/>
          <w:sz w:val="24"/>
        </w:rPr>
        <w:t>Proceedings of the 8th International Conference on Advances in Artificial Intelligence</w:t>
      </w:r>
      <w:r>
        <w:rPr>
          <w:rFonts w:ascii="Times New Roman" w:hAnsi="Times New Roman" w:cs="Times New Roman"/>
          <w:sz w:val="24"/>
        </w:rPr>
        <w:t xml:space="preserve"> (pp. 162-167). Association for Computing Machinery. https://doi.org/10.1145/3704137.3704181</w:t>
      </w:r>
    </w:p>
    <w:p>
      <w:pPr>
        <w:spacing w:line="360" w:lineRule="auto" w:after="0"/>
        <w:ind w:left="720" w:hanging="720"/>
        <w:jc w:val="left"/>
      </w:pPr>
      <w:r>
        <w:rPr>
          <w:rFonts w:ascii="Times New Roman" w:hAnsi="Times New Roman" w:cs="Times New Roman"/>
          <w:sz w:val="24"/>
        </w:rPr>
        <w:t xml:space="preserve">Papineni, K., Roukos, S., Ward, T., &amp; Zhu, W.-J. (2002). BLEU: A method for automatic evaluation of machine translation. En </w:t>
      </w:r>
      <w:r>
        <w:rPr>
          <w:rFonts w:ascii="Times New Roman" w:hAnsi="Times New Roman" w:cs="Times New Roman"/>
          <w:i/>
          <w:sz w:val="24"/>
        </w:rPr>
        <w:t>Proceedings of the 40th Annual Meeting of the Association for Computational Linguistics</w:t>
      </w:r>
      <w:r>
        <w:rPr>
          <w:rFonts w:ascii="Times New Roman" w:hAnsi="Times New Roman" w:cs="Times New Roman"/>
          <w:sz w:val="24"/>
        </w:rPr>
        <w:t xml:space="preserve"> (pp. 311-318). Association for Computational Linguistics.</w:t>
      </w:r>
    </w:p>
    <w:p>
      <w:pPr>
        <w:spacing w:line="360" w:lineRule="auto" w:after="0"/>
        <w:ind w:left="720" w:hanging="720"/>
        <w:jc w:val="left"/>
      </w:pPr>
      <w:r>
        <w:rPr>
          <w:rFonts w:ascii="Times New Roman" w:hAnsi="Times New Roman" w:cs="Times New Roman"/>
          <w:sz w:val="24"/>
        </w:rPr>
        <w:t xml:space="preserve">Saad-Falcon, J., Khattab, O., Potts, C., &amp; Zaharia, M. (2024). ARES: An automated evaluation framework for retrieval-augmented generation systems. En </w:t>
      </w:r>
      <w:r>
        <w:rPr>
          <w:rFonts w:ascii="Times New Roman" w:hAnsi="Times New Roman" w:cs="Times New Roman"/>
          <w:i/>
          <w:sz w:val="24"/>
        </w:rPr>
        <w:t>Proceedings of the 2024 Conference of the North American Chapter of the Association for Computational Linguistics: Human Language Technologies (Volume 1: Long Papers)</w:t>
      </w:r>
      <w:r>
        <w:rPr>
          <w:rFonts w:ascii="Times New Roman" w:hAnsi="Times New Roman" w:cs="Times New Roman"/>
          <w:sz w:val="24"/>
        </w:rPr>
        <w:t xml:space="preserve"> (pp. 338-354). Association for Computational Linguistics. https://doi.org/10.18653/v1/2024.naacl-long.20</w:t>
      </w:r>
    </w:p>
    <w:p>
      <w:pPr>
        <w:spacing w:line="360" w:lineRule="auto" w:after="0"/>
        <w:ind w:left="720" w:hanging="720"/>
        <w:jc w:val="left"/>
      </w:pPr>
      <w:r>
        <w:rPr>
          <w:rFonts w:ascii="Times New Roman" w:hAnsi="Times New Roman" w:cs="Times New Roman"/>
          <w:sz w:val="24"/>
        </w:rPr>
        <w:t xml:space="preserve">Touvron, H., Martin, L., Stone, K., Albert, P., Almahairi, A., Babaei, Y., Bashlykov, N., Batra, S., Bhargava, P., Bhosale, S., Bikel, D., Blecher, L., Canton Ferrer, C., Chen, M., Cucurull, G., Esiobu, D., Fernandes, J., Fu, J., Fu, W., … Scialom, T. (2023). </w:t>
      </w:r>
      <w:r>
        <w:rPr>
          <w:rFonts w:ascii="Times New Roman" w:hAnsi="Times New Roman" w:cs="Times New Roman"/>
          <w:i/>
          <w:sz w:val="24"/>
        </w:rPr>
        <w:t>Llama 2: Open foundation and fine-tuned chat models</w:t>
      </w:r>
      <w:r>
        <w:rPr>
          <w:rFonts w:ascii="Times New Roman" w:hAnsi="Times New Roman" w:cs="Times New Roman"/>
          <w:sz w:val="24"/>
        </w:rPr>
        <w:t>. arXiv. https://arxiv.org/abs/2307.09288</w:t>
      </w:r>
    </w:p>
    <w:p>
      <w:pPr>
        <w:spacing w:line="360" w:lineRule="auto" w:after="0"/>
        <w:ind w:left="720" w:hanging="720"/>
        <w:jc w:val="left"/>
      </w:pPr>
      <w:r>
        <w:rPr>
          <w:rFonts w:ascii="Times New Roman" w:hAnsi="Times New Roman" w:cs="Times New Roman"/>
          <w:sz w:val="24"/>
        </w:rPr>
        <w:t xml:space="preserve">U.S. Energy Information Administration. (2026). Table 5.6.A. Average price of electricity to ultimate customers by end-use sector, by state, July 2026 and 2025. </w:t>
      </w:r>
      <w:r>
        <w:rPr>
          <w:rFonts w:ascii="Times New Roman" w:hAnsi="Times New Roman" w:cs="Times New Roman"/>
          <w:i/>
          <w:sz w:val="24"/>
        </w:rPr>
        <w:t>Electric Power Monthly</w:t>
      </w:r>
      <w:r>
        <w:rPr>
          <w:rFonts w:ascii="Times New Roman" w:hAnsi="Times New Roman" w:cs="Times New Roman"/>
          <w:sz w:val="24"/>
        </w:rPr>
        <w:t>. https://www.eia.gov/electricity/monthly/epm_table_grapher.php?t=epmt_5_6_a</w:t>
      </w:r>
    </w:p>
    <w:p>
      <w:pPr>
        <w:spacing w:line="360" w:lineRule="auto" w:after="0"/>
        <w:ind w:left="720" w:hanging="720"/>
        <w:jc w:val="left"/>
      </w:pPr>
      <w:r>
        <w:rPr>
          <w:rFonts w:ascii="Times New Roman" w:hAnsi="Times New Roman" w:cs="Times New Roman"/>
          <w:sz w:val="24"/>
        </w:rPr>
        <w:t xml:space="preserve">Vaswani, A., Shazeer, N., Parmar, N., Uszkoreit, J., Jones, L., Gomez, A. N., Kaiser, Ł., &amp; Polosukhin, I. (2017). Attention is all you need. En </w:t>
      </w:r>
      <w:r>
        <w:rPr>
          <w:rFonts w:ascii="Times New Roman" w:hAnsi="Times New Roman" w:cs="Times New Roman"/>
          <w:i/>
          <w:sz w:val="24"/>
        </w:rPr>
        <w:t>Advances in Neural Information Processing Systems</w:t>
      </w:r>
      <w:r>
        <w:rPr>
          <w:rFonts w:ascii="Times New Roman" w:hAnsi="Times New Roman" w:cs="Times New Roman"/>
          <w:sz w:val="24"/>
        </w:rPr>
        <w:t xml:space="preserve"> (Vol. 30, pp. 5998-6008). Curran Associates.</w:t>
      </w:r>
    </w:p>
    <w:p>
      <w:pPr>
        <w:spacing w:line="360" w:lineRule="auto" w:after="0"/>
        <w:ind w:left="720" w:hanging="720"/>
        <w:jc w:val="left"/>
      </w:pPr>
      <w:r>
        <w:rPr>
          <w:rFonts w:ascii="Times New Roman" w:hAnsi="Times New Roman" w:cs="Times New Roman"/>
          <w:sz w:val="24"/>
        </w:rPr>
        <w:t xml:space="preserve">Vega, A. A., Zambrano, F. D., Cartuche, J. J., &amp; Hernández, D. L. (2025). Desarrollo de un chatbot inteligente con LLM para diagnóstico médico de la enfermedad pulmonar obstructiva crónica. </w:t>
      </w:r>
      <w:r>
        <w:rPr>
          <w:rFonts w:ascii="Times New Roman" w:hAnsi="Times New Roman" w:cs="Times New Roman"/>
          <w:i/>
          <w:sz w:val="24"/>
        </w:rPr>
        <w:t>Revista Espacios</w:t>
      </w:r>
      <w:r>
        <w:rPr>
          <w:rFonts w:ascii="Times New Roman" w:hAnsi="Times New Roman" w:cs="Times New Roman"/>
          <w:sz w:val="24"/>
        </w:rPr>
        <w:t xml:space="preserve">, </w:t>
      </w:r>
      <w:r>
        <w:rPr>
          <w:rFonts w:ascii="Times New Roman" w:hAnsi="Times New Roman" w:cs="Times New Roman"/>
          <w:i/>
          <w:sz w:val="24"/>
        </w:rPr>
        <w:t>46</w:t>
      </w:r>
      <w:r>
        <w:rPr>
          <w:rFonts w:ascii="Times New Roman" w:hAnsi="Times New Roman" w:cs="Times New Roman"/>
          <w:sz w:val="24"/>
        </w:rPr>
        <w:t>(6), 196-207. https://doi.org/10.48082/espacios-a25v46n06p17</w:t>
      </w:r>
    </w:p>
    <w:p>
      <w:pPr>
        <w:spacing w:line="360" w:lineRule="auto" w:after="0"/>
        <w:ind w:left="720" w:hanging="720"/>
        <w:jc w:val="left"/>
      </w:pPr>
      <w:r>
        <w:rPr>
          <w:rFonts w:ascii="Times New Roman" w:hAnsi="Times New Roman" w:cs="Times New Roman"/>
          <w:sz w:val="24"/>
        </w:rPr>
        <w:t xml:space="preserve">Wang, H., Peng, X., Huang, X., Huang, Y., Gong, M., Yang, C., Liu, Y., &amp; Jiang, L. (2025). ECom-Bench: Can LLM agent resolve real-world e-commerce customer support issues? En </w:t>
      </w:r>
      <w:r>
        <w:rPr>
          <w:rFonts w:ascii="Times New Roman" w:hAnsi="Times New Roman" w:cs="Times New Roman"/>
          <w:i/>
          <w:sz w:val="24"/>
        </w:rPr>
        <w:t>Proceedings of the 2025 Conference on Empirical Methods in Natural Language Processing: Industry Track</w:t>
      </w:r>
      <w:r>
        <w:rPr>
          <w:rFonts w:ascii="Times New Roman" w:hAnsi="Times New Roman" w:cs="Times New Roman"/>
          <w:sz w:val="24"/>
        </w:rPr>
        <w:t xml:space="preserve"> (pp. 276-284). Association for Computational Linguistics. https://doi.org/10.18653/v1/2025.emnlp-industry.19</w:t>
      </w:r>
    </w:p>
    <w:p>
      <w:pPr>
        <w:spacing w:line="360" w:lineRule="auto" w:after="0"/>
        <w:ind w:left="720" w:hanging="720"/>
        <w:jc w:val="left"/>
      </w:pPr>
      <w:r>
        <w:rPr>
          <w:rFonts w:ascii="Times New Roman" w:hAnsi="Times New Roman" w:cs="Times New Roman"/>
          <w:sz w:val="24"/>
        </w:rPr>
        <w:t xml:space="preserve">Wulf, J., &amp; Meierhofer, J. (2024). </w:t>
      </w:r>
      <w:r>
        <w:rPr>
          <w:rFonts w:ascii="Times New Roman" w:hAnsi="Times New Roman" w:cs="Times New Roman"/>
          <w:i/>
          <w:sz w:val="24"/>
        </w:rPr>
        <w:t>Utilizing large language models for automating technical customer support</w:t>
      </w:r>
      <w:r>
        <w:rPr>
          <w:rFonts w:ascii="Times New Roman" w:hAnsi="Times New Roman" w:cs="Times New Roman"/>
          <w:sz w:val="24"/>
        </w:rPr>
        <w:t xml:space="preserve"> [Preprint]. arXiv. https://doi.org/10.48550/arXiv.2406.01407</w:t>
      </w:r>
    </w:p>
    <w:p>
      <w:pPr>
        <w:spacing w:line="360" w:lineRule="auto" w:after="0"/>
        <w:ind w:left="720" w:hanging="720"/>
        <w:jc w:val="left"/>
      </w:pPr>
      <w:r>
        <w:rPr>
          <w:rFonts w:ascii="Times New Roman" w:hAnsi="Times New Roman" w:cs="Times New Roman"/>
          <w:sz w:val="24"/>
        </w:rPr>
        <w:t xml:space="preserve">Xu, Z., Cruz, M. J., Guevara, M., Wang, T., Deshpande, M., Wang, X., &amp; Li, Z. (2024). Retrieval-augmented generation with knowledge graphs for customer service question answering. En </w:t>
      </w:r>
      <w:r>
        <w:rPr>
          <w:rFonts w:ascii="Times New Roman" w:hAnsi="Times New Roman" w:cs="Times New Roman"/>
          <w:i/>
          <w:sz w:val="24"/>
        </w:rPr>
        <w:t>Proceedings of the 47th International ACM SIGIR Conference on Research and Development in Information Retrieval</w:t>
      </w:r>
      <w:r>
        <w:rPr>
          <w:rFonts w:ascii="Times New Roman" w:hAnsi="Times New Roman" w:cs="Times New Roman"/>
          <w:sz w:val="24"/>
        </w:rPr>
        <w:t xml:space="preserve"> (pp. 2905-2909). Association for Computing Machinery. https://doi.org/10.1145/3626772.3661370</w:t>
      </w:r>
    </w:p>
    <w:p>
      <w:pPr>
        <w:spacing w:line="360" w:lineRule="auto" w:after="0"/>
        <w:ind w:left="720" w:hanging="720"/>
        <w:jc w:val="left"/>
      </w:pPr>
      <w:r>
        <w:rPr>
          <w:rFonts w:ascii="Times New Roman" w:hAnsi="Times New Roman" w:cs="Times New Roman"/>
          <w:sz w:val="24"/>
        </w:rPr>
        <w:t xml:space="preserve">Zaharia, M., Xin, R. S., Wendell, P., Das, T., Armbrust, M., Dave, A., Meng, X., Rosen, J., Venkataraman, S., Franklin, M. J., Ghodsi, A., Gonzalez, J., Shenker, S., &amp; Stoica, I. (2016). Apache Spark: A unified engine for big data processing. </w:t>
      </w:r>
      <w:r>
        <w:rPr>
          <w:rFonts w:ascii="Times New Roman" w:hAnsi="Times New Roman" w:cs="Times New Roman"/>
          <w:i/>
          <w:sz w:val="24"/>
        </w:rPr>
        <w:t>Communications of the ACM</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(11), 56-65. https://doi.org/10.1145/2934664</w:t>
      </w:r>
    </w:p>
    <w:p>
      <w:pPr>
        <w:spacing w:line="360" w:lineRule="auto" w:after="0"/>
        <w:ind w:left="720" w:hanging="720"/>
        <w:jc w:val="left"/>
      </w:pPr>
      <w:r>
        <w:rPr>
          <w:rFonts w:ascii="Times New Roman" w:hAnsi="Times New Roman" w:cs="Times New Roman"/>
          <w:sz w:val="24"/>
        </w:rPr>
        <w:t xml:space="preserve">Zhang, T., Kishore, V., Wu, F., Weinberger, K. Q., &amp; Artzi, Y. (2020). BERTScore: Evaluating text generation with BERT. En </w:t>
      </w:r>
      <w:r>
        <w:rPr>
          <w:rFonts w:ascii="Times New Roman" w:hAnsi="Times New Roman" w:cs="Times New Roman"/>
          <w:i/>
          <w:sz w:val="24"/>
        </w:rPr>
        <w:t>8th International Conference on Learning Representations (ICLR 2020)</w:t>
      </w:r>
      <w:r>
        <w:rPr>
          <w:rFonts w:ascii="Times New Roman" w:hAnsi="Times New Roman" w:cs="Times New Roman"/>
          <w:sz w:val="24"/>
        </w:rPr>
        <w:t>. OpenReview.</w:t>
      </w:r>
    </w:p>
    <w:p>
      <w:pPr>
        <w:spacing w:line="360" w:lineRule="auto" w:after="0"/>
        <w:ind w:left="720" w:hanging="720"/>
        <w:jc w:val="left"/>
      </w:pPr>
      <w:r>
        <w:rPr>
          <w:rFonts w:ascii="Times New Roman" w:hAnsi="Times New Roman" w:cs="Times New Roman"/>
          <w:sz w:val="24"/>
        </w:rPr>
        <w:t xml:space="preserve">Zheng, L., Chiang, W.-L., Sheng, Y., Zhuang, S., Wu, Z., Zhuang, Y., Lin, Z., Li, Z., Li, D., Xing, E. P., Zhang, H., Gonzalez, J. E., &amp; Stoica, I. (2023). Judging LLM-as-a-judge with MT-Bench and Chatbot Arena. En </w:t>
      </w:r>
      <w:r>
        <w:rPr>
          <w:rFonts w:ascii="Times New Roman" w:hAnsi="Times New Roman" w:cs="Times New Roman"/>
          <w:i/>
          <w:sz w:val="24"/>
        </w:rPr>
        <w:t>Advances in Neural Information Processing Systems</w:t>
      </w:r>
      <w:r>
        <w:rPr>
          <w:rFonts w:ascii="Times New Roman" w:hAnsi="Times New Roman" w:cs="Times New Roman"/>
          <w:sz w:val="24"/>
        </w:rPr>
        <w:t xml:space="preserve"> (Vol. 36). Curran Associates.</w:t>
      </w:r>
    </w:p>
    <w:p w14:paraId="4DCDFA6A" w14:textId="77777777" w:rsidR="00910F71" w:rsidRDefault="00543A90">
      <w:pPr>
        <w:pStyle w:val="Ttulo1"/>
        <w:pageBreakBefore/>
        <w:spacing w:before="400" w:after="200"/>
        <w:jc w:val="center"/>
      </w:pPr>
      <w:bookmarkStart w:id="81" w:name="_1q0j1q3m5z1k" w:colFirst="0" w:colLast="0"/>
      <w:bookmarkStart w:id="82" w:name="_Toc243326981"/>
      <w:bookmarkEnd w:id="81"/>
      <w:r>
        <w:t>Anexos y Acrónimos</w:t>
      </w:r>
      <w:bookmarkEnd w:id="82"/>
    </w:p>
    <w:p w14:paraId="720CA63F" w14:textId="77777777" w:rsidR="00910F71" w:rsidRDefault="00910F71"/>
    <w:p w14:paraId="6A52B4BF" w14:textId="77777777" w:rsidR="00910F71" w:rsidRDefault="00543A90">
      <w:pPr>
        <w:spacing w:after="160"/>
        <w:jc w:val="both"/>
      </w:pPr>
      <w:r>
        <w:t>Archivos de resultados y auditoría disponibles en la carpeta proyecto del repositorio.</w:t>
      </w:r>
    </w:p>
    <w:p w14:paraId="01ECF8F4" w14:textId="77777777" w:rsidR="00910F71" w:rsidRDefault="00910F71"/>
    <w:p w14:paraId="7B175BE3" w14:textId="77777777" w:rsidR="00910F71" w:rsidRDefault="00543A90">
      <w:pPr>
        <w:spacing w:after="160"/>
        <w:jc w:val="both"/>
      </w:pPr>
      <w:r>
        <w:t>Siglas utilizadas en el documento: LLM: Large Language Model | RAG: Retrieval-Augmented Generation | NLP: Natural Language Processing | DSR: Design Science Research | FAISS: Facebook AI Similarity Search | API: Application Programming Interface</w:t>
      </w:r>
    </w:p>
    <w:sectPr w:rsidR="00910F71">
      <w:head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18070" w14:textId="77777777" w:rsidR="00B32023" w:rsidRDefault="00B32023">
      <w:pPr>
        <w:spacing w:line="240" w:lineRule="auto"/>
      </w:pPr>
      <w:r>
        <w:separator/>
      </w:r>
    </w:p>
  </w:endnote>
  <w:endnote w:type="continuationSeparator" w:id="0">
    <w:p w14:paraId="6B7613B8" w14:textId="77777777" w:rsidR="00B32023" w:rsidRDefault="00B320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D448A7EC-734C-4199-B135-346707B37462}"/>
  </w:font>
  <w:font w:name="Cambria">
    <w:panose1 w:val="02040503050406030204"/>
    <w:charset w:val="00"/>
    <w:family w:val="roman"/>
    <w:pitch w:val="variable"/>
    <w:sig w:usb0="E00006FF" w:usb1="420024FF" w:usb2="02000000" w:usb3="00000000" w:csb0="0000019F" w:csb1="00000000"/>
    <w:embedRegular r:id="rId2" w:fontKey="{F0CDC842-B24A-4AEA-B813-D757428A051D}"/>
  </w:font>
  <w:font w:name="Calibri">
    <w:panose1 w:val="020F0502020204030204"/>
    <w:charset w:val="00"/>
    <w:family w:val="swiss"/>
    <w:pitch w:val="variable"/>
    <w:sig w:usb0="E4002EFF" w:usb1="C200247B" w:usb2="00000009" w:usb3="00000000" w:csb0="000001FF" w:csb1="00000000"/>
    <w:embedRegular r:id="rId3" w:fontKey="{9AD55B67-2AF2-4B1A-8934-D828E4F7CCA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7C3D5" w14:textId="77777777" w:rsidR="00B32023" w:rsidRDefault="00B32023">
      <w:pPr>
        <w:spacing w:line="240" w:lineRule="auto"/>
      </w:pPr>
      <w:r>
        <w:separator/>
      </w:r>
    </w:p>
  </w:footnote>
  <w:footnote w:type="continuationSeparator" w:id="0">
    <w:p w14:paraId="551A38EC" w14:textId="77777777" w:rsidR="00B32023" w:rsidRDefault="00B320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7DC51" w14:textId="77777777" w:rsidR="00207C8A" w:rsidRDefault="00207C8A" w:rsidP="00207C8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6F2B" w14:textId="77777777" w:rsidR="00910F71" w:rsidRDefault="00207C8A" w:rsidP="00207C8A">
    <w:pPr>
      <w:jc w:val="right"/>
    </w:pPr>
    <w:r>
      <w:fldChar w:fldCharType="begin"/>
    </w:r>
    <w:r>
      <w:instrText xml:space="preserve"> PAGE \* MERGEFORMAT </w:instrText>
    </w:r>
    <w:r>
      <w:fldChar w:fldCharType="separate"/>
    </w:r>
    <w:r>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F71"/>
    <w:rsid w:val="00041219"/>
    <w:rsid w:val="000B4F65"/>
    <w:rsid w:val="000C292C"/>
    <w:rsid w:val="000F6799"/>
    <w:rsid w:val="001541E4"/>
    <w:rsid w:val="00175B3D"/>
    <w:rsid w:val="00207C8A"/>
    <w:rsid w:val="0028028D"/>
    <w:rsid w:val="0029715E"/>
    <w:rsid w:val="002E7FAB"/>
    <w:rsid w:val="002F0FAD"/>
    <w:rsid w:val="00383AC5"/>
    <w:rsid w:val="003A18A1"/>
    <w:rsid w:val="003D6B7E"/>
    <w:rsid w:val="003E0DD9"/>
    <w:rsid w:val="0048065F"/>
    <w:rsid w:val="00491324"/>
    <w:rsid w:val="004D2C65"/>
    <w:rsid w:val="00543A90"/>
    <w:rsid w:val="005541ED"/>
    <w:rsid w:val="00583EA3"/>
    <w:rsid w:val="005D004D"/>
    <w:rsid w:val="006346F6"/>
    <w:rsid w:val="006A7A66"/>
    <w:rsid w:val="00712208"/>
    <w:rsid w:val="00713435"/>
    <w:rsid w:val="007567D8"/>
    <w:rsid w:val="0087738C"/>
    <w:rsid w:val="008E402C"/>
    <w:rsid w:val="00910F71"/>
    <w:rsid w:val="0092649C"/>
    <w:rsid w:val="0096150F"/>
    <w:rsid w:val="009A1677"/>
    <w:rsid w:val="009B5E7A"/>
    <w:rsid w:val="009D2AFC"/>
    <w:rsid w:val="00A547CA"/>
    <w:rsid w:val="00AA566F"/>
    <w:rsid w:val="00AE3A5B"/>
    <w:rsid w:val="00AF2AA6"/>
    <w:rsid w:val="00B32023"/>
    <w:rsid w:val="00B52259"/>
    <w:rsid w:val="00B56D71"/>
    <w:rsid w:val="00B64B72"/>
    <w:rsid w:val="00BC6467"/>
    <w:rsid w:val="00BC73D7"/>
    <w:rsid w:val="00C76F7E"/>
    <w:rsid w:val="00CA147D"/>
    <w:rsid w:val="00CB65F2"/>
    <w:rsid w:val="00CD23FD"/>
    <w:rsid w:val="00CE17E5"/>
    <w:rsid w:val="00D03245"/>
    <w:rsid w:val="00D873F6"/>
    <w:rsid w:val="00E72F26"/>
    <w:rsid w:val="00E80830"/>
    <w:rsid w:val="00E83A25"/>
    <w:rsid w:val="00ED5503"/>
    <w:rsid w:val="00F13962"/>
    <w:rsid w:val="00F76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33A29"/>
  <w15:docId w15:val="{DE89F72A-B572-47AB-804D-ABFA2A80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color w:val="000000"/>
      <w:sz w:val="24"/>
    </w:rPr>
  </w:style>
  <w:style w:type="paragraph" w:styleId="Ttulo1">
    <w:name w:val="heading 1"/>
    <w:basedOn w:val="Normal"/>
    <w:next w:val="Normal"/>
    <w:uiPriority w:val="9"/>
    <w:qFormat/>
    <w:pPr>
      <w:pBdr>
        <w:top w:val="nil"/>
        <w:left w:val="nil"/>
        <w:bottom w:val="nil"/>
        <w:right w:val="nil"/>
        <w:between w:val="nil"/>
      </w:pBdr>
      <w:outlineLvl w:val="0"/>
    </w:pPr>
    <w:rPr>
      <w:rFonts w:ascii="Times New Roman" w:hAnsi="Times New Roman" w:cs="Times New Roman"/>
      <w:color w:val="000000"/>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rFonts w:ascii="Times New Roman" w:hAnsi="Times New Roman" w:cs="Times New Roman"/>
      <w:color w:val="000000"/>
      <w:sz w:val="26"/>
      <w:szCs w:val="26"/>
    </w:rPr>
  </w:style>
  <w:style w:type="paragraph" w:styleId="Ttulo3">
    <w:name w:val="heading 3"/>
    <w:basedOn w:val="Normal"/>
    <w:next w:val="Normal"/>
    <w:uiPriority w:val="9"/>
    <w:unhideWhenUsed/>
    <w:qFormat/>
    <w:pPr>
      <w:pBdr>
        <w:top w:val="nil"/>
        <w:left w:val="nil"/>
        <w:bottom w:val="nil"/>
        <w:right w:val="nil"/>
        <w:between w:val="nil"/>
      </w:pBdr>
      <w:outlineLvl w:val="2"/>
    </w:pPr>
    <w:rPr>
      <w:rFonts w:ascii="Times New Roman" w:hAnsi="Times New Roman" w:cs="Times New Roman"/>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rFonts w:ascii="Times New Roman" w:hAnsi="Times New Roman" w:cs="Times New Roman"/>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Descripcin">
    <w:name w:val="caption"/>
    <w:basedOn w:val="Normal"/>
    <w:next w:val="Normal"/>
    <w:uiPriority w:val="35"/>
    <w:unhideWhenUsed/>
    <w:qFormat/>
    <w:rsid w:val="00207C8A"/>
    <w:pPr>
      <w:spacing w:after="200" w:line="240" w:lineRule="auto"/>
    </w:pPr>
    <w:rPr>
      <w:rFonts w:ascii="Times New Roman" w:hAnsi="Times New Roman" w:cs="Times New Roman"/>
      <w:i/>
      <w:iCs/>
      <w:color w:val="000000"/>
      <w:sz w:val="24"/>
      <w:szCs w:val="18"/>
    </w:rPr>
  </w:style>
  <w:style w:type="paragraph" w:styleId="TDC1">
    <w:name w:val="toc 1"/>
    <w:basedOn w:val="Normal"/>
    <w:next w:val="Normal"/>
    <w:autoRedefine/>
    <w:uiPriority w:val="39"/>
    <w:unhideWhenUsed/>
    <w:rsid w:val="00207C8A"/>
    <w:pPr>
      <w:spacing w:after="100"/>
    </w:pPr>
    <w:rPr>
      <w:rFonts w:ascii="Times New Roman" w:hAnsi="Times New Roman" w:cs="Times New Roman"/>
      <w:color w:val="000000"/>
    </w:rPr>
  </w:style>
  <w:style w:type="paragraph" w:styleId="TDC2">
    <w:name w:val="toc 2"/>
    <w:basedOn w:val="Normal"/>
    <w:next w:val="Normal"/>
    <w:autoRedefine/>
    <w:uiPriority w:val="39"/>
    <w:unhideWhenUsed/>
    <w:rsid w:val="00207C8A"/>
    <w:pPr>
      <w:spacing w:after="100"/>
      <w:ind w:left="240"/>
    </w:pPr>
    <w:rPr>
      <w:rFonts w:ascii="Times New Roman" w:hAnsi="Times New Roman" w:cs="Times New Roman"/>
      <w:color w:val="000000"/>
    </w:rPr>
  </w:style>
  <w:style w:type="paragraph" w:styleId="TDC3">
    <w:name w:val="toc 3"/>
    <w:basedOn w:val="Normal"/>
    <w:next w:val="Normal"/>
    <w:autoRedefine/>
    <w:uiPriority w:val="39"/>
    <w:unhideWhenUsed/>
    <w:rsid w:val="00207C8A"/>
    <w:pPr>
      <w:spacing w:after="100"/>
      <w:ind w:left="480"/>
    </w:pPr>
    <w:rPr>
      <w:rFonts w:ascii="Times New Roman" w:hAnsi="Times New Roman" w:cs="Times New Roman"/>
      <w:color w:val="000000"/>
    </w:rPr>
  </w:style>
  <w:style w:type="character" w:styleId="Hipervnculo">
    <w:name w:val="Hyperlink"/>
    <w:basedOn w:val="Fuentedeprrafopredeter"/>
    <w:uiPriority w:val="99"/>
    <w:unhideWhenUsed/>
    <w:rsid w:val="00207C8A"/>
    <w:rPr>
      <w:color w:val="0000FF" w:themeColor="hyperlink"/>
      <w:u w:val="single"/>
    </w:rPr>
  </w:style>
  <w:style w:type="paragraph" w:styleId="Encabezado">
    <w:name w:val="header"/>
    <w:basedOn w:val="Normal"/>
    <w:link w:val="EncabezadoCar"/>
    <w:uiPriority w:val="99"/>
    <w:unhideWhenUsed/>
    <w:rsid w:val="00207C8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07C8A"/>
  </w:style>
  <w:style w:type="paragraph" w:styleId="Piedepgina">
    <w:name w:val="footer"/>
    <w:basedOn w:val="Normal"/>
    <w:link w:val="PiedepginaCar"/>
    <w:uiPriority w:val="99"/>
    <w:unhideWhenUsed/>
    <w:rsid w:val="00207C8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07C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46</Pages>
  <Words>10482</Words>
  <Characters>59750</Characters>
  <Application>Microsoft Office Word</Application>
  <DocSecurity>0</DocSecurity>
  <Lines>497</Lines>
  <Paragraphs>140</Paragraphs>
  <ScaleCrop>false</ScaleCrop>
  <Company/>
  <LinksUpToDate>false</LinksUpToDate>
  <CharactersWithSpaces>70092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bautista xifro</cp:lastModifiedBy>
  <cp:revision>19</cp:revision>
  <dcterms:created xsi:type="dcterms:W3CDTF">2026-10-12T14:35:00Z</dcterms:created>
  <dcterms:modified xsi:type="dcterms:W3CDTF">2026-10-19T21:28:00Z</dcterms:modified>
</cp:coreProperties>
</file>