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Report Review &amp; Approval Note</w:t>
      </w:r>
    </w:p>
    <w:p>
      <w:pPr>
        <w:jc w:val="center"/>
      </w:pPr>
      <w:r>
        <w:rPr>
          <w:color w:val="646464"/>
          <w:sz w:val="18"/>
        </w:rPr>
        <w:t>Task ID: test_task_docx_999  |  Classification: Confidential / Sovereign Industrial Workbench</w:t>
      </w:r>
    </w:p>
    <w:p>
      <w:r>
        <w:rPr>
          <w:i/>
          <w:color w:val="B43232"/>
          <w:sz w:val="18"/>
        </w:rPr>
        <w:t>[DEMO NOTE: Synthetic evaluation data based on local industrial dataset]</w:t>
      </w:r>
    </w:p>
    <w:p/>
    <w:p>
      <w:pPr>
        <w:pStyle w:val="Heading1"/>
      </w:pPr>
      <w:r>
        <w:t>1. Reference Document</w:t>
      </w:r>
    </w:p>
    <w:p>
      <w:pPr>
        <w:ind w:left="288"/>
      </w:pPr>
      <w:r>
        <w:t>Primary Document: Inspection_Report_CV102.pdf</w:t>
      </w:r>
    </w:p>
    <w:p>
      <w:pPr>
        <w:pStyle w:val="Heading1"/>
      </w:pPr>
      <w:r>
        <w:t>2. Executive Summary</w:t>
      </w:r>
    </w:p>
    <w:p>
      <w:pPr>
        <w:ind w:left="288"/>
      </w:pPr>
      <w:r>
        <w:t>Critical wall loss identified on CV-102; replacement required.</w:t>
      </w:r>
    </w:p>
    <w:p>
      <w:pPr>
        <w:pStyle w:val="Heading1"/>
      </w:pPr>
      <w:r>
        <w:t>3. Inspection Findings</w:t>
      </w:r>
    </w:p>
    <w:p>
      <w:pPr>
        <w:pStyle w:val="ListBullet"/>
      </w:pPr>
      <w:r>
        <w:t>36% wall loss measured via UT.</w:t>
      </w:r>
    </w:p>
    <w:p>
      <w:pPr>
        <w:pStyle w:val="ListBullet"/>
      </w:pPr>
      <w:r>
        <w:t>Flange corrosion severity high.</w:t>
      </w:r>
    </w:p>
    <w:p>
      <w:pPr>
        <w:pStyle w:val="Heading1"/>
      </w:pPr>
      <w:r>
        <w:t>4. SOP / Manual References</w:t>
      </w:r>
    </w:p>
    <w:p>
      <w:pPr>
        <w:pStyle w:val="ListBullet"/>
      </w:pPr>
      <w:r>
        <w:t>SOP-M-402: Section 3 Disassembly &amp; Isolation</w:t>
      </w:r>
    </w:p>
    <w:p>
      <w:pPr>
        <w:pStyle w:val="Heading1"/>
      </w:pPr>
      <w:r>
        <w:t>5. Risk / Severity Assessment</w:t>
      </w:r>
    </w:p>
    <w:p>
      <w:pPr>
        <w:ind w:left="288"/>
      </w:pPr>
      <w:r>
        <w:rPr>
          <w:b/>
          <w:color w:val="B40000"/>
        </w:rPr>
        <w:t>Risk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Isolate and replace valve.</w:t>
      </w:r>
    </w:p>
    <w:p>
      <w:pPr>
        <w:pStyle w:val="Heading1"/>
      </w:pPr>
      <w:r>
        <w:t>7. Approval Recommendation</w:t>
      </w:r>
    </w:p>
    <w:p>
      <w:pPr>
        <w:ind w:left="288"/>
      </w:pPr>
      <w:r>
        <w:rPr>
          <w:b/>
          <w:sz w:val="22"/>
        </w:rPr>
        <w:t>Recommendation: APPROVED FOR WORK ORDER</w:t>
      </w:r>
    </w:p>
    <w:p>
      <w:pPr>
        <w:pStyle w:val="Heading1"/>
      </w:pPr>
      <w:r>
        <w:t>8. Verified Sources &amp; Knowledge Provenance</w:t>
      </w:r>
    </w:p>
    <w:p>
      <w:pPr>
        <w:pStyle w:val="ListBullet"/>
      </w:pPr>
      <w:r>
        <w:t>Source: SOP-M-402.pdf, Page 2 (relevance score: 0.94)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