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3658"/>
        <w:gridCol w:w="4508"/>
        <w:tblGridChange w:id="0">
          <w:tblGrid>
            <w:gridCol w:w="901"/>
            <w:gridCol w:w="3658"/>
            <w:gridCol w:w="4508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People lack clear nutritional knowledge and affordable personalized meal planning solutions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AI-based web app providing instant nutrition analysis, personalized meal plans, and virtual coaching. 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Combines AI nutrition insights, meal planning, and coaching in one integrated platform.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Promotes healthy lifestyles, improves awareness, and reduces dependency on costly diet consultations.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Freemium model: Free nutrition insights; paid premium for meal plans and advanced features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Cloud-based system scalable globally with future mobile and wearable integrations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vXkTafiKcbGynLaUxgyvKUYvng==">CgMxLjA4AHIhMVZhdmp5eHJpellGTkl5Vld6Q0NsUEFCTGUyb0xQLUZI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