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t xml:space="preserve">3.1.1 Hospital General Information Dataset</w:t>
      </w:r>
    </w:p>
    <w:p>
      <w:pPr>
        <w:spacing w:line="480" w:lineRule="auto" w:after="200"/>
        <w:jc w:val="both"/>
      </w:pPr>
      <w:r>
        <w:rPr>
          <w:rFonts w:ascii="Times New Roman" w:cs="Times New Roman" w:eastAsia="Times New Roman" w:hAnsi="Times New Roman"/>
          <w:sz w:val="24"/>
          <w:szCs w:val="24"/>
        </w:rPr>
        <w:t xml:space="preserve">The Hospital General Information dataset was downloaded from the CMS Provider Data Catalog on August 3, 2025. It contains 5,385 rows, each representing a unique Medicare-certified hospital in the United States, across 38 columns. The dataset covers facilities in all fifty states, including acute care hospitals, critical access hospitals, children's hospitals, VHA medical centers, and Department of Defense hospitals. For the primary analysis in this study, only the ten states common across all three datasets were retained — Arizona, Florida, Idaho, Illinois, Indiana, Louisiana, Missouri, New Jersey, Pennsylvania, and Tennessee. Table 1 lists all 38 variables, their definitions, and whether each was used or excluded from this study.</w:t>
      </w:r>
    </w:p>
    <w:p>
      <w:pPr>
        <w:spacing w:before="200" w:after="100"/>
      </w:pPr>
      <w:r>
        <w:rPr>
          <w:rFonts w:ascii="Times New Roman" w:cs="Times New Roman" w:eastAsia="Times New Roman" w:hAnsi="Times New Roman"/>
          <w:b/>
          <w:bCs/>
          <w:i/>
          <w:iCs/>
          <w:sz w:val="21"/>
          <w:szCs w:val="21"/>
        </w:rPr>
        <w:t xml:space="preserve">Table 1: Variable Definitions — Hospital General Information Dataset (Green = Used, Red =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700"/>
        <w:gridCol w:w="3460"/>
      </w:tblGrid>
      <w:tr>
        <w:trPr>
          <w:tblHeader/>
        </w:trPr>
        <w:tc>
          <w:tcPr>
            <w:tcW w:type="dxa" w:w="20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Column Name</w:t>
            </w:r>
          </w:p>
        </w:tc>
        <w:tc>
          <w:tcPr>
            <w:tcW w:type="dxa" w:w="32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Definition</w:t>
            </w:r>
          </w:p>
        </w:tc>
        <w:tc>
          <w:tcPr>
            <w:tcW w:type="dxa" w:w="7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Status</w:t>
            </w:r>
          </w:p>
        </w:tc>
        <w:tc>
          <w:tcPr>
            <w:tcW w:type="dxa" w:w="346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Reason if Not Used</w:t>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Facility ID</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Unique identifier assigned by CMS to each hospital facility</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Facility Name</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Official registered name of the hospital</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Address</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Street address of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geographic detail not required for state-level analysis</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City/Town</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City or town in which the facility is located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state-level aggregation renders city-level detail unnecessary</w:t>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State</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Two-letter state abbreviation</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ZIP Code</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Postal code of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not relevant at the state level of analysis</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County/Parish</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County or parish in which the facility is located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sub-state geographic granularity not required</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Telephone Number</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Contact telephone number of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operational detail not relevant to quality analysis</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Hospital Type</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Classification of hospital (e.g. acute care, critical access)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facility type differentiation not part of this study</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Hospital Ownership</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Ownership category (e.g. government, private, non-profit)</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ownership structure not examined in this analysis</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Emergency Services</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Indicates whether the facility offers emergency services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service availability not part of the analytical framework</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Meets criteria for birthing friendly designation</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Indicates whether the facility meets birthing-friendly standards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maternity-specific designation not relevant to this study</w:t>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Hospital Overall Rating</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Composite star rating (1–5) based on five quality domains</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Hospital Overall Rating Footnote</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Footnote code indicating data caveats for the overall rating</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footnote codes are administrative metadata</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MORT Group Measure Count</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Total number of mortality measures available for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only the directional counts (Better/No Different/Worse) were used</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Count of Facility MORT Measures</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mortality measures reported for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MORT Measures Better</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mortality measures where the facility performs above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MORT Measures No Different</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mortality measures where performance is at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MORT Measures Worse</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mortality measures where performance is below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MORT Group Footnote</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Footnote code for the mortality measure group</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administrative metadata</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Safety Group Measure Count</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Total number of safety measures available</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only directional counts used</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Count of Facility Safety Measures</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safety measures reported for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Safety Measures Better</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safety measures where facility performs above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Safety Measures No Different</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safety measures at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Safety Measures Worse</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safety measures below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Safety Group Footnote</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Footnote code for the safety measure group</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administrative metadata</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READM Group Measure Count</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Total number of readmission measures available</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only directional counts used</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Count of Facility READM Measures</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readmission measures reported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READM Measures Better</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readmission measures above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READM Measures No Different</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readmission measures at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READM Measures Worse</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readmission measures below national average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READM Group Footnote</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Footnote code for the readmission measure group</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administrative metadata</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Pt Exp Group Measure Count</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Total number of patient experience measures available</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patient experience domain captured separately via OAS CAHPS dataset</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Count of Facility Pt Exp Measures</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patient experience measures reported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Pt Exp Group Footnote</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Footnote code for patient experience group</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administrative metadata</w:t>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TE Group Measure Count</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Total number of timely and effective care measures available</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only the facility count was used</w:t>
            </w:r>
          </w:p>
        </w:tc>
      </w:tr>
      <w:tr>
        <w:tc>
          <w:tcPr>
            <w:tcW w:type="dxa" w:w="2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Count of Facility TE Measures</w:t>
            </w:r>
          </w:p>
        </w:tc>
        <w:tc>
          <w:tcPr>
            <w:tcW w:type="dxa" w:w="32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timely and effective care measures reported for the facility</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4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TE Group Footnote</w:t>
            </w:r>
          </w:p>
        </w:tc>
        <w:tc>
          <w:tcPr>
            <w:tcW w:type="dxa" w:w="32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Footnote code for timely and effective care group</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4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administrative metadata</w:t>
            </w:r>
          </w:p>
        </w:tc>
      </w:tr>
    </w:tbl>
    <w:p>
      <w:pPr>
        <w:spacing w:after="200"/>
      </w:pPr>
      <w:r>
        <w:t xml:space="preserve"/>
      </w:r>
    </w:p>
    <w:p>
      <w:pPr>
        <w:pStyle w:val="Heading3"/>
      </w:pPr>
      <w:r>
        <w:t xml:space="preserve">3.1.2 OAS CAHPS Survey Dataset — Ambulatory Surgical Centers</w:t>
      </w:r>
    </w:p>
    <w:p>
      <w:pPr>
        <w:spacing w:line="480" w:lineRule="auto" w:after="200"/>
        <w:jc w:val="both"/>
      </w:pPr>
      <w:r>
        <w:rPr>
          <w:rFonts w:ascii="Times New Roman" w:cs="Times New Roman" w:eastAsia="Times New Roman" w:hAnsi="Times New Roman"/>
          <w:sz w:val="24"/>
          <w:szCs w:val="24"/>
        </w:rPr>
        <w:t xml:space="preserve">The OAS CAHPS Ambulatory Surgical Centers dataset was downloaded from the CMS Provider Data Catalog on August 31, 2025. It contains 572 rows, each representing a single ambulatory surgical center, across 30 columns. Survey results are reported as percentage distributions of patient responses across four experience dimensions: facilities and staff, communication about the procedure, overall facility rating, and likelihood to recommend. The same ten-state filter was applied, retaining only facilities in the states common to all three datasets. Table 2 lists all variables, their definitions, and usage status.</w:t>
      </w:r>
    </w:p>
    <w:p>
      <w:pPr>
        <w:spacing w:before="200" w:after="100"/>
      </w:pPr>
      <w:r>
        <w:rPr>
          <w:rFonts w:ascii="Times New Roman" w:cs="Times New Roman" w:eastAsia="Times New Roman" w:hAnsi="Times New Roman"/>
          <w:b/>
          <w:bCs/>
          <w:i/>
          <w:iCs/>
          <w:sz w:val="21"/>
          <w:szCs w:val="21"/>
        </w:rPr>
        <w:t xml:space="preserve">Table 2: Variable Definitions — OAS CAHPS Survey Dataset (Green = Used, Red =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700"/>
        <w:gridCol w:w="3060"/>
      </w:tblGrid>
      <w:tr>
        <w:trPr>
          <w:tblHeader/>
        </w:trPr>
        <w:tc>
          <w:tcPr>
            <w:tcW w:type="dxa" w:w="26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Column Name</w:t>
            </w:r>
          </w:p>
        </w:tc>
        <w:tc>
          <w:tcPr>
            <w:tcW w:type="dxa" w:w="30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Definition</w:t>
            </w:r>
          </w:p>
        </w:tc>
        <w:tc>
          <w:tcPr>
            <w:tcW w:type="dxa" w:w="7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Status</w:t>
            </w:r>
          </w:p>
        </w:tc>
        <w:tc>
          <w:tcPr>
            <w:tcW w:type="dxa" w:w="306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Reason if Not Used</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Facility ID</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Unique identifier assigned to each ambulatory surgical centre</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facility-level identifier not required for state-level aggregation</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Facility Name</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Registered name of the ambulatory surgical centre</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facility identity not part of the analysis</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Address</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Street address of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sub-state geographic detail not required</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City/Town</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City or town of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State</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Two-letter state abbreviation</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ZIP Code</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Postal code of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not relevant at state level</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County/Parish</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County or parish of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sub-state detail not required</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Telephone Number</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Contact number of the facility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operational detail not relevant</w:t>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staff definitely gave professional care and facility was clean</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of patients with the most positive response on staff professionalism and cleanliness</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staff somewhat gave professional care or facility was somewhat clean</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with a partial positive response on the same dimension</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staff did not give professional care or facility was not clean</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with a negative response on staff professionalism and cleanliness</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Facilities and staff linear mean score</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Linear mean of the facilities and staff dimension responses</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staff definitely communicated about what to expect</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with the strongest positive response on procedural communication</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staff somewhat communicated about what to expect</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with a partial positive response on procedural communication</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staff did not communicate about what to expect</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with a negative response on procedural communication</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Communication about your procedure linear mean score</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Linear mean of the communication dimension responses</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gave the facility a rating of 9 or 10 out of 10</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giving the highest overall facility rating</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gave the facility a rating of 7 or 8 out of 10</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giving a moderate overall facility rating</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gave the facility a rating of 0 to 6 out of 10</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giving a low overall facility rating</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rating of the facility linear mean score</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Linear mean of the overall facility rating responses</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YES they would DEFINITELY recommend the facility</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with the strongest positive recommendation response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PROBABLY YES they would recommend the facility</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with a tentative positive recommendation response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who reported NO they would not recommend the facility</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with a negative recommendation response</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Patients recommending the facility linear mean score</w:t>
            </w:r>
          </w:p>
        </w:tc>
        <w:tc>
          <w:tcPr>
            <w:tcW w:type="dxa" w:w="30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Linear mean of the recommendation dimension responses</w:t>
            </w:r>
          </w:p>
        </w:tc>
        <w:tc>
          <w:tcPr>
            <w:tcW w:type="dxa" w:w="7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06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Footnote</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Administrative footnote code indicating data caveats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administrative metadata</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Sampled Patients</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Total number of patients sampled for the survey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sampling details not part of the analytical framework</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Completed Surveys</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Total number of surveys returned and completed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Survey Response Rate Percent</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Percentage of sampled patients who completed the survey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response rate metadata not used in analysis</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Start Date</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Start of the data collection period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time period metadata not required for cross-sectional analysis</w:t>
            </w:r>
          </w:p>
        </w:tc>
      </w:tr>
      <w:tr>
        <w:tc>
          <w:tcPr>
            <w:tcW w:type="dxa" w:w="26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End Date</w:t>
            </w:r>
          </w:p>
        </w:tc>
        <w:tc>
          <w:tcPr>
            <w:tcW w:type="dxa" w:w="30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End of the data collection period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0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bl>
    <w:p>
      <w:pPr>
        <w:spacing w:after="200"/>
      </w:pPr>
      <w:r>
        <w:t xml:space="preserve"/>
      </w:r>
    </w:p>
    <w:p>
      <w:pPr>
        <w:pStyle w:val="Heading3"/>
      </w:pPr>
      <w:r>
        <w:t xml:space="preserve">3.1.3 Yelp Open Dataset</w:t>
      </w:r>
    </w:p>
    <w:p>
      <w:pPr>
        <w:spacing w:line="480" w:lineRule="auto" w:after="200"/>
        <w:jc w:val="both"/>
      </w:pPr>
      <w:r>
        <w:rPr>
          <w:rFonts w:ascii="Times New Roman" w:cs="Times New Roman" w:eastAsia="Times New Roman" w:hAnsi="Times New Roman"/>
          <w:sz w:val="24"/>
          <w:szCs w:val="24"/>
        </w:rPr>
        <w:t xml:space="preserve">The Yelp Open Dataset spans review activity from 2004 through approximately 2022 and contains approximately 6.9 million reviews across more than 150,000 businesses. In its raw form the dataset is distributed as multiple JSON files. For this study, only reviews associated with businesses categorised under health and medical — specifically those with 'Hospitals' appearing in their categories field — were extracted, and the data was further restricted to the ten states used in the integrated analysis. The working subset used in this study is therefore considerably smaller than the full dataset. Table 3 lists all variables from the two JSON files used during extraction, along with their definitions and usage status.</w:t>
      </w:r>
    </w:p>
    <w:p>
      <w:pPr>
        <w:spacing w:before="200" w:after="100"/>
      </w:pPr>
      <w:r>
        <w:rPr>
          <w:rFonts w:ascii="Times New Roman" w:cs="Times New Roman" w:eastAsia="Times New Roman" w:hAnsi="Times New Roman"/>
          <w:b/>
          <w:bCs/>
          <w:i/>
          <w:iCs/>
          <w:sz w:val="21"/>
          <w:szCs w:val="21"/>
        </w:rPr>
        <w:t xml:space="preserve">Table 3: Variable Definitions — Yelp Open Dataset (Green = Used, Red =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800"/>
        <w:gridCol w:w="700"/>
        <w:gridCol w:w="3260"/>
      </w:tblGrid>
      <w:tr>
        <w:trPr>
          <w:tblHeader/>
        </w:trPr>
        <w:tc>
          <w:tcPr>
            <w:tcW w:type="dxa" w:w="15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Column Name</w:t>
            </w:r>
          </w:p>
        </w:tc>
        <w:tc>
          <w:tcPr>
            <w:tcW w:type="dxa" w:w="11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Source File</w:t>
            </w:r>
          </w:p>
        </w:tc>
        <w:tc>
          <w:tcPr>
            <w:tcW w:type="dxa" w:w="28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Definition</w:t>
            </w:r>
          </w:p>
        </w:tc>
        <w:tc>
          <w:tcPr>
            <w:tcW w:type="dxa" w:w="70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Status</w:t>
            </w:r>
          </w:p>
        </w:tc>
        <w:tc>
          <w:tcPr>
            <w:tcW w:type="dxa" w:w="3260"/>
            <w:tcBorders>
              <w:top w:val="single" w:color="AAAAAA" w:sz="1"/>
              <w:left w:val="single" w:color="AAAAAA" w:sz="1"/>
              <w:bottom w:val="single" w:color="AAAAAA" w:sz="1"/>
              <w:right w:val="single" w:color="AAAAAA" w:sz="1"/>
            </w:tcBorders>
            <w:shd w:fill="2E5F8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Reason if Not Used</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business_id</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Unique identifier for each business listing on Yelp</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used only as a join key during data preparation; not retained in analysis</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name</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Registered business name on Yelp</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address</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Street address of the business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sub-state geographic detail not required</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city</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City in which the business is located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state</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Two-letter state abbreviation</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postal_code</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Postal code of the business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not relevant at state level</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latitude / longitude</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Geographic coordinates of the business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spatial coordinates not used in this analysis</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stars</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Average star rating of the business across all reviews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individual review-level star ratings from review.json were used instead</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review_count</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Total number of reviews for the business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review volume not part of the analytical variables</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categories</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Comma-separated list of business category labels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Used only as a filter to identify hospital-type businesses; not retained as an analytical variable</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hours</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Operating hours of the business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operational detail not relevant</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attributes</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Nested dictionary of business-specific attributes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business attribute metadata not part of the analysis</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review_id</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Unique identifier for each review</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used only as a row identifier; not retained in analysis</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user_id</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Anonymised identifier for the reviewer</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individual reviewer tracking not required; analysis is at cluster level</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business_id</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Identifier linking the review to its business</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used only as a join key during data preparation</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stars</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Star rating (1–5) given by the reviewer for that visit</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date</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Date on which the review was submitted</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temporal analysis not part of this study</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text</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Full text of the consumer review</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useful</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times other users marked the review as useful</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social engagement metrics not relevant to sentiment analysis</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funny</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times other users marked the review as funny</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r>
        <w:tc>
          <w:tcPr>
            <w:tcW w:type="dxa" w:w="15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cool</w:t>
            </w:r>
          </w:p>
        </w:tc>
        <w:tc>
          <w:tcPr>
            <w:tcW w:type="dxa" w:w="11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review.json</w:t>
            </w:r>
          </w:p>
        </w:tc>
        <w:tc>
          <w:tcPr>
            <w:tcW w:type="dxa" w:w="28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Number of times other users marked the review as cool</w:t>
            </w:r>
          </w:p>
        </w:tc>
        <w:tc>
          <w:tcPr>
            <w:tcW w:type="dxa" w:w="70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Not Used</w:t>
            </w:r>
          </w:p>
        </w:tc>
        <w:tc>
          <w:tcPr>
            <w:tcW w:type="dxa" w:w="3260"/>
            <w:tcBorders>
              <w:top w:val="single" w:color="AAAAAA" w:sz="1"/>
              <w:left w:val="single" w:color="AAAAAA" w:sz="1"/>
              <w:bottom w:val="single" w:color="AAAAAA" w:sz="1"/>
              <w:right w:val="single" w:color="AAAAAA" w:sz="1"/>
            </w:tcBorders>
            <w:shd w:fill="FFEBEE" w:val="clear"/>
            <w:tcMar>
              <w:top w:type="dxa" w:w="70"/>
              <w:left w:type="dxa" w:w="100"/>
              <w:bottom w:type="dxa" w:w="70"/>
              <w:right w:type="dxa" w:w="100"/>
            </w:tcMar>
          </w:tcPr>
          <w:p>
            <w:r>
              <w:rPr>
                <w:rFonts w:ascii="Times New Roman" w:cs="Times New Roman" w:eastAsia="Times New Roman" w:hAnsi="Times New Roman"/>
                <w:sz w:val="18"/>
                <w:szCs w:val="18"/>
              </w:rPr>
              <w:t xml:space="preserve">Outside scope — same as above</w:t>
            </w:r>
          </w:p>
        </w:tc>
      </w:tr>
    </w:tbl>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2026-03-17T20:31:02.290Z</dcterms:created>
  <dcterms:modified xsi:type="dcterms:W3CDTF">2026-03-17T20:31:02.290Z</dcterms:modified>
</cp:coreProperties>
</file>

<file path=docProps/custom.xml><?xml version="1.0" encoding="utf-8"?>
<Properties xmlns="http://schemas.openxmlformats.org/officeDocument/2006/custom-properties" xmlns:vt="http://schemas.openxmlformats.org/officeDocument/2006/docPropsVTypes"/>
</file>