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3.2 Preprocessing of Data</w:t>
      </w:r>
    </w:p>
    <w:p>
      <w:pPr>
        <w:spacing w:line="480" w:lineRule="auto" w:after="200"/>
        <w:jc w:val="both"/>
      </w:pPr>
      <w:r>
        <w:rPr>
          <w:rFonts w:ascii="Times New Roman" w:cs="Times New Roman" w:eastAsia="Times New Roman" w:hAnsi="Times New Roman"/>
          <w:sz w:val="24"/>
          <w:szCs w:val="24"/>
        </w:rPr>
        <w:t xml:space="preserve">Before any analysis could be conducted, each of the three datasets required a degree of preparation to bring them to a consistent and usable state.</w:t>
      </w:r>
    </w:p>
    <w:p>
      <w:pPr>
        <w:spacing w:line="480" w:lineRule="auto" w:after="200"/>
        <w:jc w:val="both"/>
      </w:pPr>
      <w:r>
        <w:rPr>
          <w:rFonts w:ascii="Times New Roman" w:cs="Times New Roman" w:eastAsia="Times New Roman" w:hAnsi="Times New Roman"/>
          <w:sz w:val="24"/>
          <w:szCs w:val="24"/>
        </w:rPr>
        <w:t xml:space="preserve">The Hospital General Information dataset was provided as a clean CSV file with no structural issues, but several cells across the quality measure columns contained the value 'Not Available', indicating that a particular measure was not reported for that facility. These cells were treated as zero for the purposes of this study, on the basis that an unreported measure contributes no directional quality signal and should not distort the state-level aggregation.</w:t>
      </w:r>
    </w:p>
    <w:p>
      <w:pPr>
        <w:spacing w:line="480" w:lineRule="auto" w:after="200"/>
        <w:jc w:val="both"/>
      </w:pPr>
      <w:r>
        <w:rPr>
          <w:rFonts w:ascii="Times New Roman" w:cs="Times New Roman" w:eastAsia="Times New Roman" w:hAnsi="Times New Roman"/>
          <w:sz w:val="24"/>
          <w:szCs w:val="24"/>
        </w:rPr>
        <w:t xml:space="preserve">The OAS CAHPS survey dataset presented a different issue. A number of rows, each representing an individual ambulatory surgical centre, contained no survey response data at all — all survey-related columns were blank for those facilities. These rows were excluded entirely from the analysis. Retaining them would have introduced empty records into the state-level aggregation without contributing any meaningful information, which would have skewed the results for the states those facilities belong to.</w:t>
      </w:r>
    </w:p>
    <w:p>
      <w:pPr>
        <w:spacing w:line="480" w:lineRule="auto" w:after="200"/>
        <w:jc w:val="both"/>
      </w:pPr>
      <w:r>
        <w:rPr>
          <w:rFonts w:ascii="Times New Roman" w:cs="Times New Roman" w:eastAsia="Times New Roman" w:hAnsi="Times New Roman"/>
          <w:sz w:val="24"/>
          <w:szCs w:val="24"/>
        </w:rPr>
        <w:t xml:space="preserve">The Yelp Open Dataset required more substantial preparation. In its raw form, the data is distributed as newline-delimited JSON files, which are not directly usable for tabular analysis. A Python program was written to parse the business and review JSON files, extract the relevant fields, filter the business records to those with 'Hospitals' present in their categories field, join the filtered business records with their corresponding reviews on the shared business identifier, and export the resulting dataset as a single CSV file. This CSV served as the working input for all subsequent Yelp-based analysis.</w:t>
      </w:r>
    </w:p>
    <w:p>
      <w:pPr>
        <w:spacing w:line="480" w:lineRule="auto" w:after="200"/>
        <w:jc w:val="both"/>
      </w:pPr>
      <w:r>
        <w:rPr>
          <w:rFonts w:ascii="Times New Roman" w:cs="Times New Roman" w:eastAsia="Times New Roman" w:hAnsi="Times New Roman"/>
          <w:sz w:val="24"/>
          <w:szCs w:val="24"/>
        </w:rPr>
        <w:t xml:space="preserve">For the two CMS datasets, the state-level aggregation was then applied. The median value of each selected variable was computed across all facilities within a given state, producing one representative row per state. The median was chosen over the mean because quality measure distributions and survey response percentages within states are often skewed by a small number of outlier facilities. The median is resistant to those extremes and gives a more stable picture of the typical facility in each state. The Yelp dataset does not contain numerical variables that lend themselves to this kind of aggregation — instead, the review text was grouped by state to form a corpus of reviews per state, which served as the input for the text mining analysis.</w:t>
      </w:r>
    </w:p>
    <w:p>
      <w:pPr>
        <w:spacing w:line="480" w:lineRule="auto" w:after="200"/>
        <w:jc w:val="both"/>
      </w:pPr>
      <w:r>
        <w:rPr>
          <w:rFonts w:ascii="Times New Roman" w:cs="Times New Roman" w:eastAsia="Times New Roman" w:hAnsi="Times New Roman"/>
          <w:sz w:val="24"/>
          <w:szCs w:val="24"/>
        </w:rPr>
        <w:t xml:space="preserve">The final step was identifying the states common to all three datasets. After applying the hospital-category filter to the Yelp data and computing state-level medians for both CMS datasets, the geographic coverage of each dataset was compared. Ten states appeared in all three: Arizona, Florida, Idaho, Illinois, Indiana, Louisiana, Missouri, New Jersey, Pennsylvania, and Tennessee. All primary analysis in this study is restricted to these ten states to ensure a consistent geographic foundation across all three sources.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pPr>
      <w:spacing w:before="240" w:after="1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2026-03-17T21:54:07.587Z</dcterms:created>
  <dcterms:modified xsi:type="dcterms:W3CDTF">2026-03-17T21:54:07.588Z</dcterms:modified>
</cp:coreProperties>
</file>

<file path=docProps/custom.xml><?xml version="1.0" encoding="utf-8"?>
<Properties xmlns="http://schemas.openxmlformats.org/officeDocument/2006/custom-properties" xmlns:vt="http://schemas.openxmlformats.org/officeDocument/2006/docPropsVTypes"/>
</file>