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4.3  Yelp Open Dataset</w:t>
      </w:r>
    </w:p>
    <w:p>
      <w:pPr>
        <w:spacing w:line="480" w:lineRule="auto" w:after="200"/>
        <w:jc w:val="both"/>
      </w:pPr>
      <w:r>
        <w:t xml:space="preserve">From the Yelp Open Dataset, two columns were selected for analysis: State and the review text. Prior to feature selection, the dataset was filtered to retain only businesses whose categories field contained the keyword 'Hospitals'. Within the Yelp data model, each business is assigned a comma-separated string of one or more category labels rather than a single fixed category. Filtering on the presence of the keyword 'Hospitals' within this string therefore captures a broad and realistic range of hospital-related facilities, including general hospitals, medical centers, emergency rooms, pediatric hospitals, rehabilitation centers, urgent care facilities affiliated with hospital networks, and specialty practices operating within or alongside hospital systems. This approach reflects the real-world complexity of how hospital and hospital-adjacent facilities are categorised on the Yelp platform and ensures that no relevant hospital-type business is excluded due to the presence of additional specialty categories in its listing.</w:t>
      </w:r>
    </w:p>
    <w:p>
      <w:pPr>
        <w:spacing w:line="480" w:lineRule="auto"/>
        <w:jc w:val="both"/>
      </w:pPr>
      <w:r>
        <w:t xml:space="preserve">Unlike the CMS datasets, where numerical quality measures and survey response percentages were aggregated to the state level using the median, the Yelp dataset contributes unstructured textual data. The review text column was therefore not subject to numerical aggregation but was instead grouped by state, producing a corpus of consumer-written hospital reviews for each of the ten states common to all three datasets. This state-level text corpus serves as the primary input for the text mining and natural language processing components of the analysis, from which sentiment patterns, key themes, and linguistic indicators of patient satisfaction or dissatisfaction are extracted and interpreted within the broader clustering framework.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pPr>
      <w:spacing w:before="200" w:after="1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2026-03-07T19:32:59.742Z</dcterms:created>
  <dcterms:modified xsi:type="dcterms:W3CDTF">2026-03-07T19:32:59.743Z</dcterms:modified>
</cp:coreProperties>
</file>

<file path=docProps/custom.xml><?xml version="1.0" encoding="utf-8"?>
<Properties xmlns="http://schemas.openxmlformats.org/officeDocument/2006/custom-properties" xmlns:vt="http://schemas.openxmlformats.org/officeDocument/2006/docPropsVTypes"/>
</file>