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OVERVIEW DOCUMENT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WAREHOUSING INTEGRATION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24"/>
          <w:szCs w:val="24"/>
        </w:rPr>
      </w:pPr>
      <w:bookmarkStart w:colFirst="0" w:colLast="0" w:name="_5ci1msyii4bq" w:id="0"/>
      <w:bookmarkEnd w:id="0"/>
      <w:r w:rsidDel="00000000" w:rsidR="00000000" w:rsidRPr="00000000">
        <w:rPr>
          <w:rFonts w:ascii="Times New Roman" w:cs="Times New Roman" w:eastAsia="Times New Roman" w:hAnsi="Times New Roman"/>
          <w:b w:val="1"/>
          <w:sz w:val="24"/>
          <w:szCs w:val="24"/>
          <w:rtl w:val="0"/>
        </w:rPr>
        <w:t xml:space="preserve">1. EXECUTION OVERVIEW</w:t>
      </w:r>
    </w:p>
    <w:p w:rsidR="00000000" w:rsidDel="00000000" w:rsidP="00000000" w:rsidRDefault="00000000" w:rsidRPr="00000000" w14:paraId="0000000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executed in a structured and iterative manner to ensure smooth integration of Azure services for end-to-end data warehousing. The objective was to design a reliable ETL pipeline that ingests raw e-commerce data, transforms it into curated datasets, and loads it into a star schema inside Azure Synapse Analytics for analytical consumption.</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involved the following phases:</w:t>
      </w:r>
    </w:p>
    <w:p w:rsidR="00000000" w:rsidDel="00000000" w:rsidP="00000000" w:rsidRDefault="00000000" w:rsidRPr="00000000" w14:paraId="00000009">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Setup: </w:t>
      </w:r>
      <w:r w:rsidDel="00000000" w:rsidR="00000000" w:rsidRPr="00000000">
        <w:rPr>
          <w:rFonts w:ascii="Times New Roman" w:cs="Times New Roman" w:eastAsia="Times New Roman" w:hAnsi="Times New Roman"/>
          <w:sz w:val="24"/>
          <w:szCs w:val="24"/>
          <w:rtl w:val="0"/>
        </w:rPr>
        <w:t xml:space="preserve">Provisioned and configured Azure resources including Azure Data Lake Storage (ADLS), Azure Data Factory (ADF), Azure Databricks, and Azure Synapse Analytics.</w:t>
        <w:br w:type="textWrapping"/>
      </w:r>
    </w:p>
    <w:p w:rsidR="00000000" w:rsidDel="00000000" w:rsidP="00000000" w:rsidRDefault="00000000" w:rsidRPr="00000000" w14:paraId="0000000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Ingestion:</w:t>
      </w:r>
      <w:r w:rsidDel="00000000" w:rsidR="00000000" w:rsidRPr="00000000">
        <w:rPr>
          <w:rFonts w:ascii="Times New Roman" w:cs="Times New Roman" w:eastAsia="Times New Roman" w:hAnsi="Times New Roman"/>
          <w:sz w:val="24"/>
          <w:szCs w:val="24"/>
          <w:rtl w:val="0"/>
        </w:rPr>
        <w:t xml:space="preserve"> Implemented ADF pipelines to move raw CSV files (Customers, Products, Sales Transactions) into ADLS staging zones.</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Transformation:</w:t>
      </w:r>
      <w:r w:rsidDel="00000000" w:rsidR="00000000" w:rsidRPr="00000000">
        <w:rPr>
          <w:rFonts w:ascii="Times New Roman" w:cs="Times New Roman" w:eastAsia="Times New Roman" w:hAnsi="Times New Roman"/>
          <w:sz w:val="24"/>
          <w:szCs w:val="24"/>
          <w:rtl w:val="0"/>
        </w:rPr>
        <w:t xml:space="preserve"> Leveraged Databricks notebooks with PySpark for large-scale cleaning, normalization, and enrichment of raw datasets, ensuring they were analytics-ready.</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Loading:</w:t>
      </w:r>
      <w:r w:rsidDel="00000000" w:rsidR="00000000" w:rsidRPr="00000000">
        <w:rPr>
          <w:rFonts w:ascii="Times New Roman" w:cs="Times New Roman" w:eastAsia="Times New Roman" w:hAnsi="Times New Roman"/>
          <w:sz w:val="24"/>
          <w:szCs w:val="24"/>
          <w:rtl w:val="0"/>
        </w:rPr>
        <w:t xml:space="preserve"> Registered curated datasets as external tables in Synapse, with correct SAS credentialing, external data source mapping, and schema consistency.</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&amp; Testing:</w:t>
      </w:r>
      <w:r w:rsidDel="00000000" w:rsidR="00000000" w:rsidRPr="00000000">
        <w:rPr>
          <w:rFonts w:ascii="Times New Roman" w:cs="Times New Roman" w:eastAsia="Times New Roman" w:hAnsi="Times New Roman"/>
          <w:sz w:val="24"/>
          <w:szCs w:val="24"/>
          <w:rtl w:val="0"/>
        </w:rPr>
        <w:t xml:space="preserve"> Executed validation queries in Synapse to confirm data quality, schema alignment, and referential integrity.</w:t>
        <w:br w:type="textWrapping"/>
      </w:r>
    </w:p>
    <w:p w:rsidR="00000000" w:rsidDel="00000000" w:rsidP="00000000" w:rsidRDefault="00000000" w:rsidRPr="00000000" w14:paraId="0000000E">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 Orchestration: </w:t>
      </w:r>
      <w:r w:rsidDel="00000000" w:rsidR="00000000" w:rsidRPr="00000000">
        <w:rPr>
          <w:rFonts w:ascii="Times New Roman" w:cs="Times New Roman" w:eastAsia="Times New Roman" w:hAnsi="Times New Roman"/>
          <w:sz w:val="24"/>
          <w:szCs w:val="24"/>
          <w:rtl w:val="0"/>
        </w:rPr>
        <w:t xml:space="preserve">Automated the entire ETL process using ADF pipelines with monitoring, retries, and error handling.</w:t>
        <w:br w:type="textWrapping"/>
      </w:r>
    </w:p>
    <w:p w:rsidR="00000000" w:rsidDel="00000000" w:rsidP="00000000" w:rsidRDefault="00000000" w:rsidRPr="00000000" w14:paraId="0000000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execution, multiple technical challenges were encountered and resolved — including SAS token misconfigurations, Synapse external table access issues, and linked service credential dependencies. By carefully redesigning the SAS scope and repeatedly testing pipeline execution, stable connectivity and reliable data queryability were achieved.</w:t>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24"/>
          <w:szCs w:val="24"/>
        </w:rPr>
      </w:pPr>
      <w:bookmarkStart w:colFirst="0" w:colLast="0" w:name="_uczlysvwyr1a" w:id="1"/>
      <w:bookmarkEnd w:id="1"/>
      <w:r w:rsidDel="00000000" w:rsidR="00000000" w:rsidRPr="00000000">
        <w:rPr>
          <w:rFonts w:ascii="Times New Roman" w:cs="Times New Roman" w:eastAsia="Times New Roman" w:hAnsi="Times New Roman"/>
          <w:b w:val="1"/>
          <w:sz w:val="24"/>
          <w:szCs w:val="24"/>
          <w:rtl w:val="0"/>
        </w:rPr>
        <w:t xml:space="preserve">2. TASKS PERFORMED</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expanded step-by-step log of the tasks carried out during execution.</w:t>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gs5oq8qm5yf" w:id="2"/>
      <w:bookmarkEnd w:id="2"/>
      <w:r w:rsidDel="00000000" w:rsidR="00000000" w:rsidRPr="00000000">
        <w:rPr>
          <w:rFonts w:ascii="Times New Roman" w:cs="Times New Roman" w:eastAsia="Times New Roman" w:hAnsi="Times New Roman"/>
          <w:b w:val="1"/>
          <w:color w:val="000000"/>
          <w:sz w:val="24"/>
          <w:szCs w:val="24"/>
          <w:rtl w:val="0"/>
        </w:rPr>
        <w:t xml:space="preserve">Step 1: Environment Setup</w:t>
      </w:r>
    </w:p>
    <w:p w:rsidR="00000000" w:rsidDel="00000000" w:rsidP="00000000" w:rsidRDefault="00000000" w:rsidRPr="00000000" w14:paraId="00000013">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 Azure Storage Account with Hierarchical Namespace (Data Lake Gen2) enabled. This provided the central data lake for raw and curated datasets.</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a structured folder hierarchy within ADLS for clarity:</w:t>
        <w:br w:type="textWrapping"/>
      </w:r>
    </w:p>
    <w:p w:rsidR="00000000" w:rsidDel="00000000" w:rsidP="00000000" w:rsidRDefault="00000000" w:rsidRPr="00000000" w14:paraId="00000015">
      <w:pPr>
        <w:numPr>
          <w:ilvl w:val="1"/>
          <w:numId w:val="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rtl w:val="0"/>
        </w:rPr>
        <w:t xml:space="preserve">/raw/</w:t>
      </w:r>
      <w:r w:rsidDel="00000000" w:rsidR="00000000" w:rsidRPr="00000000">
        <w:rPr>
          <w:rFonts w:ascii="Cardo" w:cs="Cardo" w:eastAsia="Cardo" w:hAnsi="Cardo"/>
          <w:sz w:val="24"/>
          <w:szCs w:val="24"/>
          <w:rtl w:val="0"/>
        </w:rPr>
        <w:t xml:space="preserve"> → landing zone for unprocessed source files.</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rtl w:val="0"/>
        </w:rPr>
        <w:t xml:space="preserve">/curated/</w:t>
      </w:r>
      <w:r w:rsidDel="00000000" w:rsidR="00000000" w:rsidRPr="00000000">
        <w:rPr>
          <w:rFonts w:ascii="Cardo" w:cs="Cardo" w:eastAsia="Cardo" w:hAnsi="Cardo"/>
          <w:sz w:val="24"/>
          <w:szCs w:val="24"/>
          <w:rtl w:val="0"/>
        </w:rPr>
        <w:t xml:space="preserve"> → cleaned, transformed data ready for analytics.</w:t>
        <w:br w:type="textWrapping"/>
      </w:r>
    </w:p>
    <w:p w:rsidR="00000000" w:rsidDel="00000000" w:rsidP="00000000" w:rsidRDefault="00000000" w:rsidRPr="00000000" w14:paraId="00000017">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Deployed an Azure Synapse Analytics serverless pool (logical warehouse for queries) and ensured SQL Admin credentials were configured.</w:t>
        <w:br w:type="textWrapping"/>
      </w:r>
    </w:p>
    <w:p w:rsidR="00000000" w:rsidDel="00000000" w:rsidP="00000000" w:rsidRDefault="00000000" w:rsidRPr="00000000" w14:paraId="00000018">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Azure Databricks workspace, integrated with ADLS using Service Principal credentials and cluster permissions. This was the backbone for scalable transformations.</w:t>
        <w:br w:type="textWrapping"/>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ilytxw9c3wu" w:id="3"/>
      <w:bookmarkEnd w:id="3"/>
      <w:r w:rsidDel="00000000" w:rsidR="00000000" w:rsidRPr="00000000">
        <w:rPr>
          <w:rFonts w:ascii="Times New Roman" w:cs="Times New Roman" w:eastAsia="Times New Roman" w:hAnsi="Times New Roman"/>
          <w:b w:val="1"/>
          <w:color w:val="000000"/>
          <w:sz w:val="24"/>
          <w:szCs w:val="24"/>
          <w:rtl w:val="0"/>
        </w:rPr>
        <w:t xml:space="preserve">Step 2: Data Ingestion with ADF</w:t>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Linked Services in ADF:</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ADLS → to store raw and curated data.</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Synapse → for external table registration and query execution.</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ADF pipelines:</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rtl w:val="0"/>
        </w:rPr>
        <w:t xml:space="preserve">Copy_Raw_To_curated</w:t>
      </w:r>
      <w:r w:rsidDel="00000000" w:rsidR="00000000" w:rsidRPr="00000000">
        <w:rPr>
          <w:rFonts w:ascii="Times New Roman" w:cs="Times New Roman" w:eastAsia="Times New Roman" w:hAnsi="Times New Roman"/>
          <w:sz w:val="24"/>
          <w:szCs w:val="24"/>
          <w:rtl w:val="0"/>
        </w:rPr>
        <w:t xml:space="preserve">: Responsible for moving CSVs into ADLS </w:t>
      </w:r>
      <w:r w:rsidDel="00000000" w:rsidR="00000000" w:rsidRPr="00000000">
        <w:rPr>
          <w:rFonts w:ascii="Roboto Mono" w:cs="Roboto Mono" w:eastAsia="Roboto Mono" w:hAnsi="Roboto Mono"/>
          <w:color w:val="188038"/>
          <w:rtl w:val="0"/>
        </w:rPr>
        <w:t xml:space="preserve">/raw/</w:t>
      </w:r>
      <w:r w:rsidDel="00000000" w:rsidR="00000000" w:rsidRPr="00000000">
        <w:rPr>
          <w:rFonts w:ascii="Times New Roman" w:cs="Times New Roman" w:eastAsia="Times New Roman" w:hAnsi="Times New Roman"/>
          <w:sz w:val="24"/>
          <w:szCs w:val="24"/>
          <w:rtl w:val="0"/>
        </w:rPr>
        <w:t xml:space="preserve">. This provided a repeatable and monitored ingestion mechanism.</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rtl w:val="0"/>
        </w:rPr>
        <w:t xml:space="preserve">Run_ETL_Notebook</w:t>
      </w:r>
      <w:r w:rsidDel="00000000" w:rsidR="00000000" w:rsidRPr="00000000">
        <w:rPr>
          <w:rFonts w:ascii="Times New Roman" w:cs="Times New Roman" w:eastAsia="Times New Roman" w:hAnsi="Times New Roman"/>
          <w:sz w:val="24"/>
          <w:szCs w:val="24"/>
          <w:rtl w:val="0"/>
        </w:rPr>
        <w:t xml:space="preserve">: Orchestrated Databricks notebooks for transformations. It ensured ingestion and transformations were connected seamlessly.</w:t>
        <w:br w:type="textWrapping"/>
      </w:r>
    </w:p>
    <w:p w:rsidR="00000000" w:rsidDel="00000000" w:rsidP="00000000" w:rsidRDefault="00000000" w:rsidRPr="00000000" w14:paraId="00000020">
      <w:pPr>
        <w:numPr>
          <w:ilvl w:val="1"/>
          <w:numId w:val="1"/>
        </w:numPr>
        <w:spacing w:after="24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rtl w:val="0"/>
        </w:rPr>
        <w:t xml:space="preserve">Register_Synapse_External_Tables</w:t>
      </w:r>
      <w:r w:rsidDel="00000000" w:rsidR="00000000" w:rsidRPr="00000000">
        <w:rPr>
          <w:rFonts w:ascii="Times New Roman" w:cs="Times New Roman" w:eastAsia="Times New Roman" w:hAnsi="Times New Roman"/>
          <w:sz w:val="24"/>
          <w:szCs w:val="24"/>
          <w:rtl w:val="0"/>
        </w:rPr>
        <w:t xml:space="preserve">: Executed T-SQL scripts to create external tables in Synapse pointing to curated data.</w:t>
        <w:br w:type="textWrapping"/>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3ib31zie6vc" w:id="4"/>
      <w:bookmarkEnd w:id="4"/>
      <w:r w:rsidDel="00000000" w:rsidR="00000000" w:rsidRPr="00000000">
        <w:rPr>
          <w:rFonts w:ascii="Times New Roman" w:cs="Times New Roman" w:eastAsia="Times New Roman" w:hAnsi="Times New Roman"/>
          <w:b w:val="1"/>
          <w:color w:val="000000"/>
          <w:sz w:val="24"/>
          <w:szCs w:val="24"/>
          <w:rtl w:val="0"/>
        </w:rPr>
        <w:t xml:space="preserve">Step 3: Data Transformation in Databricks (PySpark)</w:t>
      </w:r>
    </w:p>
    <w:p w:rsidR="00000000" w:rsidDel="00000000" w:rsidP="00000000" w:rsidRDefault="00000000" w:rsidRPr="00000000" w14:paraId="00000022">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PySpark scripts that performed:</w:t>
        <w:br w:type="textWrapping"/>
      </w:r>
    </w:p>
    <w:p w:rsidR="00000000" w:rsidDel="00000000" w:rsidP="00000000" w:rsidRDefault="00000000" w:rsidRPr="00000000" w14:paraId="00000023">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Removing null values, duplicate rows, and inconsistent records.</w:t>
        <w:br w:type="textWrapping"/>
      </w:r>
    </w:p>
    <w:p w:rsidR="00000000" w:rsidDel="00000000" w:rsidP="00000000" w:rsidRDefault="00000000" w:rsidRPr="00000000" w14:paraId="00000024">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Ensuring dates, numerical fields, and categorical data were in consistent formats.</w:t>
        <w:br w:type="textWrapping"/>
      </w:r>
    </w:p>
    <w:p w:rsidR="00000000" w:rsidDel="00000000" w:rsidP="00000000" w:rsidRDefault="00000000" w:rsidRPr="00000000" w14:paraId="00000025">
      <w:pPr>
        <w:numPr>
          <w:ilvl w:val="1"/>
          <w:numId w:val="4"/>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Enrichment: Derived new columns such as </w:t>
      </w:r>
      <w:r w:rsidDel="00000000" w:rsidR="00000000" w:rsidRPr="00000000">
        <w:rPr>
          <w:rFonts w:ascii="Roboto Mono" w:cs="Roboto Mono" w:eastAsia="Roboto Mono" w:hAnsi="Roboto Mono"/>
          <w:color w:val="188038"/>
          <w:rtl w:val="0"/>
        </w:rPr>
        <w:t xml:space="preserve">Total_Amount = Quantity * Price_per_Unit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Modeled data into warehouse-ready structures:</w:t>
        <w:br w:type="textWrapping"/>
      </w:r>
    </w:p>
    <w:p w:rsidR="00000000" w:rsidDel="00000000" w:rsidP="00000000" w:rsidRDefault="00000000" w:rsidRPr="00000000" w14:paraId="00000027">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Tables:</w:t>
        <w:br w:type="textWrapping"/>
      </w:r>
    </w:p>
    <w:p w:rsidR="00000000" w:rsidDel="00000000" w:rsidP="00000000" w:rsidRDefault="00000000" w:rsidRPr="00000000" w14:paraId="00000028">
      <w:pPr>
        <w:numPr>
          <w:ilvl w:val="2"/>
          <w:numId w:val="4"/>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rtl w:val="0"/>
        </w:rPr>
        <w:t xml:space="preserve">dim_customer</w:t>
      </w:r>
      <w:r w:rsidDel="00000000" w:rsidR="00000000" w:rsidRPr="00000000">
        <w:rPr>
          <w:rFonts w:ascii="Cardo" w:cs="Cardo" w:eastAsia="Cardo" w:hAnsi="Cardo"/>
          <w:sz w:val="24"/>
          <w:szCs w:val="24"/>
          <w:rtl w:val="0"/>
        </w:rPr>
        <w:t xml:space="preserve"> → customer profiles with IDs, gender, age.</w:t>
        <w:br w:type="textWrapping"/>
      </w:r>
    </w:p>
    <w:p w:rsidR="00000000" w:rsidDel="00000000" w:rsidP="00000000" w:rsidRDefault="00000000" w:rsidRPr="00000000" w14:paraId="00000029">
      <w:pPr>
        <w:numPr>
          <w:ilvl w:val="2"/>
          <w:numId w:val="4"/>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rtl w:val="0"/>
        </w:rPr>
        <w:t xml:space="preserve">dim_product</w:t>
      </w:r>
      <w:r w:rsidDel="00000000" w:rsidR="00000000" w:rsidRPr="00000000">
        <w:rPr>
          <w:rFonts w:ascii="Cardo" w:cs="Cardo" w:eastAsia="Cardo" w:hAnsi="Cardo"/>
          <w:sz w:val="24"/>
          <w:szCs w:val="24"/>
          <w:rtl w:val="0"/>
        </w:rPr>
        <w:t xml:space="preserve"> → product categories and identifiers.</w:t>
        <w:br w:type="textWrapping"/>
      </w:r>
    </w:p>
    <w:p w:rsidR="00000000" w:rsidDel="00000000" w:rsidP="00000000" w:rsidRDefault="00000000" w:rsidRPr="00000000" w14:paraId="0000002A">
      <w:pPr>
        <w:numPr>
          <w:ilvl w:val="2"/>
          <w:numId w:val="4"/>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rtl w:val="0"/>
        </w:rPr>
        <w:t xml:space="preserve">dim_date</w:t>
      </w:r>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sz w:val="24"/>
          <w:szCs w:val="24"/>
          <w:rtl w:val="0"/>
        </w:rPr>
        <w:t xml:space="preserve">→ date-related breakdown (year, month, day, quarter, etc.).</w:t>
        <w:br w:type="textWrapping"/>
      </w:r>
    </w:p>
    <w:p w:rsidR="00000000" w:rsidDel="00000000" w:rsidP="00000000" w:rsidRDefault="00000000" w:rsidRPr="00000000" w14:paraId="0000002B">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 Table:</w:t>
        <w:br w:type="textWrapping"/>
      </w:r>
    </w:p>
    <w:p w:rsidR="00000000" w:rsidDel="00000000" w:rsidP="00000000" w:rsidRDefault="00000000" w:rsidRPr="00000000" w14:paraId="0000002C">
      <w:pPr>
        <w:numPr>
          <w:ilvl w:val="2"/>
          <w:numId w:val="4"/>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color w:val="188038"/>
          <w:rtl w:val="0"/>
        </w:rPr>
        <w:t xml:space="preserve">fact_sales</w:t>
      </w:r>
      <w:r w:rsidDel="00000000" w:rsidR="00000000" w:rsidRPr="00000000">
        <w:rPr>
          <w:rFonts w:ascii="Cardo" w:cs="Cardo" w:eastAsia="Cardo" w:hAnsi="Cardo"/>
          <w:sz w:val="24"/>
          <w:szCs w:val="24"/>
          <w:rtl w:val="0"/>
        </w:rPr>
        <w:t xml:space="preserve"> → core transactional data referencing the dimensions.</w:t>
        <w:br w:type="textWrapping"/>
      </w:r>
    </w:p>
    <w:p w:rsidR="00000000" w:rsidDel="00000000" w:rsidP="00000000" w:rsidRDefault="00000000" w:rsidRPr="00000000" w14:paraId="0000002D">
      <w:pPr>
        <w:numPr>
          <w:ilvl w:val="0"/>
          <w:numId w:val="4"/>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Wrote transformed outputs back into </w:t>
      </w:r>
      <w:r w:rsidDel="00000000" w:rsidR="00000000" w:rsidRPr="00000000">
        <w:rPr>
          <w:rFonts w:ascii="Roboto Mono" w:cs="Roboto Mono" w:eastAsia="Roboto Mono" w:hAnsi="Roboto Mono"/>
          <w:color w:val="188038"/>
          <w:rtl w:val="0"/>
        </w:rPr>
        <w:t xml:space="preserve">/curated/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in Parquet format, ensuring efficient query performance in Synapse.</w:t>
        <w:br w:type="textWrapping"/>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pztup6b34mw4" w:id="5"/>
      <w:bookmarkEnd w:id="5"/>
      <w:r w:rsidDel="00000000" w:rsidR="00000000" w:rsidRPr="00000000">
        <w:rPr>
          <w:rFonts w:ascii="Times New Roman" w:cs="Times New Roman" w:eastAsia="Times New Roman" w:hAnsi="Times New Roman"/>
          <w:b w:val="1"/>
          <w:color w:val="000000"/>
          <w:sz w:val="24"/>
          <w:szCs w:val="24"/>
          <w:rtl w:val="0"/>
        </w:rPr>
        <w:t xml:space="preserve">Step 4: Data Loading into Synapse</w:t>
      </w:r>
    </w:p>
    <w:p w:rsidR="00000000" w:rsidDel="00000000" w:rsidP="00000000" w:rsidRDefault="00000000" w:rsidRPr="00000000" w14:paraId="0000002F">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Database Master Key and Database Scoped Credential in Synapse for secure ADLS access.</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an External Data Source pointing to the ADLS curated container.</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Created External File Format (</w:t>
      </w:r>
      <w:r w:rsidDel="00000000" w:rsidR="00000000" w:rsidRPr="00000000">
        <w:rPr>
          <w:rFonts w:ascii="Roboto Mono" w:cs="Roboto Mono" w:eastAsia="Roboto Mono" w:hAnsi="Roboto Mono"/>
          <w:color w:val="188038"/>
          <w:rtl w:val="0"/>
        </w:rPr>
        <w:t xml:space="preserve">ParquetFileFormat</w:t>
      </w:r>
      <w:r w:rsidDel="00000000" w:rsidR="00000000" w:rsidRPr="00000000">
        <w:rPr>
          <w:rFonts w:ascii="Times New Roman" w:cs="Times New Roman" w:eastAsia="Times New Roman" w:hAnsi="Times New Roman"/>
          <w:sz w:val="24"/>
          <w:szCs w:val="24"/>
          <w:rtl w:val="0"/>
        </w:rPr>
        <w:t xml:space="preserve">) to define how Synapse interprets curated Parquet files.</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external tables:</w:t>
        <w:br w:type="textWrapping"/>
      </w:r>
    </w:p>
    <w:p w:rsidR="00000000" w:rsidDel="00000000" w:rsidP="00000000" w:rsidRDefault="00000000" w:rsidRPr="00000000" w14:paraId="00000033">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dbo.dim_customer</w:t>
        <w:br w:type="textWrapping"/>
      </w:r>
    </w:p>
    <w:p w:rsidR="00000000" w:rsidDel="00000000" w:rsidP="00000000" w:rsidRDefault="00000000" w:rsidRPr="00000000" w14:paraId="00000034">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dbo.dim_product</w:t>
        <w:br w:type="textWrapping"/>
      </w:r>
    </w:p>
    <w:p w:rsidR="00000000" w:rsidDel="00000000" w:rsidP="00000000" w:rsidRDefault="00000000" w:rsidRPr="00000000" w14:paraId="00000035">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dbo.dim_date</w:t>
        <w:br w:type="textWrapping"/>
      </w:r>
    </w:p>
    <w:p w:rsidR="00000000" w:rsidDel="00000000" w:rsidP="00000000" w:rsidRDefault="00000000" w:rsidRPr="00000000" w14:paraId="00000036">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dbo.fact_sales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iruj29ai6xw" w:id="6"/>
      <w:bookmarkEnd w:id="6"/>
      <w:r w:rsidDel="00000000" w:rsidR="00000000" w:rsidRPr="00000000">
        <w:rPr>
          <w:rFonts w:ascii="Times New Roman" w:cs="Times New Roman" w:eastAsia="Times New Roman" w:hAnsi="Times New Roman"/>
          <w:b w:val="1"/>
          <w:color w:val="000000"/>
          <w:sz w:val="24"/>
          <w:szCs w:val="24"/>
          <w:rtl w:val="0"/>
        </w:rPr>
        <w:t xml:space="preserve">Step 5: Validation Queries in Synapse</w:t>
      </w:r>
    </w:p>
    <w:p w:rsidR="00000000" w:rsidDel="00000000" w:rsidP="00000000" w:rsidRDefault="00000000" w:rsidRPr="00000000" w14:paraId="0000003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validation queries to ensure correctness and completeness:</w:t>
        <w:br w:type="textWrapping"/>
      </w:r>
    </w:p>
    <w:p w:rsidR="00000000" w:rsidDel="00000000" w:rsidP="00000000" w:rsidRDefault="00000000" w:rsidRPr="00000000" w14:paraId="00000039">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 counts: Verified record counts across fact and dimension tables.</w:t>
        <w:br w:type="textWrapping"/>
      </w:r>
    </w:p>
    <w:p w:rsidR="00000000" w:rsidDel="00000000" w:rsidP="00000000" w:rsidRDefault="00000000" w:rsidRPr="00000000" w14:paraId="0000003A">
      <w:pPr>
        <w:numPr>
          <w:ilvl w:val="1"/>
          <w:numId w:val="6"/>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Referential Integrity: Checked that all foreign keys in </w:t>
      </w:r>
      <w:r w:rsidDel="00000000" w:rsidR="00000000" w:rsidRPr="00000000">
        <w:rPr>
          <w:rFonts w:ascii="Roboto Mono" w:cs="Roboto Mono" w:eastAsia="Roboto Mono" w:hAnsi="Roboto Mono"/>
          <w:color w:val="188038"/>
          <w:rtl w:val="0"/>
        </w:rPr>
        <w:t xml:space="preserve">fact_sales</w:t>
      </w:r>
      <w:r w:rsidDel="00000000" w:rsidR="00000000" w:rsidRPr="00000000">
        <w:rPr>
          <w:rFonts w:ascii="Times New Roman" w:cs="Times New Roman" w:eastAsia="Times New Roman" w:hAnsi="Times New Roman"/>
          <w:sz w:val="24"/>
          <w:szCs w:val="24"/>
          <w:rtl w:val="0"/>
        </w:rPr>
        <w:t xml:space="preserve"> mapped to valid dimension keys (no orphaned IDs).</w:t>
        <w:br w:type="textWrapping"/>
      </w:r>
    </w:p>
    <w:p w:rsidR="00000000" w:rsidDel="00000000" w:rsidP="00000000" w:rsidRDefault="00000000" w:rsidRPr="00000000" w14:paraId="0000003B">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Aggregations:</w:t>
        <w:br w:type="textWrapping"/>
      </w:r>
    </w:p>
    <w:p w:rsidR="00000000" w:rsidDel="00000000" w:rsidP="00000000" w:rsidRDefault="00000000" w:rsidRPr="00000000" w14:paraId="0000003C">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by product category.</w:t>
        <w:br w:type="textWrapping"/>
      </w:r>
    </w:p>
    <w:p w:rsidR="00000000" w:rsidDel="00000000" w:rsidP="00000000" w:rsidRDefault="00000000" w:rsidRPr="00000000" w14:paraId="0000003D">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by gender.</w:t>
        <w:br w:type="textWrapping"/>
      </w:r>
    </w:p>
    <w:p w:rsidR="00000000" w:rsidDel="00000000" w:rsidP="00000000" w:rsidRDefault="00000000" w:rsidRPr="00000000" w14:paraId="0000003E">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and yearly sales trends.</w:t>
        <w:br w:type="textWrapping"/>
      </w:r>
    </w:p>
    <w:p w:rsidR="00000000" w:rsidDel="00000000" w:rsidP="00000000" w:rsidRDefault="00000000" w:rsidRPr="00000000" w14:paraId="0000003F">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of different age groups to total sales.</w:t>
        <w:br w:type="textWrapping"/>
      </w:r>
    </w:p>
    <w:p w:rsidR="00000000" w:rsidDel="00000000" w:rsidP="00000000" w:rsidRDefault="00000000" w:rsidRPr="00000000" w14:paraId="00000040">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10 customers by total spend.</w:t>
        <w:br w:type="textWrapping"/>
      </w:r>
    </w:p>
    <w:p w:rsidR="00000000" w:rsidDel="00000000" w:rsidP="00000000" w:rsidRDefault="00000000" w:rsidRPr="00000000" w14:paraId="00000041">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queries confirmed the curated data aligned with the designed star schema and business expectations.</w:t>
        <w:br w:type="textWrapping"/>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70bp3gf7cth" w:id="7"/>
      <w:bookmarkEnd w:id="7"/>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gq1sg16ond3" w:id="8"/>
      <w:bookmarkEnd w:id="8"/>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yd9n15mleqj" w:id="9"/>
      <w:bookmarkEnd w:id="9"/>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0y75qt5jlol" w:id="10"/>
      <w:bookmarkEnd w:id="10"/>
      <w:r w:rsidDel="00000000" w:rsidR="00000000" w:rsidRPr="00000000">
        <w:rPr>
          <w:rFonts w:ascii="Times New Roman" w:cs="Times New Roman" w:eastAsia="Times New Roman" w:hAnsi="Times New Roman"/>
          <w:b w:val="1"/>
          <w:color w:val="000000"/>
          <w:sz w:val="24"/>
          <w:szCs w:val="24"/>
          <w:rtl w:val="0"/>
        </w:rPr>
        <w:t xml:space="preserve">Step 6: Orchestration &amp; Monitoring (ADF)</w:t>
      </w:r>
    </w:p>
    <w:p w:rsidR="00000000" w:rsidDel="00000000" w:rsidP="00000000" w:rsidRDefault="00000000" w:rsidRPr="00000000" w14:paraId="00000046">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the end-to-end pipeline in ADF:</w:t>
        <w:br w:type="textWrapping"/>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Ingest Raw Data → Copy from source to ADLS raw zone.</w:t>
        <w:br w:type="textWrapping"/>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Transform Data → Databricks notebook cleans and processes data to curated zone.</w:t>
        <w:br w:type="textWrapping"/>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Register Tables in Synapse → Create/refresh external tables.</w:t>
        <w:br w:type="textWrapping"/>
      </w:r>
    </w:p>
    <w:p w:rsidR="00000000" w:rsidDel="00000000" w:rsidP="00000000" w:rsidRDefault="00000000" w:rsidRPr="00000000" w14:paraId="0000004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Validate Outputs → Query to confirm counts and integrity.</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monitoring features:</w:t>
        <w:br w:type="textWrapping"/>
      </w:r>
    </w:p>
    <w:p w:rsidR="00000000" w:rsidDel="00000000" w:rsidP="00000000" w:rsidRDefault="00000000" w:rsidRPr="00000000" w14:paraId="0000004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Enabled pipeline run history and activity logs in ADF.</w:t>
        <w:br w:type="textWrapping"/>
      </w:r>
    </w:p>
    <w:p w:rsidR="00000000" w:rsidDel="00000000" w:rsidP="00000000" w:rsidRDefault="00000000" w:rsidRPr="00000000" w14:paraId="0000004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error handling &amp; retries to ensure reliability.</w:t>
        <w:br w:type="textWrapping"/>
      </w:r>
    </w:p>
    <w:p w:rsidR="00000000" w:rsidDel="00000000" w:rsidP="00000000" w:rsidRDefault="00000000" w:rsidRPr="00000000" w14:paraId="0000004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published all pipelines, ensuring they can run on schedule or be triggered manually for ad-hoc refreshes.</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rFonts w:ascii="Times New Roman" w:cs="Times New Roman" w:eastAsia="Times New Roman" w:hAnsi="Times New Roman"/>
          <w:b w:val="1"/>
          <w:sz w:val="24"/>
          <w:szCs w:val="24"/>
        </w:rPr>
      </w:pPr>
      <w:bookmarkStart w:colFirst="0" w:colLast="0" w:name="_fsnu9dzex0xj" w:id="11"/>
      <w:bookmarkEnd w:id="11"/>
      <w:r w:rsidDel="00000000" w:rsidR="00000000" w:rsidRPr="00000000">
        <w:rPr>
          <w:rFonts w:ascii="Times New Roman" w:cs="Times New Roman" w:eastAsia="Times New Roman" w:hAnsi="Times New Roman"/>
          <w:b w:val="1"/>
          <w:sz w:val="24"/>
          <w:szCs w:val="24"/>
          <w:rtl w:val="0"/>
        </w:rPr>
        <w:t xml:space="preserve">3. CHALLENGES &amp; RESOLUTIONS</w:t>
      </w:r>
    </w:p>
    <w:p w:rsidR="00000000" w:rsidDel="00000000" w:rsidP="00000000" w:rsidRDefault="00000000" w:rsidRPr="00000000" w14:paraId="0000005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4155"/>
        <w:gridCol w:w="4095"/>
        <w:tblGridChange w:id="0">
          <w:tblGrid>
            <w:gridCol w:w="1110"/>
            <w:gridCol w:w="4155"/>
            <w:gridCol w:w="40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Resolution</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Synapse connection errors – Linked service could not authenticate using default server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that Synapse serverless endpoints require the </w:t>
            </w:r>
            <w:r w:rsidDel="00000000" w:rsidR="00000000" w:rsidRPr="00000000">
              <w:rPr>
                <w:rFonts w:ascii="Roboto Mono" w:cs="Roboto Mono" w:eastAsia="Roboto Mono" w:hAnsi="Roboto Mono"/>
                <w:color w:val="188038"/>
                <w:rtl w:val="0"/>
              </w:rPr>
              <w:t xml:space="preserve">-ondemand</w:t>
            </w:r>
            <w:r w:rsidDel="00000000" w:rsidR="00000000" w:rsidRPr="00000000">
              <w:rPr>
                <w:rFonts w:ascii="Times New Roman" w:cs="Times New Roman" w:eastAsia="Times New Roman" w:hAnsi="Times New Roman"/>
                <w:sz w:val="24"/>
                <w:szCs w:val="24"/>
                <w:rtl w:val="0"/>
              </w:rPr>
              <w:t xml:space="preserve"> suffix. Updated linked service configuration and reset SQL admin password.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script execution failure (</w:t>
            </w:r>
            <w:r w:rsidDel="00000000" w:rsidR="00000000" w:rsidRPr="00000000">
              <w:rPr>
                <w:rFonts w:ascii="Roboto Mono" w:cs="Roboto Mono" w:eastAsia="Roboto Mono" w:hAnsi="Roboto Mono"/>
                <w:color w:val="188038"/>
                <w:rtl w:val="0"/>
              </w:rPr>
              <w:t xml:space="preserve">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keyword issue)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unsupported </w:t>
            </w:r>
            <w:r w:rsidDel="00000000" w:rsidR="00000000" w:rsidRPr="00000000">
              <w:rPr>
                <w:rFonts w:ascii="Roboto Mono" w:cs="Roboto Mono" w:eastAsia="Roboto Mono" w:hAnsi="Roboto Mono"/>
                <w:color w:val="188038"/>
                <w:rtl w:val="0"/>
              </w:rPr>
              <w:t xml:space="preserve">GO</w:t>
            </w:r>
            <w:r w:rsidDel="00000000" w:rsidR="00000000" w:rsidRPr="00000000">
              <w:rPr>
                <w:rFonts w:ascii="Times New Roman" w:cs="Times New Roman" w:eastAsia="Times New Roman" w:hAnsi="Times New Roman"/>
                <w:sz w:val="24"/>
                <w:szCs w:val="24"/>
                <w:rtl w:val="0"/>
              </w:rPr>
              <w:t xml:space="preserve"> statements in Synapse SQL script, re-ran successfully.</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tables not accessible (“directory cannot be listed”)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Regenerated SAS token with correct Blob service + Read/List permissions only. Updated both ADF and Synapse credentials.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 lock (unable to drop) – BlobSAS credential could not be dropped as it was tied to an active data source.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Dropped External Data Source first, then re-created both Data Source and Credential with a new SAS token.</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mismatches – Product_ID datatype mismatch caused fact-product join errors.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schema in Databricks transformations and redefined external tables with consistent data types.</w:t>
            </w:r>
          </w:p>
        </w:tc>
      </w:tr>
    </w:tbl>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rFonts w:ascii="Times New Roman" w:cs="Times New Roman" w:eastAsia="Times New Roman" w:hAnsi="Times New Roman"/>
          <w:b w:val="1"/>
          <w:sz w:val="24"/>
          <w:szCs w:val="24"/>
        </w:rPr>
      </w:pPr>
      <w:bookmarkStart w:colFirst="0" w:colLast="0" w:name="_oi4sq5804fsg" w:id="12"/>
      <w:bookmarkEnd w:id="12"/>
      <w:r w:rsidDel="00000000" w:rsidR="00000000" w:rsidRPr="00000000">
        <w:rPr>
          <w:rFonts w:ascii="Times New Roman" w:cs="Times New Roman" w:eastAsia="Times New Roman" w:hAnsi="Times New Roman"/>
          <w:b w:val="1"/>
          <w:sz w:val="24"/>
          <w:szCs w:val="24"/>
          <w:rtl w:val="0"/>
        </w:rPr>
        <w:t xml:space="preserve">4. SUMMARY OF EXECUTION</w:t>
      </w:r>
    </w:p>
    <w:p w:rsidR="00000000" w:rsidDel="00000000" w:rsidP="00000000" w:rsidRDefault="00000000" w:rsidRPr="00000000" w14:paraId="0000006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implemented a robust ETL pipeline using Azure services.</w:t>
        <w:br w:type="textWrapping"/>
      </w:r>
    </w:p>
    <w:p w:rsidR="00000000" w:rsidDel="00000000" w:rsidP="00000000" w:rsidRDefault="00000000" w:rsidRPr="00000000" w14:paraId="0000006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Data now flows seamlessly from:</w:t>
        <w:br w:type="textWrapping"/>
        <w:t xml:space="preserve"> Raw ingestion → Curated transformation → Synapse star schema → Validation queries → BI readiness.</w:t>
        <w:br w:type="textWrapping"/>
      </w:r>
    </w:p>
    <w:p w:rsidR="00000000" w:rsidDel="00000000" w:rsidP="00000000" w:rsidRDefault="00000000" w:rsidRPr="00000000" w14:paraId="0000006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functional requirements (FR1–FR6) and non-functional requirements (NFR1–NFR5) were fulfilled.</w:t>
        <w:br w:type="textWrapping"/>
      </w:r>
    </w:p>
    <w:p w:rsidR="00000000" w:rsidDel="00000000" w:rsidP="00000000" w:rsidRDefault="00000000" w:rsidRPr="00000000" w14:paraId="00000069">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scalable, secure, and reliable, and fully ready for integration with BI tools like Power BI for dashboards and analytics.</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