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firstLine="0"/>
        <w:jc w:val="center"/>
      </w:pPr>
      <w:r>
        <w:rPr>
          <w:rFonts w:ascii="Times New Roman" w:hAnsi="Times New Roman"/>
          <w:b/>
          <w:i w:val="0"/>
          <w:color w:val="646464"/>
          <w:sz w:val="17"/>
        </w:rPr>
        <w:t>IEEE TRANSACTIONS ON WIRELESS COMMUNICATIONS / CONFERENCE PROCEEDINGS</w:t>
      </w:r>
    </w:p>
    <w:p>
      <w:pPr>
        <w:spacing w:before="80" w:after="120"/>
        <w:ind w:firstLine="0"/>
        <w:jc w:val="center"/>
      </w:pPr>
      <w:r>
        <w:rPr>
          <w:rFonts w:ascii="Times New Roman" w:hAnsi="Times New Roman"/>
          <w:b/>
          <w:i w:val="0"/>
          <w:color w:val="000000"/>
          <w:sz w:val="34"/>
        </w:rPr>
        <w:t>Edge-Efficient Deep Joint Source-Channel Coding with Side Information for Distributed Stereo Vision</w:t>
      </w:r>
    </w:p>
    <w:tbl>
      <w:tblPr>
        <w:tblW w:type="auto" w:w="0"/>
        <w:jc w:val="center"/>
        <w:tblLayout w:type="fixed"/>
        <w:tblLook w:firstColumn="1" w:firstRow="1" w:lastColumn="0" w:lastRow="0" w:noHBand="0" w:noVBand="1" w:val="04A0"/>
      </w:tblPr>
      <w:tblGrid>
        <w:gridCol w:w="3365"/>
        <w:gridCol w:w="3365"/>
        <w:gridCol w:w="3365"/>
      </w:tblGrid>
      <w:tr>
        <w:tc>
          <w:tcPr>
            <w:tcW w:type="dxa" w:w="3355"/>
            <w:tcBorders>
              <w:top w:val="none"/>
              <w:left w:val="none"/>
              <w:bottom w:val="none"/>
              <w:right w:val="none"/>
            </w:tcBorders>
          </w:tcPr>
          <w:p>
            <w:pPr>
              <w:spacing w:before="0" w:after="40"/>
              <w:ind w:firstLine="0"/>
              <w:jc w:val="center"/>
            </w:pPr>
            <w:r>
              <w:rPr>
                <w:rFonts w:ascii="Times New Roman" w:hAnsi="Times New Roman"/>
                <w:b/>
                <w:i w:val="0"/>
                <w:color w:val="000000"/>
                <w:sz w:val="19"/>
              </w:rPr>
              <w:t>Bavya Shree S</w:t>
              <w:br/>
            </w:r>
            <w:r>
              <w:rPr>
                <w:rFonts w:ascii="Times New Roman" w:hAnsi="Times New Roman"/>
                <w:b w:val="0"/>
                <w:i/>
                <w:color w:val="000000"/>
                <w:sz w:val="17"/>
              </w:rPr>
              <w:t>Dept. of Electronics &amp; Communication</w:t>
              <w:br/>
            </w:r>
            <w:r>
              <w:rPr>
                <w:rFonts w:ascii="Times New Roman" w:hAnsi="Times New Roman"/>
                <w:b w:val="0"/>
                <w:i/>
                <w:color w:val="000000"/>
                <w:sz w:val="17"/>
              </w:rPr>
              <w:t>DCS Research Project Group</w:t>
              <w:br/>
            </w:r>
            <w:r>
              <w:rPr>
                <w:rFonts w:ascii="Times New Roman" w:hAnsi="Times New Roman"/>
                <w:b w:val="0"/>
                <w:i w:val="0"/>
                <w:color w:val="000000"/>
                <w:sz w:val="17"/>
              </w:rPr>
              <w:t>Bengaluru, India</w:t>
              <w:br/>
            </w:r>
            <w:r>
              <w:rPr>
                <w:rFonts w:ascii="Times New Roman" w:hAnsi="Times New Roman"/>
                <w:b w:val="0"/>
                <w:i w:val="0"/>
                <w:color w:val="000000"/>
                <w:sz w:val="17"/>
              </w:rPr>
              <w:t>bavyashree@domain.edu</w:t>
            </w:r>
          </w:p>
        </w:tc>
        <w:tc>
          <w:tcPr>
            <w:tcW w:type="dxa" w:w="3355"/>
            <w:tcBorders>
              <w:top w:val="none"/>
              <w:left w:val="none"/>
              <w:bottom w:val="none"/>
              <w:right w:val="none"/>
            </w:tcBorders>
          </w:tcPr>
          <w:p>
            <w:pPr>
              <w:spacing w:before="0" w:after="40"/>
              <w:ind w:firstLine="0"/>
              <w:jc w:val="center"/>
            </w:pPr>
            <w:r>
              <w:rPr>
                <w:rFonts w:ascii="Times New Roman" w:hAnsi="Times New Roman"/>
                <w:b/>
                <w:i w:val="0"/>
                <w:color w:val="000000"/>
                <w:sz w:val="19"/>
              </w:rPr>
              <w:t>Project Co-Author</w:t>
              <w:br/>
            </w:r>
            <w:r>
              <w:rPr>
                <w:rFonts w:ascii="Times New Roman" w:hAnsi="Times New Roman"/>
                <w:b w:val="0"/>
                <w:i/>
                <w:color w:val="000000"/>
                <w:sz w:val="17"/>
              </w:rPr>
              <w:t>Dept. of Electronics &amp; Communication</w:t>
              <w:br/>
            </w:r>
            <w:r>
              <w:rPr>
                <w:rFonts w:ascii="Times New Roman" w:hAnsi="Times New Roman"/>
                <w:b w:val="0"/>
                <w:i/>
                <w:color w:val="000000"/>
                <w:sz w:val="17"/>
              </w:rPr>
              <w:t>DCS Research Project Group</w:t>
              <w:br/>
            </w:r>
            <w:r>
              <w:rPr>
                <w:rFonts w:ascii="Times New Roman" w:hAnsi="Times New Roman"/>
                <w:b w:val="0"/>
                <w:i w:val="0"/>
                <w:color w:val="000000"/>
                <w:sz w:val="17"/>
              </w:rPr>
              <w:t>Bengaluru, India</w:t>
              <w:br/>
            </w:r>
            <w:r>
              <w:rPr>
                <w:rFonts w:ascii="Times New Roman" w:hAnsi="Times New Roman"/>
                <w:b w:val="0"/>
                <w:i w:val="0"/>
                <w:color w:val="000000"/>
                <w:sz w:val="17"/>
              </w:rPr>
              <w:t>coauthor@domain.edu</w:t>
            </w:r>
          </w:p>
        </w:tc>
        <w:tc>
          <w:tcPr>
            <w:tcW w:type="dxa" w:w="3355"/>
            <w:tcBorders>
              <w:top w:val="none"/>
              <w:left w:val="none"/>
              <w:bottom w:val="none"/>
              <w:right w:val="none"/>
            </w:tcBorders>
          </w:tcPr>
          <w:p>
            <w:pPr>
              <w:spacing w:before="0" w:after="40"/>
              <w:ind w:firstLine="0"/>
              <w:jc w:val="center"/>
            </w:pPr>
            <w:r>
              <w:rPr>
                <w:rFonts w:ascii="Times New Roman" w:hAnsi="Times New Roman"/>
                <w:b/>
                <w:i w:val="0"/>
                <w:color w:val="000000"/>
                <w:sz w:val="19"/>
              </w:rPr>
              <w:t>Faculty Guide / Advisor</w:t>
              <w:br/>
            </w:r>
            <w:r>
              <w:rPr>
                <w:rFonts w:ascii="Times New Roman" w:hAnsi="Times New Roman"/>
                <w:b w:val="0"/>
                <w:i/>
                <w:color w:val="000000"/>
                <w:sz w:val="17"/>
              </w:rPr>
              <w:t>Dept. of Electronics &amp; Communication</w:t>
              <w:br/>
            </w:r>
            <w:r>
              <w:rPr>
                <w:rFonts w:ascii="Times New Roman" w:hAnsi="Times New Roman"/>
                <w:b w:val="0"/>
                <w:i/>
                <w:color w:val="000000"/>
                <w:sz w:val="17"/>
              </w:rPr>
              <w:t>DCS Research Project Group</w:t>
              <w:br/>
            </w:r>
            <w:r>
              <w:rPr>
                <w:rFonts w:ascii="Times New Roman" w:hAnsi="Times New Roman"/>
                <w:b w:val="0"/>
                <w:i w:val="0"/>
                <w:color w:val="000000"/>
                <w:sz w:val="17"/>
              </w:rPr>
              <w:t>Bengaluru, India</w:t>
              <w:br/>
            </w:r>
            <w:r>
              <w:rPr>
                <w:rFonts w:ascii="Times New Roman" w:hAnsi="Times New Roman"/>
                <w:b w:val="0"/>
                <w:i w:val="0"/>
                <w:color w:val="000000"/>
                <w:sz w:val="17"/>
              </w:rPr>
              <w:t>advisor@domain.edu</w:t>
            </w:r>
          </w:p>
        </w:tc>
      </w:tr>
    </w:tbl>
    <w:p>
      <w:pPr>
        <w:spacing w:before="80" w:after="80"/>
        <w:ind w:firstLine="0"/>
      </w:pPr>
    </w:p>
    <w:p>
      <w:pPr>
        <w:spacing w:before="40" w:after="60" w:line="240" w:lineRule="auto"/>
        <w:ind w:firstLine="0"/>
        <w:jc w:val="both"/>
      </w:pPr>
      <w:r>
        <w:rPr>
          <w:rFonts w:ascii="Times New Roman" w:hAnsi="Times New Roman"/>
          <w:b/>
          <w:i w:val="0"/>
          <w:color w:val="000000"/>
          <w:sz w:val="18"/>
        </w:rPr>
        <w:t>Abstract---</w:t>
      </w:r>
      <w:r>
        <w:rPr>
          <w:rFonts w:ascii="Times New Roman" w:hAnsi="Times New Roman"/>
          <w:b/>
          <w:i w:val="0"/>
          <w:color w:val="000000"/>
          <w:sz w:val="18"/>
        </w:rPr>
        <w:t>Transmission of bandwidth-intensive visual data across wireless fading channels poses fundamental challenges for distributed autonomous perception systems. While conventional digital transmission cascades separate source and channel coding--rendering it susceptible to catastrophic cliff-edge collapse under unexpected SNR drops--emerging Deep Joint Source-Channel Coding (DeepJSCC) paradigms overcome these bottlenecks through end-to-end differentiable mappings. However, distributed multi-sensor platforms capture correlated spatial scenes whose mutual redundancy remains unexploited in standard point-to-point DeepJSCC schemes. In this paper, we propose a lightweight, edge-efficient DeepJSCC framework with Wyner-Ziv correlated side information (DeepJSCC-WZ) augmented by a novel Content-Aware Multi-Scale Reliability Gating (SARG) mechanism tailored for resource-constrained distributed stereo perception. The architecture incorporates a compact analysis transform, a bounded channel modulation layer under strict average power constraints, dynamic Channel State Information (CSI) attention conditioning, and multi-scale reliability gates initialized as exact identity operators. Rigorous evaluations over 48 continuous training epochs over complex Additive White Gaussian Noise (AWGN) channels on the authentic KITTI stereo benchmark demonstrate that the proposed DeepJSCC-WZ model achieves a +2.87 dB average improvement in Peak Signal-to-Noise Ratio (PSNR: 21.81 dB vs. 18.94 dB), an absolute gain of +0.2221 (+42.2% relative improvement in SSIM: 0.7489 vs. 0.5268), a +0.1410 gain in Multi-Scale SSIM (0.9045 vs. 0.7635), and a 40.4% reduction in perceptual distortion (LPIPS: 0.3288 vs. 0.5513) relative to point-to-point DeepJSCC baselines at a bandwidth compression ratio of rho = 1/16. Furthermore, fine-tuned paired ablations over 20 noise draws per image per SNR confirm statistically significant gains (t &gt; 2.8) across diverse channel regimes.</w:t>
      </w:r>
    </w:p>
    <w:p>
      <w:pPr>
        <w:spacing w:before="40" w:after="160" w:line="240" w:lineRule="auto"/>
        <w:ind w:firstLine="0"/>
        <w:jc w:val="both"/>
      </w:pPr>
      <w:r>
        <w:rPr>
          <w:rFonts w:ascii="Times New Roman" w:hAnsi="Times New Roman"/>
          <w:b/>
          <w:i/>
          <w:color w:val="000000"/>
          <w:sz w:val="18"/>
        </w:rPr>
        <w:t>Keywords---</w:t>
      </w:r>
      <w:r>
        <w:rPr>
          <w:rFonts w:ascii="Times New Roman" w:hAnsi="Times New Roman"/>
          <w:b w:val="0"/>
          <w:i/>
          <w:color w:val="000000"/>
          <w:sz w:val="18"/>
        </w:rPr>
        <w:t>Deep Joint Source-Channel Coding (DeepJSCC), Wyner-Ziv Information Theory, Distributed Source Coding, Multi-Scale Reliability Gating, Stereo Vision, Generalized Divisive Normalization, AWGN Channel, Edge Intelligence.</w:t>
      </w:r>
    </w:p>
    <w:p>
      <w:pPr>
        <w:sectPr>
          <w:pgSz w:w="11909" w:h="16834"/>
          <w:pgMar w:top="1080" w:right="907" w:bottom="1440" w:left="907" w:header="720" w:footer="720" w:gutter="0"/>
          <w:cols w:space="720"/>
          <w:docGrid w:linePitch="360"/>
        </w:sectPr>
      </w:pPr>
    </w:p>
    <w:p>
      <w:pPr>
        <w:keepNext/>
        <w:spacing w:before="120" w:after="40"/>
        <w:ind w:firstLine="0"/>
        <w:jc w:val="center"/>
      </w:pPr>
      <w:r>
        <w:rPr>
          <w:rFonts w:ascii="Times New Roman" w:hAnsi="Times New Roman"/>
          <w:b/>
          <w:i w:val="0"/>
          <w:color w:val="000000"/>
          <w:sz w:val="20"/>
        </w:rPr>
        <w:t>I. INTRODUCTION</w:t>
      </w:r>
    </w:p>
    <w:p>
      <w:pPr>
        <w:spacing w:before="0" w:after="40" w:line="240" w:lineRule="auto"/>
        <w:ind w:firstLine="216"/>
        <w:jc w:val="both"/>
      </w:pPr>
      <w:r>
        <w:rPr>
          <w:rFonts w:ascii="Times New Roman" w:hAnsi="Times New Roman"/>
          <w:b w:val="0"/>
          <w:i w:val="0"/>
          <w:color w:val="000000"/>
          <w:sz w:val="20"/>
        </w:rPr>
        <w:t>Modern autonomous systems--ranging from automated driving platforms to cooperative robotic fleets--depend heavily on multi-perspective optical sensing to understand 3D environments. Stereo visual systems provide indispensable depth perception by capturing synchronized imagery from horizontally displaced camera viewpoints. In cooperative distributed scenarios, visual information collected by one sensing node must be transmitted over wireless communication links to a destination node that already possesses a correlated viewpoint [1], [2].</w:t>
      </w:r>
    </w:p>
    <w:p>
      <w:pPr>
        <w:spacing w:before="0" w:after="40" w:line="240" w:lineRule="auto"/>
        <w:ind w:firstLine="216"/>
        <w:jc w:val="both"/>
      </w:pPr>
      <w:r>
        <w:rPr>
          <w:rFonts w:ascii="Times New Roman" w:hAnsi="Times New Roman"/>
          <w:b w:val="0"/>
          <w:i w:val="0"/>
          <w:color w:val="000000"/>
          <w:sz w:val="20"/>
        </w:rPr>
        <w:t>However, transmitting high-resolution uncompressed video across wireless channels introduces extreme bandwidth strain. Traditional digital communication architectures strictly adhere to Shannon's separation theorem [3], which guarantees optimality only at infinite blocklength. A modular pipeline cascades image compression (JPEG/BPG) with channel coding (LDPC/Polar). Under latency-critical edge transmission, finite blocklength constraints invalidate separation guarantees. When channel SNR drops below the forward error correction threshold, digital systems suffer from the catastrophic "cliff effect"--causing complete connection collapse.</w:t>
      </w:r>
    </w:p>
    <w:p>
      <w:pPr>
        <w:spacing w:before="0" w:after="40" w:line="240" w:lineRule="auto"/>
        <w:ind w:firstLine="216"/>
        <w:jc w:val="both"/>
      </w:pPr>
      <w:r>
        <w:rPr>
          <w:rFonts w:ascii="Times New Roman" w:hAnsi="Times New Roman"/>
          <w:b w:val="0"/>
          <w:i w:val="0"/>
          <w:color w:val="000000"/>
          <w:sz w:val="20"/>
        </w:rPr>
        <w:t>To resolve the cliff effect, Deep Joint Source-Channel Coding (DeepJSCC) maps continuous source pixels directly to continuous channel modulation symbols through non-linear neural networks [4], [5], achieving graceful degradation. In distributed multi-sensor setups, the physical scene exhibits substantial mutual information with correlated visual observations already present at the receiver. The theoretical foundation is established by the Slepian-Wolf theorem [6] and the Wyner-Ziv theorem [7]. Wyner and Ziv proved that when correlated side information is available exclusively at the receiver, the theoretical rate-distortion function R_WZ(D) incurs zero rate penalty compared to joint encoder-decoder availability for Gaussian sources under squared-error distortion.</w:t>
      </w:r>
    </w:p>
    <w:p>
      <w:pPr>
        <w:spacing w:before="0" w:after="40" w:line="240" w:lineRule="auto"/>
        <w:ind w:firstLine="216"/>
        <w:jc w:val="both"/>
      </w:pPr>
      <w:r>
        <w:rPr>
          <w:rFonts w:ascii="Times New Roman" w:hAnsi="Times New Roman"/>
          <w:b w:val="0"/>
          <w:i w:val="0"/>
          <w:color w:val="000000"/>
          <w:sz w:val="20"/>
        </w:rPr>
        <w:t>This paper introduces a lightweight, edge-efficient DeepJSCC-WZ framework specifically engineered for distributed stereo perception. The core technical contributions of this work are summarized as follows:</w:t>
      </w:r>
    </w:p>
    <w:p>
      <w:pPr>
        <w:spacing w:before="0" w:after="40" w:line="240" w:lineRule="auto"/>
        <w:ind w:firstLine="115"/>
        <w:jc w:val="both"/>
      </w:pPr>
      <w:r>
        <w:rPr>
          <w:rFonts w:ascii="Times New Roman" w:hAnsi="Times New Roman"/>
          <w:b w:val="0"/>
          <w:i w:val="0"/>
          <w:color w:val="000000"/>
          <w:sz w:val="20"/>
        </w:rPr>
        <w:t>[bullet] We design an end-to-end differentiable DeepJSCC-WZ architecture that integrates an Attention Feature (AF) Channel Conditioning module and a multi-scale decoder fusion mechanism, aligning decoder side information without auxiliary optical flow networks.</w:t>
      </w:r>
    </w:p>
    <w:p>
      <w:pPr>
        <w:spacing w:before="0" w:after="40" w:line="240" w:lineRule="auto"/>
        <w:ind w:firstLine="115"/>
        <w:jc w:val="both"/>
      </w:pPr>
      <w:r>
        <w:rPr>
          <w:rFonts w:ascii="Times New Roman" w:hAnsi="Times New Roman"/>
          <w:b w:val="0"/>
          <w:i w:val="0"/>
          <w:color w:val="000000"/>
          <w:sz w:val="20"/>
        </w:rPr>
        <w:t>[bullet] We introduce a Content-Aware Multi-Scale Reliability Gating (SARG) module that adaptively balances trust between transmitted noisy wireless representations and local stereo side features depending on instantaneous channel SNR and pooled feature semantics.</w:t>
      </w:r>
    </w:p>
    <w:p>
      <w:pPr>
        <w:spacing w:before="0" w:after="40" w:line="240" w:lineRule="auto"/>
        <w:ind w:firstLine="115"/>
        <w:jc w:val="both"/>
      </w:pPr>
      <w:r>
        <w:rPr>
          <w:rFonts w:ascii="Times New Roman" w:hAnsi="Times New Roman"/>
          <w:b w:val="0"/>
          <w:i w:val="0"/>
          <w:color w:val="000000"/>
          <w:sz w:val="20"/>
        </w:rPr>
        <w:t>[bullet] We introduce a native tensor formulation of Generalized Divisive Normalization (GDN) that ensures numerical stability without non-standard external CUDA dependencies.</w:t>
      </w:r>
    </w:p>
    <w:p>
      <w:pPr>
        <w:spacing w:before="0" w:after="40" w:line="240" w:lineRule="auto"/>
        <w:ind w:firstLine="115"/>
        <w:jc w:val="both"/>
      </w:pPr>
      <w:r>
        <w:rPr>
          <w:rFonts w:ascii="Times New Roman" w:hAnsi="Times New Roman"/>
          <w:b w:val="0"/>
          <w:i w:val="0"/>
          <w:color w:val="000000"/>
          <w:sz w:val="20"/>
        </w:rPr>
        <w:t>[bullet] We conduct extensive empirical training over 48 continuous epochs on the authentic KITTI benchmark, demonstrating an average +2.87 dB PSNR gain (21.81 dB vs. 18.94 dB), an absolute gain of +0.2221 (+42.2% relative improvement in SSIM: 0.7489 vs. 0.5268), a +0.1410 gain in MS-SSIM (0.9045 vs. 0.7635), and a 40.4% perceptual distortion reduction (LPIPS: 0.3288 vs. 0.5513).</w:t>
      </w:r>
    </w:p>
    <w:p>
      <w:pPr>
        <w:keepNext/>
        <w:spacing w:before="120" w:after="40"/>
        <w:ind w:firstLine="0"/>
        <w:jc w:val="center"/>
      </w:pPr>
      <w:r>
        <w:rPr>
          <w:rFonts w:ascii="Times New Roman" w:hAnsi="Times New Roman"/>
          <w:b/>
          <w:i w:val="0"/>
          <w:color w:val="000000"/>
          <w:sz w:val="20"/>
        </w:rPr>
        <w:t>II. SYSTEM MODEL AND THEORETICAL FORMULATION</w:t>
      </w:r>
    </w:p>
    <w:p>
      <w:pPr>
        <w:keepNext/>
        <w:spacing w:before="80" w:after="40"/>
        <w:ind w:firstLine="0"/>
        <w:jc w:val="left"/>
      </w:pPr>
      <w:r>
        <w:rPr>
          <w:rFonts w:ascii="Times New Roman" w:hAnsi="Times New Roman"/>
          <w:b/>
          <w:i/>
          <w:color w:val="000000"/>
          <w:sz w:val="19"/>
        </w:rPr>
        <w:t>A. Distributed Joint Source-Channel Coding Formulation</w:t>
      </w:r>
    </w:p>
    <w:p>
      <w:pPr>
        <w:spacing w:before="0" w:after="40" w:line="240" w:lineRule="auto"/>
        <w:ind w:firstLine="216"/>
        <w:jc w:val="both"/>
      </w:pPr>
      <w:r>
        <w:rPr>
          <w:rFonts w:ascii="Times New Roman" w:hAnsi="Times New Roman"/>
          <w:b w:val="0"/>
          <w:i w:val="0"/>
          <w:color w:val="000000"/>
          <w:sz w:val="20"/>
        </w:rPr>
        <w:t>Consider a distributed visual perception scenario consisting of a transmitting node (left stereo camera) and a destination receiver possessing correlated side information (right stereo camera). Let x in R^(C x H x W) denote the source image observed at the transmitter, where C = 3 and n = C . H . W = 24,576 real source dimensions for an input resolution of 64 x 128 pixels. Concurrently, let x_s in R^(C x H x W) represent the correlated side information available strictly at the decoder.</w:t>
      </w:r>
    </w:p>
    <w:p>
      <w:pPr>
        <w:spacing w:before="0" w:after="40" w:line="240" w:lineRule="auto"/>
        <w:ind w:firstLine="216"/>
        <w:jc w:val="both"/>
      </w:pPr>
      <w:r>
        <w:rPr>
          <w:rFonts w:ascii="Times New Roman" w:hAnsi="Times New Roman"/>
          <w:b w:val="0"/>
          <w:i w:val="0"/>
          <w:color w:val="000000"/>
          <w:sz w:val="20"/>
        </w:rPr>
        <w:t>The source image x is mapped by an edge-efficient parameterized neural encoder g_a(x; theta_e) into a latent channel symbol representation with C_out = 96 real channels at spatial dimensions (H/16, W/16) = (4, 8), yielding 3,072 real values. These are grouped into k = 1,536 complex channel symbols. The channel bandwidth ratio rho is formally defined as:</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rho = k / n = 1536 / 24576 = 1 / 16</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(1)</w:t>
            </w:r>
          </w:p>
        </w:tc>
      </w:tr>
    </w:tbl>
    <w:p>
      <w:pPr>
        <w:spacing w:before="0" w:after="40" w:line="240" w:lineRule="auto"/>
        <w:ind w:firstLine="216"/>
        <w:jc w:val="both"/>
      </w:pPr>
      <w:r>
        <w:rPr>
          <w:rFonts w:ascii="Times New Roman" w:hAnsi="Times New Roman"/>
          <w:b w:val="0"/>
          <w:i w:val="0"/>
          <w:color w:val="000000"/>
          <w:sz w:val="20"/>
        </w:rPr>
        <w:t>The channel symbol vector s is normalized across the k-dimensional symbol block to satisfy an average unit power constraint:</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s = sqrt(k) . z / ||z||_2,    (1/k) ||s||_2^2 &lt;= 1.0</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(2)</w:t>
            </w:r>
          </w:p>
        </w:tc>
      </w:tr>
    </w:tbl>
    <w:p>
      <w:pPr>
        <w:keepNext/>
        <w:spacing w:before="80" w:after="40"/>
        <w:ind w:firstLine="0"/>
        <w:jc w:val="left"/>
      </w:pPr>
      <w:r>
        <w:rPr>
          <w:rFonts w:ascii="Times New Roman" w:hAnsi="Times New Roman"/>
          <w:b/>
          <w:i/>
          <w:color w:val="000000"/>
          <w:sz w:val="19"/>
        </w:rPr>
        <w:t>B. Wireless Channel Model</w:t>
      </w:r>
    </w:p>
    <w:p>
      <w:pPr>
        <w:spacing w:before="0" w:after="40" w:line="240" w:lineRule="auto"/>
        <w:ind w:firstLine="216"/>
        <w:jc w:val="both"/>
      </w:pPr>
      <w:r>
        <w:rPr>
          <w:rFonts w:ascii="Times New Roman" w:hAnsi="Times New Roman"/>
          <w:b w:val="0"/>
          <w:i w:val="0"/>
          <w:color w:val="000000"/>
          <w:sz w:val="20"/>
        </w:rPr>
        <w:t>The channel modulation symbols traverse a complex Additive White Gaussian Noise (AWGN) channel formulated as:</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y = s + n_c,    n_c ~ CN(0, sigma^2 . I_k)</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(3)</w:t>
            </w:r>
          </w:p>
        </w:tc>
      </w:tr>
    </w:tbl>
    <w:p>
      <w:pPr>
        <w:spacing w:before="0" w:after="40" w:line="240" w:lineRule="auto"/>
        <w:ind w:firstLine="216"/>
        <w:jc w:val="both"/>
      </w:pPr>
      <w:r>
        <w:rPr>
          <w:rFonts w:ascii="Times New Roman" w:hAnsi="Times New Roman"/>
          <w:b w:val="0"/>
          <w:i w:val="0"/>
          <w:color w:val="000000"/>
          <w:sz w:val="20"/>
        </w:rPr>
        <w:t>where n_c represents circularly symmetric complex Gaussian channel noise with zero mean and variance sigma^2 = 10^(-SNR/10).</w:t>
      </w:r>
    </w:p>
    <w:p>
      <w:pPr>
        <w:keepNext/>
        <w:spacing w:before="120" w:after="40"/>
        <w:ind w:firstLine="0"/>
        <w:jc w:val="center"/>
      </w:pPr>
      <w:r>
        <w:rPr>
          <w:rFonts w:ascii="Times New Roman" w:hAnsi="Times New Roman"/>
          <w:b/>
          <w:i w:val="0"/>
          <w:color w:val="000000"/>
          <w:sz w:val="20"/>
        </w:rPr>
        <w:t>III. PROPOSED ARCHITECTURE AND RELIABILITY GATING</w:t>
      </w:r>
    </w:p>
    <w:p>
      <w:pPr>
        <w:keepNext/>
        <w:spacing w:before="80" w:after="40"/>
        <w:ind w:firstLine="0"/>
        <w:jc w:val="left"/>
      </w:pPr>
      <w:r>
        <w:rPr>
          <w:rFonts w:ascii="Times New Roman" w:hAnsi="Times New Roman"/>
          <w:b/>
          <w:i/>
          <w:color w:val="000000"/>
          <w:sz w:val="19"/>
        </w:rPr>
        <w:t>A. Multi-Scale Side Information Feature Extraction</w:t>
      </w:r>
    </w:p>
    <w:p>
      <w:pPr>
        <w:spacing w:before="0" w:after="40" w:line="240" w:lineRule="auto"/>
        <w:ind w:firstLine="216"/>
        <w:jc w:val="both"/>
      </w:pPr>
      <w:r>
        <w:rPr>
          <w:rFonts w:ascii="Times New Roman" w:hAnsi="Times New Roman"/>
          <w:b w:val="0"/>
          <w:i w:val="0"/>
          <w:color w:val="000000"/>
          <w:sz w:val="20"/>
        </w:rPr>
        <w:t>To exploit decoder side information without explicit pixel warping, the receiver incorporates a dedicated side encoder g_a2 that extracts a 5-level spatial feature pyramid s_0, ..., s_4 directly from x_s at matching resolutions (1/1, 1/2, 1/4, 1/8, 1/16). The convolutional receptive fields at deep scales span horizontal epipolar disparity natively.</w:t>
      </w:r>
    </w:p>
    <w:p>
      <w:pPr>
        <w:keepNext/>
        <w:spacing w:before="80" w:after="40"/>
        <w:ind w:firstLine="0"/>
        <w:jc w:val="left"/>
      </w:pPr>
      <w:r>
        <w:rPr>
          <w:rFonts w:ascii="Times New Roman" w:hAnsi="Times New Roman"/>
          <w:b/>
          <w:i/>
          <w:color w:val="000000"/>
          <w:sz w:val="19"/>
        </w:rPr>
        <w:t>B. Content-Aware Multi-Scale Reliability Gating (SARG)</w:t>
      </w:r>
    </w:p>
    <w:p>
      <w:pPr>
        <w:spacing w:before="0" w:after="40" w:line="240" w:lineRule="auto"/>
        <w:ind w:firstLine="216"/>
        <w:jc w:val="both"/>
      </w:pPr>
      <w:r>
        <w:rPr>
          <w:rFonts w:ascii="Times New Roman" w:hAnsi="Times New Roman"/>
          <w:b w:val="0"/>
          <w:i w:val="0"/>
          <w:color w:val="000000"/>
          <w:sz w:val="20"/>
        </w:rPr>
        <w:t>In standard DeepJSCC-WZ architectures, received wireless features y_l and local side features s_l are concatenated with equal static weights regardless of channel conditions. Under severe fading (SNR = -5 dB), wireless features are noise-corrupted and contaminate the fusion, whereas under clean channels (SNR = +5 dB), they carry pristine source details. To resolve this, we introduce the Content-Aware Multi-Scale Reliability Gate (SARG). At each fusion stage l in {0, ..., 4}:</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alpha_l = sigma( MLP_l( [ SNR/10, GAP(x_l), GAP(s_l) ] ) )</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(4)</w:t>
            </w:r>
          </w:p>
        </w:tc>
      </w:tr>
    </w:tbl>
    <w:p>
      <w:pPr>
        <w:spacing w:before="0" w:after="40" w:line="240" w:lineRule="auto"/>
        <w:ind w:firstLine="216"/>
        <w:jc w:val="both"/>
      </w:pPr>
      <w:r>
        <w:rPr>
          <w:rFonts w:ascii="Times New Roman" w:hAnsi="Times New Roman"/>
          <w:b w:val="0"/>
          <w:i w:val="0"/>
          <w:color w:val="000000"/>
          <w:sz w:val="20"/>
        </w:rPr>
        <w:t>where GAP(.) denotes Global Average Pooling across spatial dimensions, providing content semantics, and SNR/10 normalizes channel state. The fused feature tensor is modulated dynamically:</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F_{l, fused} = Concat[ 2 . alpha_l . x_l,  2 . (1 - alpha_l) . s_l ]</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(5)</w:t>
            </w:r>
          </w:p>
        </w:tc>
      </w:tr>
    </w:tbl>
    <w:p>
      <w:pPr>
        <w:spacing w:before="0" w:after="40" w:line="240" w:lineRule="auto"/>
        <w:ind w:firstLine="216"/>
        <w:jc w:val="both"/>
      </w:pPr>
      <w:r>
        <w:rPr>
          <w:rFonts w:ascii="Times New Roman" w:hAnsi="Times New Roman"/>
          <w:b w:val="0"/>
          <w:i w:val="0"/>
          <w:color w:val="000000"/>
          <w:sz w:val="20"/>
        </w:rPr>
        <w:t>Crucially, the final linear layer of each gate MLP is strictly initialized to zero weights and zero bias. Because sigma(0) = 0.5, alpha_l = 0.5 identically at step 0, ensuring that 2 . alpha_l = 1.0 and 2 . (1 - alpha_l) = 1.0. Consequently, SARG provides an exact identity initialization that strictly subsumes the baseline architecture prior to gradient updates. While GAP provides channel-level content awareness, fine-grained spatial occlusion gating is recognized as an avenue for future work.</w:t>
      </w:r>
    </w:p>
    <w:p>
      <w:pPr>
        <w:keepNext/>
        <w:spacing w:before="80" w:after="40"/>
        <w:ind w:firstLine="0"/>
        <w:jc w:val="left"/>
      </w:pPr>
      <w:r>
        <w:rPr>
          <w:rFonts w:ascii="Times New Roman" w:hAnsi="Times New Roman"/>
          <w:b/>
          <w:i/>
          <w:color w:val="000000"/>
          <w:sz w:val="19"/>
        </w:rPr>
        <w:t>C. Bounded Native-Tensor GDN Formulation</w:t>
      </w:r>
    </w:p>
    <w:p>
      <w:pPr>
        <w:spacing w:before="0" w:after="40" w:line="240" w:lineRule="auto"/>
        <w:ind w:firstLine="216"/>
        <w:jc w:val="both"/>
      </w:pPr>
      <w:r>
        <w:rPr>
          <w:rFonts w:ascii="Times New Roman" w:hAnsi="Times New Roman"/>
          <w:b w:val="0"/>
          <w:i w:val="0"/>
          <w:color w:val="000000"/>
          <w:sz w:val="20"/>
        </w:rPr>
        <w:t>To stabilize non-linear divisive normalization on edge hardware, we formulate Generalized Divisive Normalization (GDN) using symmetric absolute-value reparameterization gamma_ij = 0.5 (|W_ij| + |W_ji|) + epsilon with beta &gt;= beta_min &gt; 0, ensuring strict positive semi-definiteness and bounded Lipschitz gradient continuity without external C++ compilation.</w:t>
      </w:r>
    </w:p>
    <w:p>
      <w:pPr>
        <w:keepNext/>
        <w:spacing w:before="120" w:after="40"/>
        <w:ind w:firstLine="0"/>
        <w:jc w:val="center"/>
      </w:pPr>
      <w:r>
        <w:rPr>
          <w:rFonts w:ascii="Times New Roman" w:hAnsi="Times New Roman"/>
          <w:b/>
          <w:i w:val="0"/>
          <w:color w:val="000000"/>
          <w:sz w:val="20"/>
        </w:rPr>
        <w:t>IV. EXPERIMENTAL BENCHMARK AND RESULTS</w:t>
      </w:r>
    </w:p>
    <w:p>
      <w:pPr>
        <w:keepNext/>
        <w:spacing w:before="80" w:after="40"/>
        <w:ind w:firstLine="0"/>
        <w:jc w:val="left"/>
      </w:pPr>
      <w:r>
        <w:rPr>
          <w:rFonts w:ascii="Times New Roman" w:hAnsi="Times New Roman"/>
          <w:b/>
          <w:i/>
          <w:color w:val="000000"/>
          <w:sz w:val="19"/>
        </w:rPr>
        <w:t>A. Benchmark on KITTI Driving Stereo Scenes</w:t>
      </w:r>
    </w:p>
    <w:p>
      <w:pPr>
        <w:spacing w:before="0" w:after="40" w:line="240" w:lineRule="auto"/>
        <w:ind w:firstLine="216"/>
        <w:jc w:val="both"/>
      </w:pPr>
      <w:r>
        <w:rPr>
          <w:rFonts w:ascii="Times New Roman" w:hAnsi="Times New Roman"/>
          <w:b w:val="0"/>
          <w:i w:val="0"/>
          <w:color w:val="000000"/>
          <w:sz w:val="20"/>
        </w:rPr>
        <w:t>We evaluate our framework on the authentic KITTI 2015 stereo benchmark under strict sequence-level geographical isolation: Scenes 0-139 for training (280 stereo pairs), Scenes 140-169 for validation (60 pairs), and Scenes 170-199 for held-out testing (60 pairs). Both models are trained for 48 continuous epochs on an Intel Core i5 CPU with Adam optimization.</w:t>
      </w:r>
    </w:p>
    <w:p>
      <w:pPr>
        <w:spacing w:before="60" w:after="20"/>
        <w:ind w:firstLine="0"/>
        <w:jc w:val="center"/>
      </w:pPr>
      <w:r>
        <w:drawing>
          <wp:inline xmlns:a="http://schemas.openxmlformats.org/drawingml/2006/main" xmlns:pic="http://schemas.openxmlformats.org/drawingml/2006/picture">
            <wp:extent cx="3017520" cy="1677929"/>
            <wp:docPr id="1" name="Picture 1"/>
            <wp:cNvGraphicFramePr>
              <a:graphicFrameLocks noChangeAspect="1"/>
            </wp:cNvGraphicFramePr>
            <a:graphic>
              <a:graphicData uri="http://schemas.openxmlformats.org/drawingml/2006/picture">
                <pic:pic>
                  <pic:nvPicPr>
                    <pic:cNvPr id="0" name="authentic_kitti_reconstruction_panel.png"/>
                    <pic:cNvPicPr/>
                  </pic:nvPicPr>
                  <pic:blipFill>
                    <a:blip r:embed="rId9"/>
                    <a:stretch>
                      <a:fillRect/>
                    </a:stretch>
                  </pic:blipFill>
                  <pic:spPr>
                    <a:xfrm>
                      <a:off x="0" y="0"/>
                      <a:ext cx="3017520" cy="1677929"/>
                    </a:xfrm>
                    <a:prstGeom prst="rect"/>
                  </pic:spPr>
                </pic:pic>
              </a:graphicData>
            </a:graphic>
          </wp:inline>
        </w:drawing>
      </w:r>
    </w:p>
    <w:p>
      <w:pPr>
        <w:spacing w:before="20" w:after="80" w:line="240" w:lineRule="auto"/>
        <w:ind w:firstLine="0"/>
        <w:jc w:val="both"/>
      </w:pPr>
      <w:r>
        <w:rPr>
          <w:rFonts w:ascii="Times New Roman" w:hAnsi="Times New Roman"/>
          <w:b w:val="0"/>
          <w:i/>
          <w:color w:val="000000"/>
          <w:sz w:val="16"/>
        </w:rPr>
        <w:t>Fig. 1. Qualitative visual reconstruction comparison on held-out test sample #0 over AWGN channel. (a) Source image x. (b) Receiver side information x_s. (c) Point-to-point DeepJSCC baseline without side information (severe blur). (d) Proposed DeepJSCC-WZ reconstruction with sharp vehicle contours.</w:t>
      </w:r>
    </w:p>
    <w:p>
      <w:pPr>
        <w:spacing w:before="60" w:after="20"/>
        <w:ind w:firstLine="0"/>
        <w:jc w:val="center"/>
      </w:pPr>
      <w:r>
        <w:drawing>
          <wp:inline xmlns:a="http://schemas.openxmlformats.org/drawingml/2006/main" xmlns:pic="http://schemas.openxmlformats.org/drawingml/2006/picture">
            <wp:extent cx="3017520" cy="2321169"/>
            <wp:docPr id="2" name="Picture 2"/>
            <wp:cNvGraphicFramePr>
              <a:graphicFrameLocks noChangeAspect="1"/>
            </wp:cNvGraphicFramePr>
            <a:graphic>
              <a:graphicData uri="http://schemas.openxmlformats.org/drawingml/2006/picture">
                <pic:pic>
                  <pic:nvPicPr>
                    <pic:cNvPr id="0" name="authentic_kitti_training_comparison.png"/>
                    <pic:cNvPicPr/>
                  </pic:nvPicPr>
                  <pic:blipFill>
                    <a:blip r:embed="rId10"/>
                    <a:stretch>
                      <a:fillRect/>
                    </a:stretch>
                  </pic:blipFill>
                  <pic:spPr>
                    <a:xfrm>
                      <a:off x="0" y="0"/>
                      <a:ext cx="3017520" cy="2321169"/>
                    </a:xfrm>
                    <a:prstGeom prst="rect"/>
                  </pic:spPr>
                </pic:pic>
              </a:graphicData>
            </a:graphic>
          </wp:inline>
        </w:drawing>
      </w:r>
    </w:p>
    <w:p>
      <w:pPr>
        <w:spacing w:before="20" w:after="80" w:line="240" w:lineRule="auto"/>
        <w:ind w:firstLine="0"/>
        <w:jc w:val="both"/>
      </w:pPr>
      <w:r>
        <w:rPr>
          <w:rFonts w:ascii="Times New Roman" w:hAnsi="Times New Roman"/>
          <w:b w:val="0"/>
          <w:i/>
          <w:color w:val="000000"/>
          <w:sz w:val="16"/>
        </w:rPr>
        <w:t>Fig. 2. 48-Epoch empirical convergence comparison between DeepJSCC baseline and proposed DeepJSCC-WZ on authentic KITTI benchmark.</w:t>
      </w:r>
    </w:p>
    <w:p>
      <w:pPr>
        <w:spacing w:before="0" w:after="40" w:line="240" w:lineRule="auto"/>
        <w:ind w:firstLine="216"/>
        <w:jc w:val="center"/>
      </w:pPr>
      <w:r>
        <w:rPr>
          <w:rFonts w:ascii="Times New Roman" w:hAnsi="Times New Roman"/>
          <w:b/>
          <w:i w:val="0"/>
          <w:color w:val="000000"/>
          <w:sz w:val="20"/>
        </w:rPr>
        <w:t>TABLE I: Performance Benchmark on Held-Out Test Scenes (48 Epochs, rho = 1/16)</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2592"/>
            <w:tcMar>
              <w:top w:w="60" w:type="dxa"/>
              <w:bottom w:w="60" w:type="dxa"/>
              <w:left w:w="80" w:type="dxa"/>
              <w:right w:w="8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6"/>
              </w:rPr>
              <w:t>Metric</w:t>
            </w:r>
          </w:p>
        </w:tc>
        <w:tc>
          <w:tcPr>
            <w:tcW w:type="dxa" w:w="2592"/>
            <w:tcMar>
              <w:top w:w="60" w:type="dxa"/>
              <w:bottom w:w="60" w:type="dxa"/>
              <w:left w:w="80" w:type="dxa"/>
              <w:right w:w="8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6"/>
              </w:rPr>
              <w:t>DeepJSCC Baseline</w:t>
            </w:r>
          </w:p>
        </w:tc>
        <w:tc>
          <w:tcPr>
            <w:tcW w:type="dxa" w:w="2592"/>
            <w:tcMar>
              <w:top w:w="60" w:type="dxa"/>
              <w:bottom w:w="60" w:type="dxa"/>
              <w:left w:w="80" w:type="dxa"/>
              <w:right w:w="8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6"/>
              </w:rPr>
              <w:t>DeepJSCC-WZ (Ours)</w:t>
            </w:r>
          </w:p>
        </w:tc>
        <w:tc>
          <w:tcPr>
            <w:tcW w:type="dxa" w:w="2304"/>
            <w:tcMar>
              <w:top w:w="60" w:type="dxa"/>
              <w:bottom w:w="60" w:type="dxa"/>
              <w:left w:w="80" w:type="dxa"/>
              <w:right w:w="8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6"/>
              </w:rPr>
              <w:t>Net Advantage</w:t>
            </w:r>
          </w:p>
        </w:tc>
      </w:tr>
      <w:tr>
        <w:tc>
          <w:tcPr>
            <w:tcW w:type="dxa" w:w="2592"/>
            <w:tcMar>
              <w:top w:w="50" w:type="dxa"/>
              <w:bottom w:w="50" w:type="dxa"/>
              <w:left w:w="80" w:type="dxa"/>
              <w:right w:w="80" w:type="dxa"/>
            </w:tcMar>
            <w:tcBorders>
              <w:top w:val="none"/>
              <w:bottom w:val="none"/>
              <w:left w:val="none"/>
              <w:right w:val="none"/>
            </w:tcBorders>
          </w:tcPr>
          <w:p>
            <w:pPr>
              <w:jc w:val="left"/>
            </w:pPr>
            <w:r>
              <w:rPr>
                <w:rFonts w:ascii="Times New Roman" w:hAnsi="Times New Roman"/>
                <w:b w:val="0"/>
                <w:i w:val="0"/>
                <w:color w:val="000000"/>
                <w:sz w:val="16"/>
              </w:rPr>
              <w:t>PSNR (dB)</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18.94 +/- 1.07</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21.81 +/- 1.45</w:t>
            </w:r>
          </w:p>
        </w:tc>
        <w:tc>
          <w:tcPr>
            <w:tcW w:type="dxa" w:w="2304"/>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+2.87 dB Gain</w:t>
            </w:r>
          </w:p>
        </w:tc>
      </w:tr>
      <w:tr>
        <w:tc>
          <w:tcPr>
            <w:tcW w:type="dxa" w:w="2592"/>
            <w:tcMar>
              <w:top w:w="50" w:type="dxa"/>
              <w:bottom w:w="50" w:type="dxa"/>
              <w:left w:w="80" w:type="dxa"/>
              <w:right w:w="80" w:type="dxa"/>
            </w:tcMar>
            <w:tcBorders>
              <w:top w:val="none"/>
              <w:bottom w:val="none"/>
              <w:left w:val="none"/>
              <w:right w:val="none"/>
            </w:tcBorders>
          </w:tcPr>
          <w:p>
            <w:pPr>
              <w:jc w:val="left"/>
            </w:pPr>
            <w:r>
              <w:rPr>
                <w:rFonts w:ascii="Times New Roman" w:hAnsi="Times New Roman"/>
                <w:b w:val="0"/>
                <w:i w:val="0"/>
                <w:color w:val="000000"/>
                <w:sz w:val="16"/>
              </w:rPr>
              <w:t>SSIM</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0.5268 +/- 0.0474</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0.7489 +/- 0.0298</w:t>
            </w:r>
          </w:p>
        </w:tc>
        <w:tc>
          <w:tcPr>
            <w:tcW w:type="dxa" w:w="2304"/>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+0.2221 (+42.2%)</w:t>
            </w:r>
          </w:p>
        </w:tc>
      </w:tr>
      <w:tr>
        <w:tc>
          <w:tcPr>
            <w:tcW w:type="dxa" w:w="2592"/>
            <w:tcMar>
              <w:top w:w="50" w:type="dxa"/>
              <w:bottom w:w="50" w:type="dxa"/>
              <w:left w:w="80" w:type="dxa"/>
              <w:right w:w="80" w:type="dxa"/>
            </w:tcMar>
            <w:tcBorders>
              <w:top w:val="none"/>
              <w:bottom w:val="none"/>
              <w:left w:val="none"/>
              <w:right w:val="none"/>
            </w:tcBorders>
          </w:tcPr>
          <w:p>
            <w:pPr>
              <w:jc w:val="left"/>
            </w:pPr>
            <w:r>
              <w:rPr>
                <w:rFonts w:ascii="Times New Roman" w:hAnsi="Times New Roman"/>
                <w:b w:val="0"/>
                <w:i w:val="0"/>
                <w:color w:val="000000"/>
                <w:sz w:val="16"/>
              </w:rPr>
              <w:t>MS-SSIM</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0.7635 +/- 0.0311</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0.9045 +/- 0.0155</w:t>
            </w:r>
          </w:p>
        </w:tc>
        <w:tc>
          <w:tcPr>
            <w:tcW w:type="dxa" w:w="2304"/>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+0.1410 Gain</w:t>
            </w:r>
          </w:p>
        </w:tc>
      </w:tr>
      <w:tr>
        <w:tc>
          <w:tcPr>
            <w:tcW w:type="dxa" w:w="2592"/>
            <w:tcMar>
              <w:top w:w="50" w:type="dxa"/>
              <w:bottom w:w="50" w:type="dxa"/>
              <w:left w:w="80" w:type="dxa"/>
              <w:right w:w="80" w:type="dxa"/>
            </w:tcMar>
            <w:tcBorders>
              <w:top w:val="none"/>
              <w:bottom w:val="none"/>
              <w:left w:val="none"/>
              <w:right w:val="none"/>
            </w:tcBorders>
          </w:tcPr>
          <w:p>
            <w:pPr>
              <w:jc w:val="left"/>
            </w:pPr>
            <w:r>
              <w:rPr>
                <w:rFonts w:ascii="Times New Roman" w:hAnsi="Times New Roman"/>
                <w:b w:val="0"/>
                <w:i w:val="0"/>
                <w:color w:val="000000"/>
                <w:sz w:val="16"/>
              </w:rPr>
              <w:t>LPIPS (Lower is Better)</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0.5513 +/- 0.0303</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0.3288 +/- 0.0308</w:t>
            </w:r>
          </w:p>
        </w:tc>
        <w:tc>
          <w:tcPr>
            <w:tcW w:type="dxa" w:w="2304"/>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-40.4% Reduction</w:t>
            </w:r>
          </w:p>
        </w:tc>
      </w:tr>
      <w:tr>
        <w:tc>
          <w:tcPr>
            <w:tcW w:type="dxa" w:w="2592"/>
            <w:tcMar>
              <w:top w:w="50" w:type="dxa"/>
              <w:bottom w:w="50" w:type="dxa"/>
              <w:left w:w="80" w:type="dxa"/>
              <w:right w:w="80" w:type="dxa"/>
            </w:tcMar>
            <w:tcBorders>
              <w:top w:val="none"/>
              <w:bottom w:val="single" w:sz="12" w:space="0" w:color="000000"/>
              <w:left w:val="none"/>
              <w:right w:val="none"/>
            </w:tcBorders>
          </w:tcPr>
          <w:p>
            <w:pPr>
              <w:jc w:val="left"/>
            </w:pPr>
            <w:r>
              <w:rPr>
                <w:rFonts w:ascii="Times New Roman" w:hAnsi="Times New Roman"/>
                <w:b w:val="0"/>
                <w:i w:val="0"/>
                <w:color w:val="000000"/>
                <w:sz w:val="16"/>
              </w:rPr>
              <w:t>MSE Loss</w:t>
            </w:r>
          </w:p>
        </w:tc>
        <w:tc>
          <w:tcPr>
            <w:tcW w:type="dxa" w:w="2592"/>
            <w:tcMar>
              <w:top w:w="50" w:type="dxa"/>
              <w:bottom w:w="50" w:type="dxa"/>
              <w:left w:w="80" w:type="dxa"/>
              <w:right w:w="80" w:type="dxa"/>
            </w:tcMar>
            <w:tcBorders>
              <w:top w:val="none"/>
              <w:bottom w:val="single" w:sz="12" w:space="0" w:color="000000"/>
              <w:left w:val="none"/>
              <w:right w:val="none"/>
            </w:tcBorders>
          </w:tcPr>
          <w:p>
            <w:pPr>
              <w:jc w:val="center"/>
            </w:pPr>
            <w:r>
              <w:rPr>
                <w:rFonts w:ascii="Times New Roman" w:hAnsi="Times New Roman"/>
                <w:b w:val="0"/>
                <w:i w:val="0"/>
                <w:color w:val="000000"/>
                <w:sz w:val="16"/>
              </w:rPr>
              <w:t>0.013698</w:t>
            </w:r>
          </w:p>
        </w:tc>
        <w:tc>
          <w:tcPr>
            <w:tcW w:type="dxa" w:w="2592"/>
            <w:tcMar>
              <w:top w:w="50" w:type="dxa"/>
              <w:bottom w:w="50" w:type="dxa"/>
              <w:left w:w="80" w:type="dxa"/>
              <w:right w:w="80" w:type="dxa"/>
            </w:tcMar>
            <w:tcBorders>
              <w:top w:val="none"/>
              <w:bottom w:val="single" w:sz="12" w:space="0" w:color="000000"/>
              <w:left w:val="none"/>
              <w:right w:val="none"/>
            </w:tcBorders>
          </w:tcPr>
          <w:p>
            <w:pPr>
              <w:jc w:val="center"/>
            </w:pPr>
            <w:r>
              <w:rPr>
                <w:rFonts w:ascii="Times New Roman" w:hAnsi="Times New Roman"/>
                <w:b/>
                <w:i w:val="0"/>
                <w:color w:val="000000"/>
                <w:sz w:val="16"/>
              </w:rPr>
              <w:t>0.007328</w:t>
            </w:r>
          </w:p>
        </w:tc>
        <w:tc>
          <w:tcPr>
            <w:tcW w:type="dxa" w:w="2304"/>
            <w:tcMar>
              <w:top w:w="50" w:type="dxa"/>
              <w:bottom w:w="50" w:type="dxa"/>
              <w:left w:w="80" w:type="dxa"/>
              <w:right w:w="80" w:type="dxa"/>
            </w:tcMar>
            <w:tcBorders>
              <w:top w:val="none"/>
              <w:bottom w:val="single" w:sz="12" w:space="0" w:color="000000"/>
              <w:left w:val="none"/>
              <w:right w:val="none"/>
            </w:tcBorders>
          </w:tcPr>
          <w:p>
            <w:pPr>
              <w:jc w:val="center"/>
            </w:pPr>
            <w:r>
              <w:rPr>
                <w:rFonts w:ascii="Times New Roman" w:hAnsi="Times New Roman"/>
                <w:b/>
                <w:i w:val="0"/>
                <w:color w:val="000000"/>
                <w:sz w:val="16"/>
              </w:rPr>
              <w:t>-46.5% Loss Reduction</w:t>
            </w:r>
          </w:p>
        </w:tc>
      </w:tr>
    </w:tbl>
    <w:p>
      <w:pPr>
        <w:spacing w:before="120" w:after="40" w:line="240" w:lineRule="auto"/>
        <w:ind w:firstLine="216"/>
        <w:jc w:val="center"/>
      </w:pPr>
      <w:r>
        <w:rPr>
          <w:rFonts w:ascii="Times New Roman" w:hAnsi="Times New Roman"/>
          <w:b/>
          <w:i w:val="0"/>
          <w:color w:val="000000"/>
          <w:sz w:val="20"/>
        </w:rPr>
        <w:t>TABLE II: Model Complexity and Latency Profile</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2592"/>
            <w:tcMar>
              <w:top w:w="60" w:type="dxa"/>
              <w:bottom w:w="60" w:type="dxa"/>
              <w:left w:w="80" w:type="dxa"/>
              <w:right w:w="8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6"/>
              </w:rPr>
              <w:t>Architecture Mode</w:t>
            </w:r>
          </w:p>
        </w:tc>
        <w:tc>
          <w:tcPr>
            <w:tcW w:type="dxa" w:w="2592"/>
            <w:tcMar>
              <w:top w:w="60" w:type="dxa"/>
              <w:bottom w:w="60" w:type="dxa"/>
              <w:left w:w="80" w:type="dxa"/>
              <w:right w:w="8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6"/>
              </w:rPr>
              <w:t>Parameters (Exact)</w:t>
            </w:r>
          </w:p>
        </w:tc>
        <w:tc>
          <w:tcPr>
            <w:tcW w:type="dxa" w:w="2592"/>
            <w:tcMar>
              <w:top w:w="60" w:type="dxa"/>
              <w:bottom w:w="60" w:type="dxa"/>
              <w:left w:w="80" w:type="dxa"/>
              <w:right w:w="8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6"/>
              </w:rPr>
              <w:t>Inference Latency</w:t>
            </w:r>
          </w:p>
        </w:tc>
        <w:tc>
          <w:tcPr>
            <w:tcW w:type="dxa" w:w="2304"/>
            <w:tcMar>
              <w:top w:w="60" w:type="dxa"/>
              <w:bottom w:w="60" w:type="dxa"/>
              <w:left w:w="80" w:type="dxa"/>
              <w:right w:w="8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6"/>
              </w:rPr>
              <w:t>Throughput</w:t>
            </w:r>
          </w:p>
        </w:tc>
      </w:tr>
      <w:tr>
        <w:tc>
          <w:tcPr>
            <w:tcW w:type="dxa" w:w="2592"/>
            <w:tcMar>
              <w:top w:w="50" w:type="dxa"/>
              <w:bottom w:w="50" w:type="dxa"/>
              <w:left w:w="80" w:type="dxa"/>
              <w:right w:w="80" w:type="dxa"/>
            </w:tcMar>
            <w:tcBorders>
              <w:top w:val="none"/>
              <w:bottom w:val="none"/>
              <w:left w:val="none"/>
              <w:right w:val="none"/>
            </w:tcBorders>
          </w:tcPr>
          <w:p>
            <w:pPr>
              <w:jc w:val="left"/>
            </w:pPr>
            <w:r>
              <w:rPr>
                <w:rFonts w:ascii="Times New Roman" w:hAnsi="Times New Roman"/>
                <w:b w:val="0"/>
                <w:i w:val="0"/>
                <w:color w:val="000000"/>
                <w:sz w:val="16"/>
              </w:rPr>
              <w:t>Baseline (N=64, Edge)</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2,545,755 (2.55M)</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18.4 ms (Tx only)</w:t>
            </w:r>
          </w:p>
        </w:tc>
        <w:tc>
          <w:tcPr>
            <w:tcW w:type="dxa" w:w="2304"/>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54.3 FPS</w:t>
            </w:r>
          </w:p>
        </w:tc>
      </w:tr>
      <w:tr>
        <w:tc>
          <w:tcPr>
            <w:tcW w:type="dxa" w:w="2592"/>
            <w:tcMar>
              <w:top w:w="50" w:type="dxa"/>
              <w:bottom w:w="50" w:type="dxa"/>
              <w:left w:w="80" w:type="dxa"/>
              <w:right w:w="80" w:type="dxa"/>
            </w:tcMar>
            <w:tcBorders>
              <w:top w:val="none"/>
              <w:bottom w:val="none"/>
              <w:left w:val="none"/>
              <w:right w:val="none"/>
            </w:tcBorders>
          </w:tcPr>
          <w:p>
            <w:pPr>
              <w:jc w:val="left"/>
            </w:pPr>
            <w:r>
              <w:rPr>
                <w:rFonts w:ascii="Times New Roman" w:hAnsi="Times New Roman"/>
                <w:b w:val="0"/>
                <w:i w:val="0"/>
                <w:color w:val="000000"/>
                <w:sz w:val="16"/>
              </w:rPr>
              <w:t>DeepJSCC-WZ (N=64, Edge)</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4,539,680 (4.54M)</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47.0 ms (Total serial)</w:t>
            </w:r>
          </w:p>
        </w:tc>
        <w:tc>
          <w:tcPr>
            <w:tcW w:type="dxa" w:w="2304"/>
            <w:tcMar>
              <w:top w:w="50" w:type="dxa"/>
              <w:bottom w:w="50" w:type="dxa"/>
              <w:left w:w="80" w:type="dxa"/>
              <w:right w:w="80" w:type="dxa"/>
            </w:tcMar>
            <w:tcBorders>
              <w:top w:val="none"/>
              <w:bottom w:val="none"/>
              <w:left w:val="none"/>
              <w:right w:val="none"/>
            </w:tcBorders>
          </w:tcPr>
          <w:p>
            <w:pPr>
              <w:jc w:val="center"/>
            </w:pPr>
            <w:r>
              <w:rPr>
                <w:rFonts w:ascii="Times New Roman" w:hAnsi="Times New Roman"/>
                <w:b w:val="0"/>
                <w:i w:val="0"/>
                <w:color w:val="000000"/>
                <w:sz w:val="16"/>
              </w:rPr>
              <w:t>21.3 FPS (Serial)</w:t>
            </w:r>
          </w:p>
        </w:tc>
      </w:tr>
      <w:tr>
        <w:tc>
          <w:tcPr>
            <w:tcW w:type="dxa" w:w="2592"/>
            <w:tcMar>
              <w:top w:w="50" w:type="dxa"/>
              <w:bottom w:w="50" w:type="dxa"/>
              <w:left w:w="80" w:type="dxa"/>
              <w:right w:w="80" w:type="dxa"/>
            </w:tcMar>
            <w:tcBorders>
              <w:top w:val="none"/>
              <w:bottom w:val="none"/>
              <w:left w:val="none"/>
              <w:right w:val="none"/>
            </w:tcBorders>
          </w:tcPr>
          <w:p>
            <w:pPr>
              <w:jc w:val="left"/>
            </w:pPr>
            <w:r>
              <w:rPr>
                <w:rFonts w:ascii="Times New Roman" w:hAnsi="Times New Roman"/>
                <w:b/>
                <w:i w:val="0"/>
                <w:color w:val="000000"/>
                <w:sz w:val="16"/>
              </w:rPr>
              <w:t>Pipelined Tx/Rx Mode</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4.54M (Distributed)</w:t>
            </w:r>
          </w:p>
        </w:tc>
        <w:tc>
          <w:tcPr>
            <w:tcW w:type="dxa" w:w="2592"/>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28.6 ms (Rx bottleneck)</w:t>
            </w:r>
          </w:p>
        </w:tc>
        <w:tc>
          <w:tcPr>
            <w:tcW w:type="dxa" w:w="2304"/>
            <w:tcMar>
              <w:top w:w="50" w:type="dxa"/>
              <w:bottom w:w="50" w:type="dxa"/>
              <w:left w:w="80" w:type="dxa"/>
              <w:right w:w="80" w:type="dxa"/>
            </w:tcMar>
            <w:tcBorders>
              <w:top w:val="none"/>
              <w:bottom w:val="none"/>
              <w:left w:val="none"/>
              <w:right w:val="none"/>
            </w:tcBorders>
          </w:tcPr>
          <w:p>
            <w:pPr>
              <w:jc w:val="center"/>
            </w:pPr>
            <w:r>
              <w:rPr>
                <w:rFonts w:ascii="Times New Roman" w:hAnsi="Times New Roman"/>
                <w:b/>
                <w:i w:val="0"/>
                <w:color w:val="000000"/>
                <w:sz w:val="16"/>
              </w:rPr>
              <w:t>&gt;30 FPS (Pipelined)</w:t>
            </w:r>
          </w:p>
        </w:tc>
      </w:tr>
      <w:tr>
        <w:tc>
          <w:tcPr>
            <w:tcW w:type="dxa" w:w="2592"/>
            <w:tcMar>
              <w:top w:w="50" w:type="dxa"/>
              <w:bottom w:w="50" w:type="dxa"/>
              <w:left w:w="80" w:type="dxa"/>
              <w:right w:w="80" w:type="dxa"/>
            </w:tcMar>
            <w:tcBorders>
              <w:top w:val="none"/>
              <w:bottom w:val="single" w:sz="12" w:space="0" w:color="000000"/>
              <w:left w:val="none"/>
              <w:right w:val="none"/>
            </w:tcBorders>
          </w:tcPr>
          <w:p>
            <w:pPr>
              <w:jc w:val="left"/>
            </w:pPr>
            <w:r>
              <w:rPr>
                <w:rFonts w:ascii="Times New Roman" w:hAnsi="Times New Roman"/>
                <w:b w:val="0"/>
                <w:i w:val="0"/>
                <w:color w:val="000000"/>
                <w:sz w:val="16"/>
              </w:rPr>
              <w:t>Reference Full (N=256)</w:t>
            </w:r>
          </w:p>
        </w:tc>
        <w:tc>
          <w:tcPr>
            <w:tcW w:type="dxa" w:w="2592"/>
            <w:tcMar>
              <w:top w:w="50" w:type="dxa"/>
              <w:bottom w:w="50" w:type="dxa"/>
              <w:left w:w="80" w:type="dxa"/>
              <w:right w:w="80" w:type="dxa"/>
            </w:tcMar>
            <w:tcBorders>
              <w:top w:val="none"/>
              <w:bottom w:val="single" w:sz="12" w:space="0" w:color="000000"/>
              <w:left w:val="none"/>
              <w:right w:val="none"/>
            </w:tcBorders>
          </w:tcPr>
          <w:p>
            <w:pPr>
              <w:jc w:val="center"/>
            </w:pPr>
            <w:r>
              <w:rPr>
                <w:rFonts w:ascii="Times New Roman" w:hAnsi="Times New Roman"/>
                <w:b w:val="0"/>
                <w:i w:val="0"/>
                <w:color w:val="000000"/>
                <w:sz w:val="16"/>
              </w:rPr>
              <w:t>48,922,784 (48.92M)</w:t>
            </w:r>
          </w:p>
        </w:tc>
        <w:tc>
          <w:tcPr>
            <w:tcW w:type="dxa" w:w="2592"/>
            <w:tcMar>
              <w:top w:w="50" w:type="dxa"/>
              <w:bottom w:w="50" w:type="dxa"/>
              <w:left w:w="80" w:type="dxa"/>
              <w:right w:w="80" w:type="dxa"/>
            </w:tcMar>
            <w:tcBorders>
              <w:top w:val="none"/>
              <w:bottom w:val="single" w:sz="12" w:space="0" w:color="000000"/>
              <w:left w:val="none"/>
              <w:right w:val="none"/>
            </w:tcBorders>
          </w:tcPr>
          <w:p>
            <w:pPr>
              <w:jc w:val="center"/>
            </w:pPr>
            <w:r>
              <w:rPr>
                <w:rFonts w:ascii="Times New Roman" w:hAnsi="Times New Roman"/>
                <w:b w:val="0"/>
                <w:i w:val="0"/>
                <w:color w:val="000000"/>
                <w:sz w:val="16"/>
              </w:rPr>
              <w:t>Table I Paper Scale</w:t>
            </w:r>
          </w:p>
        </w:tc>
        <w:tc>
          <w:tcPr>
            <w:tcW w:type="dxa" w:w="2304"/>
            <w:tcMar>
              <w:top w:w="50" w:type="dxa"/>
              <w:bottom w:w="50" w:type="dxa"/>
              <w:left w:w="80" w:type="dxa"/>
              <w:right w:w="80" w:type="dxa"/>
            </w:tcMar>
            <w:tcBorders>
              <w:top w:val="none"/>
              <w:bottom w:val="single" w:sz="12" w:space="0" w:color="000000"/>
              <w:left w:val="none"/>
              <w:right w:val="none"/>
            </w:tcBorders>
          </w:tcPr>
          <w:p>
            <w:pPr>
              <w:jc w:val="center"/>
            </w:pPr>
            <w:r>
              <w:rPr>
                <w:rFonts w:ascii="Times New Roman" w:hAnsi="Times New Roman"/>
                <w:b w:val="0"/>
                <w:i w:val="0"/>
                <w:color w:val="000000"/>
                <w:sz w:val="16"/>
              </w:rPr>
              <w:t>High-capacity server</w:t>
            </w:r>
          </w:p>
        </w:tc>
      </w:tr>
    </w:tbl>
    <w:p>
      <w:pPr>
        <w:keepNext/>
        <w:spacing w:before="80" w:after="40"/>
        <w:ind w:firstLine="0"/>
        <w:jc w:val="left"/>
      </w:pPr>
      <w:r>
        <w:rPr>
          <w:rFonts w:ascii="Times New Roman" w:hAnsi="Times New Roman"/>
          <w:b/>
          <w:i/>
          <w:color w:val="000000"/>
          <w:sz w:val="19"/>
        </w:rPr>
        <w:t>B. Ablation Study: Content-Aware Reliability Gating (SARG)</w:t>
      </w:r>
    </w:p>
    <w:p>
      <w:pPr>
        <w:spacing w:before="0" w:after="40" w:line="240" w:lineRule="auto"/>
        <w:ind w:firstLine="216"/>
        <w:jc w:val="both"/>
      </w:pPr>
      <w:r>
        <w:rPr>
          <w:rFonts w:ascii="Times New Roman" w:hAnsi="Times New Roman"/>
          <w:b w:val="0"/>
          <w:i w:val="0"/>
          <w:color w:val="000000"/>
          <w:sz w:val="20"/>
        </w:rPr>
        <w:t>To rigorously validate the SARG mechanism, we conduct a controlled 48-epoch paired experiment comparing the gated architecture against an identically fine-tuned control model (without gating) initialized from the same 48-epoch base checkpoint. Both models share identical training data orders, random seeds, and learning rate schedules. Evaluation is executed over 60 test scenes drawing 20 fixed noise realizations per image per SNR (8,400 forward evaluations).</w:t>
      </w:r>
    </w:p>
    <w:p>
      <w:pPr>
        <w:spacing w:before="120" w:after="40" w:line="240" w:lineRule="auto"/>
        <w:ind w:firstLine="216"/>
        <w:jc w:val="center"/>
      </w:pPr>
      <w:r>
        <w:rPr>
          <w:rFonts w:ascii="Times New Roman" w:hAnsi="Times New Roman"/>
          <w:b/>
          <w:i w:val="0"/>
          <w:color w:val="000000"/>
          <w:sz w:val="20"/>
        </w:rPr>
        <w:t>TABLE III: SARG vs. Control Paired Evaluation across Channel SNRs (20 Noise Draws / Img)</w:t>
      </w:r>
    </w:p>
    <w:tbl>
      <w:tblPr>
        <w:tblW w:type="auto" w:w="0"/>
        <w:jc w:val="center"/>
        <w:tblLayout w:type="fixed"/>
        <w:tblLook w:firstColumn="1" w:firstRow="1" w:lastColumn="0" w:lastRow="0" w:noHBand="0" w:noVBand="1" w:val="04A0"/>
      </w:tblPr>
      <w:tblGrid>
        <w:gridCol w:w="1682"/>
        <w:gridCol w:w="1682"/>
        <w:gridCol w:w="1682"/>
        <w:gridCol w:w="1682"/>
        <w:gridCol w:w="1682"/>
        <w:gridCol w:w="1682"/>
      </w:tblGrid>
      <w:tr>
        <w:tc>
          <w:tcPr>
            <w:tcW w:type="dxa" w:w="1440"/>
            <w:tcMar>
              <w:top w:w="50" w:type="dxa"/>
              <w:bottom w:w="50" w:type="dxa"/>
              <w:left w:w="60" w:type="dxa"/>
              <w:right w:w="6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SNR (dB)</w:t>
            </w:r>
          </w:p>
        </w:tc>
        <w:tc>
          <w:tcPr>
            <w:tcW w:type="dxa" w:w="1728"/>
            <w:tcMar>
              <w:top w:w="50" w:type="dxa"/>
              <w:bottom w:w="50" w:type="dxa"/>
              <w:left w:w="60" w:type="dxa"/>
              <w:right w:w="6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Control PSNR</w:t>
            </w:r>
          </w:p>
        </w:tc>
        <w:tc>
          <w:tcPr>
            <w:tcW w:type="dxa" w:w="1728"/>
            <w:tcMar>
              <w:top w:w="50" w:type="dxa"/>
              <w:bottom w:w="50" w:type="dxa"/>
              <w:left w:w="60" w:type="dxa"/>
              <w:right w:w="6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SARG PSNR</w:t>
            </w:r>
          </w:p>
        </w:tc>
        <w:tc>
          <w:tcPr>
            <w:tcW w:type="dxa" w:w="1728"/>
            <w:tcMar>
              <w:top w:w="50" w:type="dxa"/>
              <w:bottom w:w="50" w:type="dxa"/>
              <w:left w:w="60" w:type="dxa"/>
              <w:right w:w="6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Δ PSNR (dB)</w:t>
            </w:r>
          </w:p>
        </w:tc>
        <w:tc>
          <w:tcPr>
            <w:tcW w:type="dxa" w:w="1728"/>
            <w:tcMar>
              <w:top w:w="50" w:type="dxa"/>
              <w:bottom w:w="50" w:type="dxa"/>
              <w:left w:w="60" w:type="dxa"/>
              <w:right w:w="6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Δ SSIM</w:t>
            </w:r>
          </w:p>
        </w:tc>
        <w:tc>
          <w:tcPr>
            <w:tcW w:type="dxa" w:w="1728"/>
            <w:tcMar>
              <w:top w:w="50" w:type="dxa"/>
              <w:bottom w:w="50" w:type="dxa"/>
              <w:left w:w="60" w:type="dxa"/>
              <w:right w:w="6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Paired t-stat</w:t>
            </w:r>
          </w:p>
        </w:tc>
      </w:tr>
      <w:tr>
        <w:tc>
          <w:tcPr>
            <w:tcW w:type="dxa" w:w="1440"/>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-10.0</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16.01</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16.15</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+0.14</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+0.0023</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87.38</w:t>
            </w:r>
          </w:p>
        </w:tc>
      </w:tr>
      <w:tr>
        <w:tc>
          <w:tcPr>
            <w:tcW w:type="dxa" w:w="1440"/>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 xml:space="preserve"> -5.0</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21.97</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21.93</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-0.04</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-0.0017</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-14.63</w:t>
            </w:r>
          </w:p>
        </w:tc>
      </w:tr>
      <w:tr>
        <w:tc>
          <w:tcPr>
            <w:tcW w:type="dxa" w:w="1440"/>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 xml:space="preserve"> -2.0</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21.99</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21.96</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-0.03</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-0.0014</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-11.53</w:t>
            </w:r>
          </w:p>
        </w:tc>
      </w:tr>
      <w:tr>
        <w:tc>
          <w:tcPr>
            <w:tcW w:type="dxa" w:w="1440"/>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 xml:space="preserve"> +0.0</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22.02</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21.99</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-0.03</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-0.0014</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-11.76</w:t>
            </w:r>
          </w:p>
        </w:tc>
      </w:tr>
      <w:tr>
        <w:tc>
          <w:tcPr>
            <w:tcW w:type="dxa" w:w="1440"/>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 xml:space="preserve"> +2.0</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22.02</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21.99</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-0.03</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-0.0014</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-11.58</w:t>
            </w:r>
          </w:p>
        </w:tc>
      </w:tr>
      <w:tr>
        <w:tc>
          <w:tcPr>
            <w:tcW w:type="dxa" w:w="1440"/>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 xml:space="preserve"> +5.0</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21.96</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val="0"/>
                <w:i w:val="0"/>
                <w:color w:val="000000"/>
                <w:sz w:val="15"/>
              </w:rPr>
              <w:t>21.93</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-0.03</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-0.0015</w:t>
            </w:r>
          </w:p>
        </w:tc>
        <w:tc>
          <w:tcPr>
            <w:tcW w:type="dxa" w:w="1728"/>
            <w:tcMar>
              <w:top w:w="40" w:type="dxa"/>
              <w:bottom w:w="40" w:type="dxa"/>
              <w:left w:w="60" w:type="dxa"/>
              <w:right w:w="60" w:type="dxa"/>
            </w:tcMar>
            <w:tcBorders>
              <w:top w:val="none"/>
              <w:bottom w:val="none"/>
              <w:left w:val="none"/>
              <w:right w:val="none"/>
            </w:tcBorders>
          </w:tcPr>
          <w:p>
            <w:pPr>
              <w:jc w:val="center"/>
            </w:pPr>
            <w:r>
              <w:rPr>
                <w:rFonts w:ascii="Times New Roman" w:hAnsi="Times New Roman"/>
                <w:b/>
                <w:i w:val="0"/>
                <w:color w:val="000000"/>
                <w:sz w:val="15"/>
              </w:rPr>
              <w:t>-14.00</w:t>
            </w:r>
          </w:p>
        </w:tc>
      </w:tr>
      <w:tr>
        <w:tc>
          <w:tcPr>
            <w:tcW w:type="dxa" w:w="1440"/>
            <w:tcMar>
              <w:top w:w="40" w:type="dxa"/>
              <w:bottom w:w="40" w:type="dxa"/>
              <w:left w:w="60" w:type="dxa"/>
              <w:right w:w="60" w:type="dxa"/>
            </w:tcMar>
            <w:tcBorders>
              <w:top w:val="none"/>
              <w:bottom w:val="single" w:sz="12" w:space="0" w:color="000000"/>
              <w:left w:val="none"/>
              <w:right w:val="none"/>
            </w:tcBorders>
          </w:tcPr>
          <w:p>
            <w:pPr>
              <w:jc w:val="center"/>
            </w:pPr>
            <w:r>
              <w:rPr>
                <w:rFonts w:ascii="Times New Roman" w:hAnsi="Times New Roman"/>
                <w:b w:val="0"/>
                <w:i w:val="0"/>
                <w:color w:val="000000"/>
                <w:sz w:val="15"/>
              </w:rPr>
              <w:t>+10.0</w:t>
            </w:r>
          </w:p>
        </w:tc>
        <w:tc>
          <w:tcPr>
            <w:tcW w:type="dxa" w:w="1728"/>
            <w:tcMar>
              <w:top w:w="40" w:type="dxa"/>
              <w:bottom w:w="40" w:type="dxa"/>
              <w:left w:w="60" w:type="dxa"/>
              <w:right w:w="60" w:type="dxa"/>
            </w:tcMar>
            <w:tcBorders>
              <w:top w:val="none"/>
              <w:bottom w:val="single" w:sz="12" w:space="0" w:color="000000"/>
              <w:left w:val="none"/>
              <w:right w:val="none"/>
            </w:tcBorders>
          </w:tcPr>
          <w:p>
            <w:pPr>
              <w:jc w:val="center"/>
            </w:pPr>
            <w:r>
              <w:rPr>
                <w:rFonts w:ascii="Times New Roman" w:hAnsi="Times New Roman"/>
                <w:b w:val="0"/>
                <w:i w:val="0"/>
                <w:color w:val="000000"/>
                <w:sz w:val="15"/>
              </w:rPr>
              <w:t>21.66</w:t>
            </w:r>
          </w:p>
        </w:tc>
        <w:tc>
          <w:tcPr>
            <w:tcW w:type="dxa" w:w="1728"/>
            <w:tcMar>
              <w:top w:w="40" w:type="dxa"/>
              <w:bottom w:w="40" w:type="dxa"/>
              <w:left w:w="60" w:type="dxa"/>
              <w:right w:w="60" w:type="dxa"/>
            </w:tcMar>
            <w:tcBorders>
              <w:top w:val="none"/>
              <w:bottom w:val="single" w:sz="12" w:space="0" w:color="000000"/>
              <w:left w:val="none"/>
              <w:right w:val="none"/>
            </w:tcBorders>
          </w:tcPr>
          <w:p>
            <w:pPr>
              <w:jc w:val="center"/>
            </w:pPr>
            <w:r>
              <w:rPr>
                <w:rFonts w:ascii="Times New Roman" w:hAnsi="Times New Roman"/>
                <w:b w:val="0"/>
                <w:i w:val="0"/>
                <w:color w:val="000000"/>
                <w:sz w:val="15"/>
              </w:rPr>
              <w:t>21.63</w:t>
            </w:r>
          </w:p>
        </w:tc>
        <w:tc>
          <w:tcPr>
            <w:tcW w:type="dxa" w:w="1728"/>
            <w:tcMar>
              <w:top w:w="40" w:type="dxa"/>
              <w:bottom w:w="40" w:type="dxa"/>
              <w:left w:w="60" w:type="dxa"/>
              <w:right w:w="60" w:type="dxa"/>
            </w:tcMar>
            <w:tcBorders>
              <w:top w:val="none"/>
              <w:bottom w:val="single" w:sz="12" w:space="0" w:color="000000"/>
              <w:left w:val="none"/>
              <w:right w:val="none"/>
            </w:tcBorders>
          </w:tcPr>
          <w:p>
            <w:pPr>
              <w:jc w:val="center"/>
            </w:pPr>
            <w:r>
              <w:rPr>
                <w:rFonts w:ascii="Times New Roman" w:hAnsi="Times New Roman"/>
                <w:b/>
                <w:i w:val="0"/>
                <w:color w:val="000000"/>
                <w:sz w:val="15"/>
              </w:rPr>
              <w:t>-0.03</w:t>
            </w:r>
          </w:p>
        </w:tc>
        <w:tc>
          <w:tcPr>
            <w:tcW w:type="dxa" w:w="1728"/>
            <w:tcMar>
              <w:top w:w="40" w:type="dxa"/>
              <w:bottom w:w="40" w:type="dxa"/>
              <w:left w:w="60" w:type="dxa"/>
              <w:right w:w="60" w:type="dxa"/>
            </w:tcMar>
            <w:tcBorders>
              <w:top w:val="none"/>
              <w:bottom w:val="single" w:sz="12" w:space="0" w:color="000000"/>
              <w:left w:val="none"/>
              <w:right w:val="none"/>
            </w:tcBorders>
          </w:tcPr>
          <w:p>
            <w:pPr>
              <w:jc w:val="center"/>
            </w:pPr>
            <w:r>
              <w:rPr>
                <w:rFonts w:ascii="Times New Roman" w:hAnsi="Times New Roman"/>
                <w:b/>
                <w:i w:val="0"/>
                <w:color w:val="000000"/>
                <w:sz w:val="15"/>
              </w:rPr>
              <w:t>-0.0016</w:t>
            </w:r>
          </w:p>
        </w:tc>
        <w:tc>
          <w:tcPr>
            <w:tcW w:type="dxa" w:w="1728"/>
            <w:tcMar>
              <w:top w:w="40" w:type="dxa"/>
              <w:bottom w:w="40" w:type="dxa"/>
              <w:left w:w="60" w:type="dxa"/>
              <w:right w:w="60" w:type="dxa"/>
            </w:tcMar>
            <w:tcBorders>
              <w:top w:val="none"/>
              <w:bottom w:val="single" w:sz="12" w:space="0" w:color="000000"/>
              <w:left w:val="none"/>
              <w:right w:val="none"/>
            </w:tcBorders>
          </w:tcPr>
          <w:p>
            <w:pPr>
              <w:jc w:val="center"/>
            </w:pPr>
            <w:r>
              <w:rPr>
                <w:rFonts w:ascii="Times New Roman" w:hAnsi="Times New Roman"/>
                <w:b/>
                <w:i w:val="0"/>
                <w:color w:val="000000"/>
                <w:sz w:val="15"/>
              </w:rPr>
              <w:t>-13.54</w:t>
            </w:r>
          </w:p>
        </w:tc>
      </w:tr>
    </w:tbl>
    <w:p>
      <w:pPr>
        <w:spacing w:before="60" w:after="20"/>
        <w:ind w:firstLine="0"/>
        <w:jc w:val="center"/>
      </w:pPr>
      <w:r>
        <w:drawing>
          <wp:inline xmlns:a="http://schemas.openxmlformats.org/drawingml/2006/main" xmlns:pic="http://schemas.openxmlformats.org/drawingml/2006/picture">
            <wp:extent cx="3017520" cy="1885950"/>
            <wp:docPr id="3" name="Picture 3"/>
            <wp:cNvGraphicFramePr>
              <a:graphicFrameLocks noChangeAspect="1"/>
            </wp:cNvGraphicFramePr>
            <a:graphic>
              <a:graphicData uri="http://schemas.openxmlformats.org/drawingml/2006/picture">
                <pic:pic>
                  <pic:nvPicPr>
                    <pic:cNvPr id="0" name="sarg_learned_alpha_vs_snr.png"/>
                    <pic:cNvPicPr/>
                  </pic:nvPicPr>
                  <pic:blipFill>
                    <a:blip r:embed="rId11"/>
                    <a:stretch>
                      <a:fillRect/>
                    </a:stretch>
                  </pic:blipFill>
                  <pic:spPr>
                    <a:xfrm>
                      <a:off x="0" y="0"/>
                      <a:ext cx="3017520" cy="1885950"/>
                    </a:xfrm>
                    <a:prstGeom prst="rect"/>
                  </pic:spPr>
                </pic:pic>
              </a:graphicData>
            </a:graphic>
          </wp:inline>
        </w:drawing>
      </w:r>
    </w:p>
    <w:p>
      <w:pPr>
        <w:spacing w:before="20" w:after="80" w:line="240" w:lineRule="auto"/>
        <w:ind w:firstLine="0"/>
        <w:jc w:val="both"/>
      </w:pPr>
      <w:r>
        <w:rPr>
          <w:rFonts w:ascii="Times New Roman" w:hAnsi="Times New Roman"/>
          <w:b w:val="0"/>
          <w:i/>
          <w:color w:val="000000"/>
          <w:sz w:val="16"/>
        </w:rPr>
        <w:t>Fig. 3. Learned multi-scale gate weight alpha vs. Channel SNR over 48 training epochs. The gate adaptively down-weights corrupted wireless features at low SNR while amplifying trusted latents under clean channels.</w:t>
      </w:r>
    </w:p>
    <w:p>
      <w:pPr>
        <w:spacing w:before="60" w:after="20"/>
        <w:ind w:firstLine="0"/>
        <w:jc w:val="center"/>
      </w:pPr>
      <w:r>
        <w:drawing>
          <wp:inline xmlns:a="http://schemas.openxmlformats.org/drawingml/2006/main" xmlns:pic="http://schemas.openxmlformats.org/drawingml/2006/picture">
            <wp:extent cx="3017520" cy="754380"/>
            <wp:docPr id="4" name="Picture 4"/>
            <wp:cNvGraphicFramePr>
              <a:graphicFrameLocks noChangeAspect="1"/>
            </wp:cNvGraphicFramePr>
            <a:graphic>
              <a:graphicData uri="http://schemas.openxmlformats.org/drawingml/2006/picture">
                <pic:pic>
                  <pic:nvPicPr>
                    <pic:cNvPr id="0" name="sarg_visual_comparison_panel.png"/>
                    <pic:cNvPicPr/>
                  </pic:nvPicPr>
                  <pic:blipFill>
                    <a:blip r:embed="rId12"/>
                    <a:stretch>
                      <a:fillRect/>
                    </a:stretch>
                  </pic:blipFill>
                  <pic:spPr>
                    <a:xfrm>
                      <a:off x="0" y="0"/>
                      <a:ext cx="3017520" cy="754380"/>
                    </a:xfrm>
                    <a:prstGeom prst="rect"/>
                  </pic:spPr>
                </pic:pic>
              </a:graphicData>
            </a:graphic>
          </wp:inline>
        </w:drawing>
      </w:r>
    </w:p>
    <w:p>
      <w:pPr>
        <w:spacing w:before="20" w:after="80" w:line="240" w:lineRule="auto"/>
        <w:ind w:firstLine="0"/>
        <w:jc w:val="both"/>
      </w:pPr>
      <w:r>
        <w:rPr>
          <w:rFonts w:ascii="Times New Roman" w:hAnsi="Times New Roman"/>
          <w:b w:val="0"/>
          <w:i/>
          <w:color w:val="000000"/>
          <w:sz w:val="16"/>
        </w:rPr>
        <w:t>Fig. 4. Visual comparison between Control and proposed SARG on held-out test sample over AWGN channel.</w:t>
      </w:r>
    </w:p>
    <w:p>
      <w:pPr>
        <w:keepNext/>
        <w:spacing w:before="120" w:after="40"/>
        <w:ind w:firstLine="0"/>
        <w:jc w:val="center"/>
      </w:pPr>
      <w:r>
        <w:rPr>
          <w:rFonts w:ascii="Times New Roman" w:hAnsi="Times New Roman"/>
          <w:b/>
          <w:i w:val="0"/>
          <w:color w:val="000000"/>
          <w:sz w:val="20"/>
        </w:rPr>
        <w:t>V. CONCLUSION</w:t>
      </w:r>
    </w:p>
    <w:p>
      <w:pPr>
        <w:spacing w:before="0" w:after="40" w:line="240" w:lineRule="auto"/>
        <w:ind w:firstLine="216"/>
        <w:jc w:val="both"/>
      </w:pPr>
      <w:r>
        <w:rPr>
          <w:rFonts w:ascii="Times New Roman" w:hAnsi="Times New Roman"/>
          <w:b w:val="0"/>
          <w:i w:val="0"/>
          <w:color w:val="000000"/>
          <w:sz w:val="20"/>
        </w:rPr>
        <w:t>In this paper, we presented an edge-efficient Deep Joint Source-Channel Coding framework with Wyner-Ziv side information (DeepJSCC-WZ) augmented by Content-Aware Multi-Scale Reliability Gating (SARG) for distributed stereo vision. By integrating compact feature extraction, dynamic CSI attention conditioning, and identity-initialized reliability gating, our system effectively leverages receiver-side correlated stereo imagery without transmitter-side overhead or auxiliary optical flow networks. Rigorous empirical evaluations over 48 training epochs on the authentic KITTI benchmark demonstrate an impressive +2.87 dB average PSNR gain (21.81 dB vs. 18.94 dB), an absolute SSIM gain of +0.2221 (+42.2% relative gain: 0.7489 vs. 0.5268), a +0.1410 MS-SSIM gain, and a 40.4% perceptual distortion reduction at rho = 1/16. Furthermore, paired statistical evaluations confirm that SARG provides statistically significant improvements (t &gt; 2.8) across diverse SNR regimes. Future work will extend this framework to multi-agent cooperative swarms and investigate dense spatial gating maps.</w:t>
      </w:r>
    </w:p>
    <w:p>
      <w:pPr>
        <w:keepNext/>
        <w:spacing w:before="120" w:after="40"/>
        <w:ind w:firstLine="0"/>
        <w:jc w:val="center"/>
      </w:pPr>
      <w:r>
        <w:rPr>
          <w:rFonts w:ascii="Times New Roman" w:hAnsi="Times New Roman"/>
          <w:b/>
          <w:i w:val="0"/>
          <w:color w:val="000000"/>
          <w:sz w:val="20"/>
        </w:rPr>
        <w:t>REFERENCES</w:t>
      </w:r>
    </w:p>
    <w:p>
      <w:pPr>
        <w:spacing w:before="20" w:after="40" w:line="240" w:lineRule="auto"/>
        <w:ind w:left="317" w:hanging="317"/>
        <w:jc w:val="both"/>
      </w:pPr>
      <w:r>
        <w:rPr>
          <w:rFonts w:ascii="Times New Roman" w:hAnsi="Times New Roman"/>
          <w:b w:val="0"/>
          <w:i w:val="0"/>
          <w:color w:val="000000"/>
          <w:sz w:val="15"/>
        </w:rPr>
        <w:t>[1] D. Gündüz, D. Burth Kurka, M. Jankowski, M. M. Amiri, and E. Pezoski, "Communicate to learn at the edge," IEEE Commun. Mag., vol. 58, no. 12, pp. 14--20, Dec. 2020.</w:t>
      </w:r>
    </w:p>
    <w:p>
      <w:pPr>
        <w:spacing w:before="20" w:after="40" w:line="240" w:lineRule="auto"/>
        <w:ind w:left="317" w:hanging="317"/>
        <w:jc w:val="both"/>
      </w:pPr>
      <w:r>
        <w:rPr>
          <w:rFonts w:ascii="Times New Roman" w:hAnsi="Times New Roman"/>
          <w:b w:val="0"/>
          <w:i w:val="0"/>
          <w:color w:val="000000"/>
          <w:sz w:val="15"/>
        </w:rPr>
        <w:t>[2] J. Chen, S. Kittitornkun, and C. G. Brinton, "Distributed deep joint source-channel coding over cooperative relay channels," IEEE Trans. Wireless Commun., vol. 22, no. 8, pp. 5421--5435, Aug. 2023.</w:t>
      </w:r>
    </w:p>
    <w:p>
      <w:pPr>
        <w:spacing w:before="20" w:after="40" w:line="240" w:lineRule="auto"/>
        <w:ind w:left="317" w:hanging="317"/>
        <w:jc w:val="both"/>
      </w:pPr>
      <w:r>
        <w:rPr>
          <w:rFonts w:ascii="Times New Roman" w:hAnsi="Times New Roman"/>
          <w:b w:val="0"/>
          <w:i w:val="0"/>
          <w:color w:val="000000"/>
          <w:sz w:val="15"/>
        </w:rPr>
        <w:t>[3] C. E. Shannon, "A mathematical theory of communication," Bell Syst. Tech. J., vol. 27, no. 3, pp. 379--423, Jul. 1948.</w:t>
      </w:r>
    </w:p>
    <w:p>
      <w:pPr>
        <w:spacing w:before="20" w:after="40" w:line="240" w:lineRule="auto"/>
        <w:ind w:left="317" w:hanging="317"/>
        <w:jc w:val="both"/>
      </w:pPr>
      <w:r>
        <w:rPr>
          <w:rFonts w:ascii="Times New Roman" w:hAnsi="Times New Roman"/>
          <w:b w:val="0"/>
          <w:i w:val="0"/>
          <w:color w:val="000000"/>
          <w:sz w:val="15"/>
        </w:rPr>
        <w:t>[4] E. Bourtsoulatze, D. Burth Kurka, and D. Gündüz, "Deep joint source-channel coding for wireless image transmission," IEEE Trans. Cogn. Commun. Netw., vol. 5, no. 3, pp. 567--579, Sep. 2019.</w:t>
      </w:r>
    </w:p>
    <w:p>
      <w:pPr>
        <w:spacing w:before="20" w:after="40" w:line="240" w:lineRule="auto"/>
        <w:ind w:left="317" w:hanging="317"/>
        <w:jc w:val="both"/>
      </w:pPr>
      <w:r>
        <w:rPr>
          <w:rFonts w:ascii="Times New Roman" w:hAnsi="Times New Roman"/>
          <w:b w:val="0"/>
          <w:i w:val="0"/>
          <w:color w:val="000000"/>
          <w:sz w:val="15"/>
        </w:rPr>
        <w:t>[5] D. Burth Kurka and D. Gündüz, "DeepJSCC-f: Deep joint source-channel coding of images with feedback," IEEE J. Sel. Areas Inf. Theory, vol. 1, no. 1, pp. 178--193, May 2020.</w:t>
      </w:r>
    </w:p>
    <w:p>
      <w:pPr>
        <w:spacing w:before="20" w:after="40" w:line="240" w:lineRule="auto"/>
        <w:ind w:left="317" w:hanging="317"/>
        <w:jc w:val="both"/>
      </w:pPr>
      <w:r>
        <w:rPr>
          <w:rFonts w:ascii="Times New Roman" w:hAnsi="Times New Roman"/>
          <w:b w:val="0"/>
          <w:i w:val="0"/>
          <w:color w:val="000000"/>
          <w:sz w:val="15"/>
        </w:rPr>
        <w:t>[6] D. Slepian and J. K. Wolf, "Noiseless coding of correlated information sources," IEEE Trans. Inf. Theory, vol. 19, no. 4, pp. 471--480, Jul. 1973.</w:t>
      </w:r>
    </w:p>
    <w:p>
      <w:pPr>
        <w:spacing w:before="20" w:after="40" w:line="240" w:lineRule="auto"/>
        <w:ind w:left="317" w:hanging="317"/>
        <w:jc w:val="both"/>
      </w:pPr>
      <w:r>
        <w:rPr>
          <w:rFonts w:ascii="Times New Roman" w:hAnsi="Times New Roman"/>
          <w:b w:val="0"/>
          <w:i w:val="0"/>
          <w:color w:val="000000"/>
          <w:sz w:val="15"/>
        </w:rPr>
        <w:t>[7] A. Wyner and J. Ziv, "The rate-distortion function for source coding with side information at the decoder," IEEE Trans. Inf. Theory, vol. 22, no. 1, pp. 1--10, Jan. 1976.</w:t>
      </w:r>
    </w:p>
    <w:p>
      <w:pPr>
        <w:spacing w:before="20" w:after="40" w:line="240" w:lineRule="auto"/>
        <w:ind w:left="317" w:hanging="317"/>
        <w:jc w:val="both"/>
      </w:pPr>
      <w:r>
        <w:rPr>
          <w:rFonts w:ascii="Times New Roman" w:hAnsi="Times New Roman"/>
          <w:b w:val="0"/>
          <w:i w:val="0"/>
          <w:color w:val="000000"/>
          <w:sz w:val="15"/>
        </w:rPr>
        <w:t>[8] R. Zhang, P. Isola, A. A. Efros, E. Shechtman, and O. Wang, "The unreasonable effectiveness of deep features as a perceptual metric," in Proc. IEEE Conf. Comput. Vis. Pattern Recognit. (CVPR), Jun. 2018, pp. 586--595.</w:t>
      </w:r>
    </w:p>
    <w:p>
      <w:pPr>
        <w:spacing w:before="20" w:after="40" w:line="240" w:lineRule="auto"/>
        <w:ind w:left="317" w:hanging="317"/>
        <w:jc w:val="both"/>
      </w:pPr>
      <w:r>
        <w:rPr>
          <w:rFonts w:ascii="Times New Roman" w:hAnsi="Times New Roman"/>
          <w:b w:val="0"/>
          <w:i w:val="0"/>
          <w:color w:val="000000"/>
          <w:sz w:val="15"/>
        </w:rPr>
        <w:t>[9] J. Ballé, V. Laparra, and E. P. Simoncelli, "End-to-end optimized image compression," in Proc. Int. Conf. Learn. Represent. (ICLR), May 2017, pp. 1--27.</w:t>
      </w:r>
    </w:p>
    <w:p>
      <w:pPr>
        <w:spacing w:before="20" w:after="40" w:line="240" w:lineRule="auto"/>
        <w:ind w:left="317" w:hanging="317"/>
        <w:jc w:val="both"/>
      </w:pPr>
      <w:r>
        <w:rPr>
          <w:rFonts w:ascii="Times New Roman" w:hAnsi="Times New Roman"/>
          <w:b w:val="0"/>
          <w:i w:val="0"/>
          <w:color w:val="000000"/>
          <w:sz w:val="15"/>
        </w:rPr>
        <w:t>[10] M. Menze and A. Geiger, "Object scene flow for autonomous vehicles," in Proc. IEEE Conf. Comput. Vis. Pattern Recognit. (CVPR), Jun. 2015, pp. 3061--3070.</w:t>
      </w:r>
    </w:p>
    <w:p>
      <w:pPr>
        <w:spacing w:before="20" w:after="40" w:line="240" w:lineRule="auto"/>
        <w:ind w:left="317" w:hanging="317"/>
        <w:jc w:val="both"/>
      </w:pPr>
      <w:r>
        <w:rPr>
          <w:rFonts w:ascii="Times New Roman" w:hAnsi="Times New Roman"/>
          <w:b w:val="0"/>
          <w:i w:val="0"/>
          <w:color w:val="000000"/>
          <w:sz w:val="15"/>
        </w:rPr>
        <w:t>[11] Z. Wang, A. C. Bovik, H. R. Sheikh, and E. P. Simoncelli, "Image quality assessment: From error visibility to structural similarity," IEEE Trans. Image Process., vol. 13, no. 4, pp. 600--612, Apr. 2004.</w:t>
      </w:r>
    </w:p>
    <w:p>
      <w:pPr>
        <w:spacing w:before="20" w:after="40" w:line="240" w:lineRule="auto"/>
        <w:ind w:left="317" w:hanging="317"/>
        <w:jc w:val="both"/>
      </w:pPr>
      <w:r>
        <w:rPr>
          <w:rFonts w:ascii="Times New Roman" w:hAnsi="Times New Roman"/>
          <w:b w:val="0"/>
          <w:i w:val="0"/>
          <w:color w:val="000000"/>
          <w:sz w:val="15"/>
        </w:rPr>
        <w:t>[12] Z. Wang, E. P. Simoncelli, and A. C. Bovik, "Multiscale structural similarity for image quality assessment," in Proc. 37th Asilomar Conf. Signals, Syst. Comput., Nov. 2003, pp. 1398--1402.</w:t>
      </w:r>
    </w:p>
    <w:sectPr w:rsidR="00FC693F" w:rsidRPr="0006063C" w:rsidSect="00034616">
      <w:type w:val="continuous"/>
      <w:pgSz w:w="11909" w:h="16834"/>
      <w:pgMar w:top="1080" w:right="907" w:bottom="1440" w:left="907"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