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i w:val="0"/>
          <w:color w:val="505050"/>
          <w:sz w:val="17"/>
        </w:rPr>
        <w:t>IEEE TRANSACTIONS ON WIRELESS COMMUNICATIONS / CONFERENCE RESEARCH ARTICLE</w:t>
      </w:r>
    </w:p>
    <w:p>
      <w:pPr>
        <w:spacing w:before="20" w:after="80"/>
        <w:ind w:firstLine="0"/>
        <w:jc w:val="center"/>
      </w:pPr>
      <w:r>
        <w:rPr>
          <w:rFonts w:ascii="Times New Roman" w:hAnsi="Times New Roman"/>
          <w:b/>
          <w:i w:val="0"/>
          <w:color w:val="000000"/>
          <w:sz w:val="31"/>
        </w:rPr>
        <w:t>Distributed Deep Joint Source-Channel Coding with Wyner-Ziv Side Information and Content-Aware Multi-Scale Reliability Gating for Edge Stereo Vision</w:t>
      </w:r>
    </w:p>
    <w:tbl>
      <w:tblPr>
        <w:tblW w:type="auto" w:w="0"/>
        <w:jc w:val="center"/>
        <w:tblLayout w:type="fixed"/>
        <w:tblLook w:firstColumn="1" w:firstRow="1" w:lastColumn="0" w:lastRow="0" w:noHBand="0" w:noVBand="1" w:val="04A0"/>
      </w:tblPr>
      <w:tblGrid>
        <w:gridCol w:w="3413"/>
        <w:gridCol w:w="3413"/>
        <w:gridCol w:w="3413"/>
      </w:tblGrid>
      <w:tr>
        <w:tc>
          <w:tcPr>
            <w:tcW w:type="dxa" w:w="3398"/>
            <w:tcBorders>
              <w:top w:val="none"/>
              <w:left w:val="none"/>
              <w:bottom w:val="none"/>
              <w:right w:val="none"/>
            </w:tcBorders>
          </w:tcPr>
          <w:p>
            <w:pPr>
              <w:spacing w:before="0" w:after="30"/>
              <w:ind w:firstLine="0"/>
              <w:jc w:val="center"/>
            </w:pPr>
            <w:r>
              <w:rPr>
                <w:rFonts w:ascii="Times New Roman" w:hAnsi="Times New Roman"/>
                <w:b/>
                <w:i w:val="0"/>
                <w:color w:val="000000"/>
                <w:sz w:val="19"/>
              </w:rPr>
              <w:t>Bavya Shree S</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bavyashree@domain.edu</w:t>
            </w:r>
          </w:p>
        </w:tc>
        <w:tc>
          <w:tcPr>
            <w:tcW w:type="dxa" w:w="3398"/>
            <w:tcBorders>
              <w:top w:val="none"/>
              <w:left w:val="none"/>
              <w:bottom w:val="none"/>
              <w:right w:val="none"/>
            </w:tcBorders>
          </w:tcPr>
          <w:p>
            <w:pPr>
              <w:spacing w:before="0" w:after="30"/>
              <w:ind w:firstLine="0"/>
              <w:jc w:val="center"/>
            </w:pPr>
            <w:r>
              <w:rPr>
                <w:rFonts w:ascii="Times New Roman" w:hAnsi="Times New Roman"/>
                <w:b/>
                <w:i w:val="0"/>
                <w:color w:val="000000"/>
                <w:sz w:val="19"/>
              </w:rPr>
              <w:t>Research Co-Author</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coauthor@domain.edu</w:t>
            </w:r>
          </w:p>
        </w:tc>
        <w:tc>
          <w:tcPr>
            <w:tcW w:type="dxa" w:w="3398"/>
            <w:tcBorders>
              <w:top w:val="none"/>
              <w:left w:val="none"/>
              <w:bottom w:val="none"/>
              <w:right w:val="none"/>
            </w:tcBorders>
          </w:tcPr>
          <w:p>
            <w:pPr>
              <w:spacing w:before="0" w:after="30"/>
              <w:ind w:firstLine="0"/>
              <w:jc w:val="center"/>
            </w:pPr>
            <w:r>
              <w:rPr>
                <w:rFonts w:ascii="Times New Roman" w:hAnsi="Times New Roman"/>
                <w:b/>
                <w:i w:val="0"/>
                <w:color w:val="000000"/>
                <w:sz w:val="19"/>
              </w:rPr>
              <w:t>Faculty Research Advisor</w:t>
              <w:br/>
            </w:r>
            <w:r>
              <w:rPr>
                <w:rFonts w:ascii="Times New Roman" w:hAnsi="Times New Roman"/>
                <w:b w:val="0"/>
                <w:i/>
                <w:color w:val="000000"/>
                <w:sz w:val="17"/>
              </w:rPr>
              <w:t>Dept. of Electronics &amp; Communication</w:t>
              <w:br/>
            </w:r>
            <w:r>
              <w:rPr>
                <w:rFonts w:ascii="Times New Roman" w:hAnsi="Times New Roman"/>
                <w:b w:val="0"/>
                <w:i/>
                <w:color w:val="000000"/>
                <w:sz w:val="17"/>
              </w:rPr>
              <w:t>DCS Research Project Group</w:t>
              <w:br/>
            </w:r>
            <w:r>
              <w:rPr>
                <w:rFonts w:ascii="Times New Roman" w:hAnsi="Times New Roman"/>
                <w:b w:val="0"/>
                <w:i w:val="0"/>
                <w:color w:val="000000"/>
                <w:sz w:val="17"/>
              </w:rPr>
              <w:t>Bengaluru, India</w:t>
              <w:br/>
            </w:r>
            <w:r>
              <w:rPr>
                <w:rFonts w:ascii="Times New Roman" w:hAnsi="Times New Roman"/>
                <w:b w:val="0"/>
                <w:i w:val="0"/>
                <w:color w:val="000000"/>
                <w:sz w:val="17"/>
              </w:rPr>
              <w:t>advisor@domain.edu</w:t>
            </w:r>
          </w:p>
        </w:tc>
      </w:tr>
    </w:tbl>
    <w:p>
      <w:pPr>
        <w:spacing w:before="30" w:after="30"/>
        <w:ind w:firstLine="0"/>
      </w:pPr>
    </w:p>
    <w:p>
      <w:pPr>
        <w:spacing w:before="30" w:after="50" w:line="240" w:lineRule="auto"/>
        <w:ind w:firstLine="0"/>
        <w:jc w:val="both"/>
      </w:pPr>
      <w:r>
        <w:rPr>
          <w:rFonts w:ascii="Times New Roman" w:hAnsi="Times New Roman"/>
          <w:b/>
          <w:i w:val="0"/>
          <w:color w:val="000000"/>
          <w:sz w:val="18"/>
        </w:rPr>
        <w:t>Abstract---</w:t>
      </w:r>
      <w:r>
        <w:rPr>
          <w:rFonts w:ascii="Times New Roman" w:hAnsi="Times New Roman"/>
          <w:b/>
          <w:i w:val="0"/>
          <w:color w:val="000000"/>
          <w:sz w:val="18"/>
        </w:rPr>
        <w:t>Wireless transmission of bandwidth-intensive stereo visual data introduces critical throughput bottlenecks and fidelity degradation in distributed edge perception systems, including autonomous vehicular fleets and unmanned aerial formations. Conventional digital communication pipelines cascade separate source compression and channel coding algorithms; consequently, such systems exhibit the catastrophic cliff-edge effect under unexpected channel fading, wherein slight decreases in Signal-to-Noise Ratio (SNR) cause total decoding failure. Deep Joint Source-Channel Coding (DeepJSCC) overcomes separation limits by parameterizing direct non-linear mappings between continuous pixels and channel symbols. However, standard point-to-point DeepJSCC fails to exploit spatial correlation across distributed multi-camera viewpoints. This paper investigates an edge-efficient Deep Joint Source-Channel Coding framework with Wyner-Ziv correlated side information (DeepJSCC-WZ), augmented by a proposed Content-Aware Multi-Scale Reliability Gating (SARG) mechanism. The architecture incorporates a compact non-linear analysis transform, a bounded power-normalized complex channel modulation layer, dynamic Channel State Information (CSI) attention conditioning, and a multi-scale side-information feature pyramid that bypasses auxiliary optical flow networks. Furthermore, the proposed SARG mechanism arbitrates trust dynamically between noise-corrupted channel features and clean side features across five decoder resolution scales, governed by an exact identity initialization that eliminates degradation risk. Comparative empirical evaluations over 48 continuous epochs on the authentic KITTI stereo benchmark establish that the DeepJSCC-WZ architecture achieves an average Peak Signal-to-Noise Ratio (PSNR) of 21.81 dB, representing a +2.87 dB gain over the point-to-point DeepJSCC baseline (18.94 dB) at a channel bandwidth compression ratio of rho = 1/16. The framework yields an absolute Structural Similarity (SSIM) of 0.7489 compared to 0.5268 (+42.2% relative improvement), a Multi-Scale SSIM of 0.9045 versus 0.7635 (+0.1410 gain), and reduces Learned Perceptual Image Patch Similarity (LPIPS) distortion by 40.4% (0.3288 versus 0.5513). Relative to digital BPG and JPEG separation baselines, the model exhibits graceful degradation across the entire SNR spectrum without cliff collapse. Paired statistical evaluations drawing 20 fixed channel noise realizations per scene per SNR (8,400 forward passes) confirm that the proposed SARG novelty delivers statistically significant noise suppression under severe fading (SNR = -10 dB, +0.143 dB gain, paired t-statistic = 87.38, p &lt; 0.0001) by autonomously routing 89% trust to receiver side information. The entire system operates within 4.54M parameters, requires only 17.6 GFLOPs (a 5.8x reduction compared to optical flow approaches), executes in 47.0 ms serial / 28.6 ms pipelined latency on commodity CPU, and consumes 142 MB peak RAM, validating practical suitability for real-time edge deployment.</w:t>
      </w:r>
    </w:p>
    <w:p>
      <w:pPr>
        <w:spacing w:before="30" w:after="100" w:line="240" w:lineRule="auto"/>
        <w:ind w:firstLine="0"/>
        <w:jc w:val="both"/>
      </w:pPr>
      <w:r>
        <w:rPr>
          <w:rFonts w:ascii="Times New Roman" w:hAnsi="Times New Roman"/>
          <w:b/>
          <w:i/>
          <w:color w:val="000000"/>
          <w:sz w:val="18"/>
        </w:rPr>
        <w:t>Keywords---</w:t>
      </w:r>
      <w:r>
        <w:rPr>
          <w:rFonts w:ascii="Times New Roman" w:hAnsi="Times New Roman"/>
          <w:b w:val="0"/>
          <w:i/>
          <w:color w:val="000000"/>
          <w:sz w:val="18"/>
        </w:rPr>
        <w:t>Deep Joint Source-Channel Coding (DeepJSCC), Wyner-Ziv Information Theory, Distributed Source Coding, Content-Aware Multi-Scale Reliability Gating (SARG), Stereo Vision, Generalized Divisive Normalization, Additive White Gaussian Noise (AWGN), Edge Computing, Cooperative Autonomous Vehicles.</w:t>
      </w:r>
    </w:p>
    <w:p>
      <w:pPr>
        <w:sectPr>
          <w:pgSz w:w="11909" w:h="16834"/>
          <w:pgMar w:top="936" w:right="835" w:bottom="1008" w:left="835" w:header="720" w:footer="720" w:gutter="0"/>
          <w:cols w:space="720"/>
          <w:docGrid w:linePitch="360"/>
        </w:sectPr>
      </w:pPr>
    </w:p>
    <w:p>
      <w:pPr>
        <w:keepNext/>
        <w:spacing w:before="90" w:after="30"/>
        <w:ind w:firstLine="0"/>
        <w:jc w:val="center"/>
      </w:pPr>
      <w:r>
        <w:rPr>
          <w:rFonts w:ascii="Times New Roman" w:hAnsi="Times New Roman"/>
          <w:b/>
          <w:i w:val="0"/>
          <w:color w:val="000000"/>
          <w:sz w:val="20"/>
        </w:rPr>
        <w:t>I. INTRODUCTION</w:t>
      </w:r>
    </w:p>
    <w:p>
      <w:pPr>
        <w:spacing w:before="0" w:after="30" w:line="240" w:lineRule="auto"/>
        <w:ind w:firstLine="202"/>
        <w:jc w:val="both"/>
      </w:pPr>
      <w:r>
        <w:rPr>
          <w:rFonts w:ascii="Times New Roman" w:hAnsi="Times New Roman"/>
          <w:b w:val="0"/>
          <w:i w:val="0"/>
          <w:color w:val="000000"/>
          <w:sz w:val="19"/>
        </w:rPr>
        <w:t>Distributed multi-sensor perception was established as a cornerstone of next-generation autonomous platforms, cooperative vehicular networks, and unmanned aerial swarms. In typical deployment scenarios, spatial environments were monitored by multiple horizontally separated optical sensing devices. In cooperative driving formations, stereo visual imagery was captured to facilitate real-time depth calculation, obstacle detection, and trajectory planning [1], [2]. Because visual sensors were physically distributed across separate vehicles or roadside infrastructural units, visual telemetry was frequently transmitted over bandlimited, time-varying wireless channels to a central fusion hub or an adjacent vehicle.</w:t>
      </w:r>
    </w:p>
    <w:p>
      <w:pPr>
        <w:spacing w:before="0" w:after="30" w:line="240" w:lineRule="auto"/>
        <w:ind w:firstLine="202"/>
        <w:jc w:val="both"/>
      </w:pPr>
      <w:r>
        <w:rPr>
          <w:rFonts w:ascii="Times New Roman" w:hAnsi="Times New Roman"/>
          <w:b w:val="0"/>
          <w:i w:val="0"/>
          <w:color w:val="000000"/>
          <w:sz w:val="19"/>
        </w:rPr>
        <w:t>Historically, wireless image transmission was implemented via classical digital communication frameworks structured upon Shannon's separation theorem [3]. In such systems, source compression (e.g., JPEG, JPEG2000, or BPG) was deployed independently from channel error-correction coding (e.g., Low-Density Parity-Check [LDPC] or Polar codes). Although Shannon established the theoretical asymptotic optimality of modular separation, this optimality was guaranteed strictly in the limit of infinite codeword blocklength. Under stringent latency and computational constraints characteristic of edge robotic platforms, finite blocklength effects severely degraded operational robustness.</w:t>
      </w:r>
    </w:p>
    <w:p>
      <w:pPr>
        <w:spacing w:before="0" w:after="30" w:line="240" w:lineRule="auto"/>
        <w:ind w:firstLine="202"/>
        <w:jc w:val="both"/>
      </w:pPr>
      <w:r>
        <w:rPr>
          <w:rFonts w:ascii="Times New Roman" w:hAnsi="Times New Roman"/>
          <w:b w:val="0"/>
          <w:i w:val="0"/>
          <w:color w:val="000000"/>
          <w:sz w:val="19"/>
        </w:rPr>
        <w:t>Most critically, digital separation systems were subject to the catastrophic "cliff effect." When channel conditions deteriorated such that the instantaneous Signal-to-Noise Ratio (SNR) dropped below the designated forward error-correction decoding threshold, channel decoders failed abruptly, generating undecodable bitstreams and causing complete visual loss. Conversely, when the physical channel exhibited high SNR, digital systems were unable to exploit the excess channel capacity without adaptive re-quantization and dynamic handshaking overhead.</w:t>
      </w:r>
    </w:p>
    <w:p>
      <w:pPr>
        <w:spacing w:before="0" w:after="30" w:line="240" w:lineRule="auto"/>
        <w:ind w:firstLine="202"/>
        <w:jc w:val="both"/>
      </w:pPr>
      <w:r>
        <w:rPr>
          <w:rFonts w:ascii="Times New Roman" w:hAnsi="Times New Roman"/>
          <w:b w:val="0"/>
          <w:i w:val="0"/>
          <w:color w:val="000000"/>
          <w:sz w:val="19"/>
        </w:rPr>
        <w:t>To circumvent the cliff effect, Deep Joint Source-Channel Coding (DeepJSCC) paradigms were developed [4], [5]. By mapping uncompressed input pixels directly into continuous-valued channel modulation symbols using non-linear convolutional neural networks, DeepJSCC schemes established end-to-end differentiable transmission pipelines. Channel noise was directly integrated into the backpropagation graph as a non-differentiable or stochastic layer. Consequently, DeepJSCC exhibited graceful degradation: reconstructed image quality scaled continuously and monotonically with channel SNR without sudden collapse.</w:t>
      </w:r>
    </w:p>
    <w:p>
      <w:pPr>
        <w:spacing w:before="0" w:after="30" w:line="240" w:lineRule="auto"/>
        <w:ind w:firstLine="202"/>
        <w:jc w:val="both"/>
      </w:pPr>
      <w:r>
        <w:rPr>
          <w:rFonts w:ascii="Times New Roman" w:hAnsi="Times New Roman"/>
          <w:b w:val="0"/>
          <w:i w:val="0"/>
          <w:color w:val="000000"/>
          <w:sz w:val="19"/>
        </w:rPr>
        <w:t>Nevertheless, early DeepJSCC models were designed primarily for isolated, point-to-point wireless transmission links. In multi-agent stereo perception, substantial inter-view redundancy existed between the transmitted camera viewpoint and adjacent optical views already accessible at the destination receiver. Transmitting the complete stereo baseline independently resulted in excessive spectral congestion. The theoretical underpinning of asymmetric correlation exploitation was originally formulated by Slepian and Wolf [6] for lossless coding and extended to lossy source coding with decoder side information by Wyner and Ziv [7]. The Wyner-Ziv theorem demonstrated that for memoryless Gaussian sources under mean-squared error distortion, having correlated side information available strictly at the decoder incurs zero rate penalty compared to an ideal system where side information was accessible to both encoder and decoder simultaneously.</w:t>
      </w:r>
    </w:p>
    <w:p>
      <w:pPr>
        <w:spacing w:before="0" w:after="30" w:line="240" w:lineRule="auto"/>
        <w:ind w:firstLine="202"/>
        <w:jc w:val="both"/>
      </w:pPr>
      <w:r>
        <w:rPr>
          <w:rFonts w:ascii="Times New Roman" w:hAnsi="Times New Roman"/>
          <w:b w:val="0"/>
          <w:i w:val="0"/>
          <w:color w:val="000000"/>
          <w:sz w:val="19"/>
        </w:rPr>
        <w:t>Despite theoretical promise, practical realization of Wyner-Ziv coding in deep wireless transmission encountered significant hurdles. Prior neural distributed coding models relied heavily on auxiliary optical flow networks (e.g., PWC-Net, RAFT) to perform explicit pixel-level warping. These flow networks introduced prohibitive computational burdens (&gt;100 GFLOPs), required excessive memory, and failed under severe occlusion or low-light conditions. Furthermore, in existing deep Wyner-Ziv designs, received channel features and side-information features were merged through naive static concatenation. Under deep channel fading (e.g., SNR = -10 dB), corrupted channel features contaminated clean side information, degrading output fidelity.</w:t>
      </w:r>
    </w:p>
    <w:p>
      <w:pPr>
        <w:spacing w:before="0" w:after="30" w:line="240" w:lineRule="auto"/>
        <w:ind w:firstLine="202"/>
        <w:jc w:val="both"/>
      </w:pPr>
      <w:r>
        <w:rPr>
          <w:rFonts w:ascii="Times New Roman" w:hAnsi="Times New Roman"/>
          <w:b w:val="0"/>
          <w:i w:val="0"/>
          <w:color w:val="000000"/>
          <w:sz w:val="19"/>
        </w:rPr>
        <w:t>To resolve these fundamental limitations, this paper investigates a comprehensive, edge-efficient Deep Joint Source-Channel Coding framework with Wyner-Ziv side information (DeepJSCC-WZ) and proposes a novel Content-Aware Multi-Scale Reliability Gating (SARG) mechanism tailored for distributed stereo vision. The technical contributions presented in this work are outlined as follows:</w:t>
      </w:r>
    </w:p>
    <w:p>
      <w:pPr>
        <w:spacing w:before="0" w:after="30" w:line="240" w:lineRule="auto"/>
        <w:ind w:firstLine="115"/>
        <w:jc w:val="both"/>
      </w:pPr>
      <w:r>
        <w:rPr>
          <w:rFonts w:ascii="Times New Roman" w:hAnsi="Times New Roman"/>
          <w:b w:val="0"/>
          <w:i w:val="0"/>
          <w:color w:val="000000"/>
          <w:sz w:val="19"/>
        </w:rPr>
        <w:t>[bullet] End-to-End DeepJSCC-WZ Architecture: A fully differentiable distributed joint source-channel coding pipeline is constructed. The architecture integrates a compact analysis encoder, an average-power constrained complex modulation layer, dynamic Channel State Information (CSI) attention conditioning (AFModule), and a multi-scale side-information pyramid that aligns stereo disparities implicitly without external optical flow computation.</w:t>
      </w:r>
    </w:p>
    <w:p>
      <w:pPr>
        <w:spacing w:before="0" w:after="30" w:line="240" w:lineRule="auto"/>
        <w:ind w:firstLine="115"/>
        <w:jc w:val="both"/>
      </w:pPr>
      <w:r>
        <w:rPr>
          <w:rFonts w:ascii="Times New Roman" w:hAnsi="Times New Roman"/>
          <w:b w:val="0"/>
          <w:i w:val="0"/>
          <w:color w:val="000000"/>
          <w:sz w:val="19"/>
        </w:rPr>
        <w:t>[bullet] Content-Aware Multi-Scale Reliability Gating (SARG): A novel gating mechanism is proposed to dynamically arbitrate trust between noise-corrupted channel latents and pristine receiver side information. The gate is conditioned simultaneously on channel SNR and pooled spatial semantic features across five pyramid scales, incorporating an exact zero-initialized identity mapping that strictly precludes performance degradation.</w:t>
      </w:r>
    </w:p>
    <w:p>
      <w:pPr>
        <w:spacing w:before="0" w:after="30" w:line="240" w:lineRule="auto"/>
        <w:ind w:firstLine="115"/>
        <w:jc w:val="both"/>
      </w:pPr>
      <w:r>
        <w:rPr>
          <w:rFonts w:ascii="Times New Roman" w:hAnsi="Times New Roman"/>
          <w:b w:val="0"/>
          <w:i w:val="0"/>
          <w:color w:val="000000"/>
          <w:sz w:val="19"/>
        </w:rPr>
        <w:t>[bullet] Bounded Native-Tensor GDN Implementation: A mathematically bounded, native PyTorch tensor parameterization of Generalized Divisive Normalization is formulated. By enforcing positive semi-definiteness on normalization kernels and strict lower bounds on bias vectors, bounded Lipschitz gradients and numerical stability are guaranteed without relying on third-party compiled C++ libraries.</w:t>
      </w:r>
    </w:p>
    <w:p>
      <w:pPr>
        <w:spacing w:before="0" w:after="30" w:line="240" w:lineRule="auto"/>
        <w:ind w:firstLine="115"/>
        <w:jc w:val="both"/>
      </w:pPr>
      <w:r>
        <w:rPr>
          <w:rFonts w:ascii="Times New Roman" w:hAnsi="Times New Roman"/>
          <w:b w:val="0"/>
          <w:i w:val="0"/>
          <w:color w:val="000000"/>
          <w:sz w:val="19"/>
        </w:rPr>
        <w:t>[bullet] Extensive Comparative and Statistical Validation: Rigorous evaluations were conducted over 48 continuous epochs on the authentic KITTI Stereo 2015 driving benchmark. The proposed model was benchmarked against traditional digital separation systems (BPG+LDPC, JPEG+LDPC), point-to-point DeepJSCC, and optical-flow-assisted pipelines. Paired statistical testing over 8,400 forward evaluations confirmed statistically significant gains across diverse SNR regimes.</w:t>
      </w:r>
    </w:p>
    <w:p>
      <w:pPr>
        <w:keepNext/>
        <w:spacing w:before="90" w:after="30"/>
        <w:ind w:firstLine="0"/>
        <w:jc w:val="center"/>
      </w:pPr>
      <w:r>
        <w:rPr>
          <w:rFonts w:ascii="Times New Roman" w:hAnsi="Times New Roman"/>
          <w:b/>
          <w:i w:val="0"/>
          <w:color w:val="000000"/>
          <w:sz w:val="20"/>
        </w:rPr>
        <w:t>II. RELATED WORK AND BASELINE PARADIGMS</w:t>
      </w:r>
    </w:p>
    <w:p>
      <w:pPr>
        <w:spacing w:before="0" w:after="30" w:line="240" w:lineRule="auto"/>
        <w:ind w:firstLine="202"/>
        <w:jc w:val="both"/>
      </w:pPr>
      <w:r>
        <w:rPr>
          <w:rFonts w:ascii="Times New Roman" w:hAnsi="Times New Roman"/>
          <w:b w:val="0"/>
          <w:i w:val="0"/>
          <w:color w:val="000000"/>
          <w:sz w:val="19"/>
        </w:rPr>
        <w:t>The historical progression of wireless image transmission and distributed source coding was characterized by several distinct phases, ranging from classical information-theoretic formulations to modern data-driven neural network frameworks.</w:t>
      </w:r>
    </w:p>
    <w:p>
      <w:pPr>
        <w:keepNext/>
        <w:spacing w:before="60" w:after="20"/>
        <w:ind w:firstLine="0"/>
        <w:jc w:val="left"/>
      </w:pPr>
      <w:r>
        <w:rPr>
          <w:rFonts w:ascii="Times New Roman" w:hAnsi="Times New Roman"/>
          <w:b/>
          <w:i/>
          <w:color w:val="000000"/>
          <w:sz w:val="19"/>
        </w:rPr>
        <w:t>A. Conventional Digital Separation Baselines</w:t>
      </w:r>
    </w:p>
    <w:p>
      <w:pPr>
        <w:spacing w:before="0" w:after="30" w:line="240" w:lineRule="auto"/>
        <w:ind w:firstLine="202"/>
        <w:jc w:val="both"/>
      </w:pPr>
      <w:r>
        <w:rPr>
          <w:rFonts w:ascii="Times New Roman" w:hAnsi="Times New Roman"/>
          <w:b w:val="0"/>
          <w:i w:val="0"/>
          <w:color w:val="000000"/>
          <w:sz w:val="19"/>
        </w:rPr>
        <w:t>In classical digital communication systems, image transmission was executed through a two-stage separated pipeline. The source image was first compressed into a discrete binary bitstream using standardized source codecs such as JPEG, JPEG2000, or Better Portable Graphics (BPG) [8]. Subsequently, channel encoders such as Low-Density Parity-Check (LDPC) or Polar codes introduced parity redundancy to protect the bitstream against channel-induced bit errors over Additive White Gaussian Noise (AWGN) or Rayleigh fading channels. At the receiver, channel decoders performed belief propagation iterations to reconstruct the bitstream, which was then passed to the source decompression engine.</w:t>
      </w:r>
    </w:p>
    <w:p>
      <w:pPr>
        <w:spacing w:before="0" w:after="30" w:line="240" w:lineRule="auto"/>
        <w:ind w:firstLine="202"/>
        <w:jc w:val="both"/>
      </w:pPr>
      <w:r>
        <w:rPr>
          <w:rFonts w:ascii="Times New Roman" w:hAnsi="Times New Roman"/>
          <w:b w:val="0"/>
          <w:i w:val="0"/>
          <w:color w:val="000000"/>
          <w:sz w:val="19"/>
        </w:rPr>
        <w:t>However, digital separation architectures suffered from inherent rigidities. Because source compression was optimized for rate-distortion in the absence of channel awareness, bit errors in high-entropy syntax headers produced catastrophic decoding desynchronization. If the channel SNR dropped below the threshold required for successful parity check convergence, the block error rate surged to unity, precipitating the cliff effect. Furthermore, classical digital schemes were unable to seamlessly incorporate receiver-side correlated visual imagery without complex multi-terminal distributed video coding protocols.</w:t>
      </w:r>
    </w:p>
    <w:p>
      <w:pPr>
        <w:keepNext/>
        <w:spacing w:before="60" w:after="20"/>
        <w:ind w:firstLine="0"/>
        <w:jc w:val="left"/>
      </w:pPr>
      <w:r>
        <w:rPr>
          <w:rFonts w:ascii="Times New Roman" w:hAnsi="Times New Roman"/>
          <w:b/>
          <w:i/>
          <w:color w:val="000000"/>
          <w:sz w:val="19"/>
        </w:rPr>
        <w:t>B. Point-to-Point Deep Joint Source-Channel Coding</w:t>
      </w:r>
    </w:p>
    <w:p>
      <w:pPr>
        <w:spacing w:before="0" w:after="30" w:line="240" w:lineRule="auto"/>
        <w:ind w:firstLine="202"/>
        <w:jc w:val="both"/>
      </w:pPr>
      <w:r>
        <w:rPr>
          <w:rFonts w:ascii="Times New Roman" w:hAnsi="Times New Roman"/>
          <w:b w:val="0"/>
          <w:i w:val="0"/>
          <w:color w:val="000000"/>
          <w:sz w:val="19"/>
        </w:rPr>
        <w:t>To overcome the cliff effect, DeepJSCC was introduced by Bourtsoulatze et al. [4] for wireless image transmission over AWGN and Rayleigh fading channels. By replacing discrete quantization and entropy coding with continuous non-linear neural transformations, DeepJSCC mapped pixel matrices directly into real- or complex-valued channel symbols. In [5], feedback mechanisms (DeepJSCC-f) were incorporated to refine successive transmissions. In [9], attention-based conditioning was integrated to enable a single model to adapt dynamically to varying channel SNR conditions. While point-to-point DeepJSCC achieved superior perceptual fidelity and graceful degradation compared to digital baselines, it was formulated exclusively for single-transmitter single-receiver topologies, failing to exploit correlated side information available at distributed receiver nodes.</w:t>
      </w:r>
    </w:p>
    <w:p>
      <w:pPr>
        <w:keepNext/>
        <w:spacing w:before="60" w:after="20"/>
        <w:ind w:firstLine="0"/>
        <w:jc w:val="left"/>
      </w:pPr>
      <w:r>
        <w:rPr>
          <w:rFonts w:ascii="Times New Roman" w:hAnsi="Times New Roman"/>
          <w:b/>
          <w:i/>
          <w:color w:val="000000"/>
          <w:sz w:val="19"/>
        </w:rPr>
        <w:t>C. Distributed Source Coding and Wyner-Ziv Formulations</w:t>
      </w:r>
    </w:p>
    <w:p>
      <w:pPr>
        <w:spacing w:before="0" w:after="30" w:line="240" w:lineRule="auto"/>
        <w:ind w:firstLine="202"/>
        <w:jc w:val="both"/>
      </w:pPr>
      <w:r>
        <w:rPr>
          <w:rFonts w:ascii="Times New Roman" w:hAnsi="Times New Roman"/>
          <w:b w:val="0"/>
          <w:i w:val="0"/>
          <w:color w:val="000000"/>
          <w:sz w:val="19"/>
        </w:rPr>
        <w:t>The theoretical foundation of distributed source coding originated with the Slepian-Wolf theorem [6] for lossless compression of correlated discrete sources. Wyner and Ziv [7] extended this concept to lossy compression with side information available strictly at the decoder. In classical distributed video coding (DVC), such as the DISCOVER architecture [10], Wyner-Ziv frames were transformed via DCT and compressed using punctured turbo or LDPC syndrome codes, while the decoder generated side information via motion-compensated temporal interpolation.</w:t>
      </w:r>
    </w:p>
    <w:p>
      <w:pPr>
        <w:spacing w:before="0" w:after="30" w:line="240" w:lineRule="auto"/>
        <w:ind w:firstLine="202"/>
        <w:jc w:val="both"/>
      </w:pPr>
      <w:r>
        <w:rPr>
          <w:rFonts w:ascii="Times New Roman" w:hAnsi="Times New Roman"/>
          <w:b w:val="0"/>
          <w:i w:val="0"/>
          <w:color w:val="000000"/>
          <w:sz w:val="19"/>
        </w:rPr>
        <w:t>Recently, neural network extensions of Wyner-Ziv coding were explored for multi-view vision. In several works, optical flow networks (e.g., FlowNet, PWC-Net [11], RAFT [12]) were utilized at the receiver to warp side-information pixels toward the reference viewpoint. However, explicit optical flow estimation incurred immense computational latency (&gt;150 ms per frame), consumed substantial GPU memory, and generated severe geometric artifacts in occluded or textureless image regions. Moreover, in existing neural Wyner-Ziv implementations, the fusion of transmitted wireless features and warped side features was executed through static channel concatenation or unweighted addition, leaving the network highly vulnerable to noise contamination under poor channel SNR.</w:t>
      </w:r>
    </w:p>
    <w:p>
      <w:pPr>
        <w:keepNext/>
        <w:spacing w:before="90" w:after="30"/>
        <w:ind w:firstLine="0"/>
        <w:jc w:val="center"/>
      </w:pPr>
      <w:r>
        <w:rPr>
          <w:rFonts w:ascii="Times New Roman" w:hAnsi="Times New Roman"/>
          <w:b/>
          <w:i w:val="0"/>
          <w:color w:val="000000"/>
          <w:sz w:val="20"/>
        </w:rPr>
        <w:t>III. BASE DEEPJSCC-WZ ARCHITECTURE IMPLEMENTATION</w:t>
      </w:r>
    </w:p>
    <w:p>
      <w:pPr>
        <w:spacing w:before="0" w:after="30" w:line="240" w:lineRule="auto"/>
        <w:ind w:firstLine="202"/>
        <w:jc w:val="both"/>
      </w:pPr>
      <w:r>
        <w:rPr>
          <w:rFonts w:ascii="Times New Roman" w:hAnsi="Times New Roman"/>
          <w:b w:val="0"/>
          <w:i w:val="0"/>
          <w:color w:val="000000"/>
          <w:sz w:val="19"/>
        </w:rPr>
        <w:t>The proposed DeepJSCC-WZ architecture realizes an end-to-end differentiable transmission system wherein stereo visual correlation is harnessed without explicit optical flow estimation. The structural flow of the base system is depicted through its constituent functional blocks.</w:t>
      </w:r>
    </w:p>
    <w:p>
      <w:pPr>
        <w:keepNext/>
        <w:spacing w:before="60" w:after="20"/>
        <w:ind w:firstLine="0"/>
        <w:jc w:val="left"/>
      </w:pPr>
      <w:r>
        <w:rPr>
          <w:rFonts w:ascii="Times New Roman" w:hAnsi="Times New Roman"/>
          <w:b/>
          <w:i/>
          <w:color w:val="000000"/>
          <w:sz w:val="19"/>
        </w:rPr>
        <w:t>A. System Formulation and Bandwidth Constraints</w:t>
      </w:r>
    </w:p>
    <w:p>
      <w:pPr>
        <w:spacing w:before="0" w:after="30" w:line="240" w:lineRule="auto"/>
        <w:ind w:firstLine="202"/>
        <w:jc w:val="both"/>
      </w:pPr>
      <w:r>
        <w:rPr>
          <w:rFonts w:ascii="Times New Roman" w:hAnsi="Times New Roman"/>
          <w:b w:val="0"/>
          <w:i w:val="0"/>
          <w:color w:val="000000"/>
          <w:sz w:val="19"/>
        </w:rPr>
        <w:t>Let x in R^(C x H x W) represent the primary source image captured at the transmitting sensor (left camera), where C = 3 color channels, and H x W denote spatial resolution. For the standardized experimental resolution of H = 64 and W = 128 pixels, the real source dimensionality is n = C . H . W = 24,576 real values. Concurrently, let x_s in R^(C x H x W) denote the correlated side-information image captured by an adjacent stereo sensor (right camera) and stored locally at the receiver.</w:t>
      </w:r>
    </w:p>
    <w:p>
      <w:pPr>
        <w:spacing w:before="0" w:after="30" w:line="240" w:lineRule="auto"/>
        <w:ind w:firstLine="202"/>
        <w:jc w:val="both"/>
      </w:pPr>
      <w:r>
        <w:rPr>
          <w:rFonts w:ascii="Times New Roman" w:hAnsi="Times New Roman"/>
          <w:b w:val="0"/>
          <w:i w:val="0"/>
          <w:color w:val="000000"/>
          <w:sz w:val="19"/>
        </w:rPr>
        <w:t>The transmitter applies a non-linear analysis transform g_a(x; theta_e) parameterized by convolutional weights theta_e to produce a continuous latent representation z in R^(C_out x (H/16) x (W/16)). Setting C_out = 96 channels yields a spatial latent grid of 4 x 8 with 3,072 real-valued coefficients. These real coefficients are paired into k = 1,536 complex channel symbols. The channel bandwidth compression ratio rho is defined as:</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rho = k / n = 1536 / 24576 = 1 / 16</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(1)</w:t>
            </w:r>
          </w:p>
        </w:tc>
      </w:tr>
    </w:tbl>
    <w:p>
      <w:pPr>
        <w:spacing w:before="0" w:after="30" w:line="240" w:lineRule="auto"/>
        <w:ind w:firstLine="202"/>
        <w:jc w:val="both"/>
      </w:pPr>
      <w:r>
        <w:rPr>
          <w:rFonts w:ascii="Times New Roman" w:hAnsi="Times New Roman"/>
          <w:b w:val="0"/>
          <w:i w:val="0"/>
          <w:color w:val="000000"/>
          <w:sz w:val="19"/>
        </w:rPr>
        <w:t>To adhere to physical transmitter power constraints, the complex symbol vector s is subjected to strict average power normalization:</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s = sqrt(k) . ( z / ||z||_2 ),    such that  (1/k) ||s||_2^2 &lt;= 1.0</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(2)</w:t>
            </w:r>
          </w:p>
        </w:tc>
      </w:tr>
    </w:tbl>
    <w:p>
      <w:pPr>
        <w:keepNext/>
        <w:spacing w:before="60" w:after="20"/>
        <w:ind w:firstLine="0"/>
        <w:jc w:val="left"/>
      </w:pPr>
      <w:r>
        <w:rPr>
          <w:rFonts w:ascii="Times New Roman" w:hAnsi="Times New Roman"/>
          <w:b/>
          <w:i/>
          <w:color w:val="000000"/>
          <w:sz w:val="19"/>
        </w:rPr>
        <w:t>B. Physical Wireless Channel Model</w:t>
      </w:r>
    </w:p>
    <w:p>
      <w:pPr>
        <w:spacing w:before="0" w:after="30" w:line="240" w:lineRule="auto"/>
        <w:ind w:firstLine="202"/>
        <w:jc w:val="both"/>
      </w:pPr>
      <w:r>
        <w:rPr>
          <w:rFonts w:ascii="Times New Roman" w:hAnsi="Times New Roman"/>
          <w:b w:val="0"/>
          <w:i w:val="0"/>
          <w:color w:val="000000"/>
          <w:sz w:val="19"/>
        </w:rPr>
        <w:t>The normalized complex modulation symbols traverse an unquantized physical channel affected by complex Additive White Gaussian Noise (AWGN):</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y = s + n_c,    n_c ~ CN(0, sigma^2 . I_k)</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(3)</w:t>
            </w:r>
          </w:p>
        </w:tc>
      </w:tr>
    </w:tbl>
    <w:p>
      <w:pPr>
        <w:spacing w:before="0" w:after="30" w:line="240" w:lineRule="auto"/>
        <w:ind w:firstLine="202"/>
        <w:jc w:val="both"/>
      </w:pPr>
      <w:r>
        <w:rPr>
          <w:rFonts w:ascii="Times New Roman" w:hAnsi="Times New Roman"/>
          <w:b w:val="0"/>
          <w:i w:val="0"/>
          <w:color w:val="000000"/>
          <w:sz w:val="19"/>
        </w:rPr>
        <w:t>where n_c represents circularly symmetric complex Gaussian noise. The noise variance sigma^2 is determined by the channel Signal-to-Noise Ratio (SNR) in decibels: sigma^2 = 10^(-SNR/10). The channel output y is delivered directly to the receiver synthesis transform.</w:t>
      </w:r>
    </w:p>
    <w:p>
      <w:pPr>
        <w:keepNext/>
        <w:spacing w:before="60" w:after="20"/>
        <w:ind w:firstLine="0"/>
        <w:jc w:val="left"/>
      </w:pPr>
      <w:r>
        <w:rPr>
          <w:rFonts w:ascii="Times New Roman" w:hAnsi="Times New Roman"/>
          <w:b/>
          <w:i/>
          <w:color w:val="000000"/>
          <w:sz w:val="19"/>
        </w:rPr>
        <w:t>C. Transmitter Analysis Transform and Bounded Native GDN</w:t>
      </w:r>
    </w:p>
    <w:p>
      <w:pPr>
        <w:spacing w:before="0" w:after="30" w:line="240" w:lineRule="auto"/>
        <w:ind w:firstLine="202"/>
        <w:jc w:val="both"/>
      </w:pPr>
      <w:r>
        <w:rPr>
          <w:rFonts w:ascii="Times New Roman" w:hAnsi="Times New Roman"/>
          <w:b w:val="0"/>
          <w:i w:val="0"/>
          <w:color w:val="000000"/>
          <w:sz w:val="19"/>
        </w:rPr>
        <w:t>The transmitter analysis encoder g_a comprises four successive downsampling stages. Each stage utilizes 5 x 5 convolutional kernels with a stride of 2, progressively reducing spatial resolution while expanding feature channels from C = 3 to N = 64, and ultimately to C_out = 96. Non-linear activation is governed by Generalized Divisive Normalization (GDN) [13], which models biological neural inhibition:</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u_i = v_i / sqrt( beta_i + sum_j gamma_{ij} . v_j^2 )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(4)</w:t>
            </w:r>
          </w:p>
        </w:tc>
      </w:tr>
    </w:tbl>
    <w:p>
      <w:pPr>
        <w:spacing w:before="0" w:after="30" w:line="240" w:lineRule="auto"/>
        <w:ind w:firstLine="202"/>
        <w:jc w:val="both"/>
      </w:pPr>
      <w:r>
        <w:rPr>
          <w:rFonts w:ascii="Times New Roman" w:hAnsi="Times New Roman"/>
          <w:b w:val="0"/>
          <w:i w:val="0"/>
          <w:color w:val="000000"/>
          <w:sz w:val="19"/>
        </w:rPr>
        <w:t>In prior literature, GDN implementations frequently suffered from numerical instabilities, division-by-zero errors, or required external compiled CUDA/C++ extensions. In this framework, a bounded native-tensor parameterization is established in pure PyTorch. The parameter matrix gamma is enforced to be strictly positive semi-definite via a symmetric absolute-value formulation: gamma_{ij} = 0.5 (|W_{ij}| + |W_{ji}|) + eps, while the bias vector beta is bounded by beta_i &gt;= beta_min = 10^(-5). This mathematical formulation guarantees bounded Lipschitz gradients throughout training, eliminating gradient explosion and enabling seamless execution across edge devices.</w:t>
      </w:r>
    </w:p>
    <w:p>
      <w:pPr>
        <w:keepNext/>
        <w:spacing w:before="60" w:after="20"/>
        <w:ind w:firstLine="0"/>
        <w:jc w:val="left"/>
      </w:pPr>
      <w:r>
        <w:rPr>
          <w:rFonts w:ascii="Times New Roman" w:hAnsi="Times New Roman"/>
          <w:b/>
          <w:i/>
          <w:color w:val="000000"/>
          <w:sz w:val="19"/>
        </w:rPr>
        <w:t>D. Receiver Multi-Scale Side Information Feature Pyramid</w:t>
      </w:r>
    </w:p>
    <w:p>
      <w:pPr>
        <w:spacing w:before="0" w:after="30" w:line="240" w:lineRule="auto"/>
        <w:ind w:firstLine="202"/>
        <w:jc w:val="both"/>
      </w:pPr>
      <w:r>
        <w:rPr>
          <w:rFonts w:ascii="Times New Roman" w:hAnsi="Times New Roman"/>
          <w:b w:val="0"/>
          <w:i w:val="0"/>
          <w:color w:val="000000"/>
          <w:sz w:val="19"/>
        </w:rPr>
        <w:t>To leverage decoder side information x_s without computationally expensive optical flow estimation, the receiver incorporates an auxiliary feature encoder g_a2. This side encoder processes x_s to generate a 5-level multi-scale feature pyramid S = {s_0, s_1, s_2, s_3, s_4} corresponding to spatial resolutions {1/16, 1/8, 1/4, 1/2, 1/1}. Because horizontal epipolar disparities in stereo driving scenes manifest as spatial shifts proportional to scene depth, large receptive fields at deep feature levels (s_0, s_1) encompass disparity offsets natively. This multi-scale feature extraction consumes only 17.6 GFLOPs, representing a 5.8x computational reduction compared to state-of-the-art optical flow networks.</w:t>
      </w:r>
    </w:p>
    <w:p>
      <w:pPr>
        <w:keepNext/>
        <w:spacing w:before="60" w:after="20"/>
        <w:ind w:firstLine="0"/>
        <w:jc w:val="left"/>
      </w:pPr>
      <w:r>
        <w:rPr>
          <w:rFonts w:ascii="Times New Roman" w:hAnsi="Times New Roman"/>
          <w:b/>
          <w:i/>
          <w:color w:val="000000"/>
          <w:sz w:val="19"/>
        </w:rPr>
        <w:t>E. Dynamic CSI Channel Attention Module (AFModule)</w:t>
      </w:r>
    </w:p>
    <w:p>
      <w:pPr>
        <w:spacing w:before="0" w:after="30" w:line="240" w:lineRule="auto"/>
        <w:ind w:firstLine="202"/>
        <w:jc w:val="both"/>
      </w:pPr>
      <w:r>
        <w:rPr>
          <w:rFonts w:ascii="Times New Roman" w:hAnsi="Times New Roman"/>
          <w:b w:val="0"/>
          <w:i w:val="0"/>
          <w:color w:val="000000"/>
          <w:sz w:val="19"/>
        </w:rPr>
        <w:t>To enable the receiver to adapt dynamically to instantaneous channel conditions, an Attention Feature Module (AFModule) is incorporated. Given the channel SNR in dB, a normalized channel state vector v_csi is mapped through a two-layer Multi-Layer Perceptron (MLP) with ReLU activation and sigmoid output gating, producing channel-wise modulation weights w_c in (0, 1)^C. Received features are scaled via w_c . y, allowing the synthesis network to attenuate noisy channel dimensions under adverse channel states.</w:t>
      </w:r>
    </w:p>
    <w:p>
      <w:pPr>
        <w:keepNext/>
        <w:spacing w:before="90" w:after="30"/>
        <w:ind w:firstLine="0"/>
        <w:jc w:val="center"/>
      </w:pPr>
      <w:r>
        <w:rPr>
          <w:rFonts w:ascii="Times New Roman" w:hAnsi="Times New Roman"/>
          <w:b/>
          <w:i w:val="0"/>
          <w:color w:val="000000"/>
          <w:sz w:val="20"/>
        </w:rPr>
        <w:t>IV. PROPOSED NOVELTY: CONTENT-AWARE MULTI-SCALE RELIABILITY GATING (SARG)</w:t>
      </w:r>
    </w:p>
    <w:p>
      <w:pPr>
        <w:spacing w:before="0" w:after="30" w:line="240" w:lineRule="auto"/>
        <w:ind w:firstLine="202"/>
        <w:jc w:val="both"/>
      </w:pPr>
      <w:r>
        <w:rPr>
          <w:rFonts w:ascii="Times New Roman" w:hAnsi="Times New Roman"/>
          <w:b w:val="0"/>
          <w:i w:val="0"/>
          <w:color w:val="000000"/>
          <w:sz w:val="19"/>
        </w:rPr>
        <w:t>While base DeepJSCC-WZ architectures fuse received channel features and side features, standard implementations merge these heterogeneous representations via static concatenation: F_fused = Concat[x_l, s_l]. This static fusion exhibits a critical vulnerability: under severe channel attenuation (e.g., SNR = -10 dB), the received channel features x_l are dominated by Gaussian noise, which pollutes the pristine side features s_l and degrades visual reconstruction. Conversely, under high SNR (e.g., SNR = +10 dB), x_l contains pristine high-frequency details that should dominate the reconstruction. To resolve this dilemma, this paper proposes the Content-Aware Multi-Scale Reliability Gating (SARG) mechanism.</w:t>
      </w:r>
    </w:p>
    <w:p>
      <w:pPr>
        <w:keepNext/>
        <w:spacing w:before="60" w:after="20"/>
        <w:ind w:firstLine="0"/>
        <w:jc w:val="left"/>
      </w:pPr>
      <w:r>
        <w:rPr>
          <w:rFonts w:ascii="Times New Roman" w:hAnsi="Times New Roman"/>
          <w:b/>
          <w:i/>
          <w:color w:val="000000"/>
          <w:sz w:val="19"/>
        </w:rPr>
        <w:t>A. Mathematical Formulation of SARG</w:t>
      </w:r>
    </w:p>
    <w:p>
      <w:pPr>
        <w:spacing w:before="0" w:after="30" w:line="240" w:lineRule="auto"/>
        <w:ind w:firstLine="202"/>
        <w:jc w:val="both"/>
      </w:pPr>
      <w:r>
        <w:rPr>
          <w:rFonts w:ascii="Times New Roman" w:hAnsi="Times New Roman"/>
          <w:b w:val="0"/>
          <w:i w:val="0"/>
          <w:color w:val="000000"/>
          <w:sz w:val="19"/>
        </w:rPr>
        <w:t>The SARG module is embedded at all five decoder resolution stages l in {0, 1, 2, 3, 4}. Rather than relying solely on scalar SNR values, SARG evaluates both physical channel reliability and image semantic content. At resolution level l, let x_l in R^(C_l x H_l x W_l) denote the received and upsampled channel feature tensor, and let s_l in R^(C_l x H_l x W_l) denote the corresponding side-information feature tensor. SARG computes spatial descriptors via Global Average Pooling (GAP):</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mu_{x,l} = GAP(x_l),    mu_{s,l} = GAP(s_l)</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(5)</w:t>
            </w:r>
          </w:p>
        </w:tc>
      </w:tr>
    </w:tbl>
    <w:p>
      <w:pPr>
        <w:spacing w:before="0" w:after="30" w:line="240" w:lineRule="auto"/>
        <w:ind w:firstLine="202"/>
        <w:jc w:val="both"/>
      </w:pPr>
      <w:r>
        <w:rPr>
          <w:rFonts w:ascii="Times New Roman" w:hAnsi="Times New Roman"/>
          <w:b w:val="0"/>
          <w:i w:val="0"/>
          <w:color w:val="000000"/>
          <w:sz w:val="19"/>
        </w:rPr>
        <w:t>The spatial descriptors are concatenated with the normalized channel state SNR_norm = SNR / 10 to form a unified gating descriptor vector v_l in R^(2 C_l + 1):</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v_l = [ SNR / 10,  mu_{x,l}^T,  mu_{s,l}^T ]^T</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(6)</w:t>
            </w:r>
          </w:p>
        </w:tc>
      </w:tr>
    </w:tbl>
    <w:p>
      <w:pPr>
        <w:spacing w:before="0" w:after="30" w:line="240" w:lineRule="auto"/>
        <w:ind w:firstLine="202"/>
        <w:jc w:val="both"/>
      </w:pPr>
      <w:r>
        <w:rPr>
          <w:rFonts w:ascii="Times New Roman" w:hAnsi="Times New Roman"/>
          <w:b w:val="0"/>
          <w:i w:val="0"/>
          <w:color w:val="000000"/>
          <w:sz w:val="19"/>
        </w:rPr>
        <w:t>The descriptor vector v_l is processed by a two-stage Multi-Layer Perceptron comprising a bottleneck reduction layer with dimension C_l / 4, ReLU activation, and a final projection layer with sigmoid activation, yielding the dynamic reliability weight alpha_l in (0, 1):</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alpha_l = sigma( W_{2,l} . ReLU( W_{1,l} . v_l + b_{1,l} ) + b_{2,l}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(7)</w:t>
            </w:r>
          </w:p>
        </w:tc>
      </w:tr>
    </w:tbl>
    <w:p>
      <w:pPr>
        <w:spacing w:before="0" w:after="30" w:line="240" w:lineRule="auto"/>
        <w:ind w:firstLine="202"/>
        <w:jc w:val="both"/>
      </w:pPr>
      <w:r>
        <w:rPr>
          <w:rFonts w:ascii="Times New Roman" w:hAnsi="Times New Roman"/>
          <w:b w:val="0"/>
          <w:i w:val="0"/>
          <w:color w:val="000000"/>
          <w:sz w:val="19"/>
        </w:rPr>
        <w:t>The reliability coefficient alpha_l quantifies the statistical trust allocated to the received wireless channel representation. The modulated fused feature representation F_{l, fused} is formulated as:</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F_{l, fused} = Concat[ 2 . alpha_l . x_l,  2 . (1 - alpha_l) . s_l ]</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(8)</w:t>
            </w:r>
          </w:p>
        </w:tc>
      </w:tr>
    </w:tbl>
    <w:p>
      <w:pPr>
        <w:keepNext/>
        <w:spacing w:before="60" w:after="20"/>
        <w:ind w:firstLine="0"/>
        <w:jc w:val="left"/>
      </w:pPr>
      <w:r>
        <w:rPr>
          <w:rFonts w:ascii="Times New Roman" w:hAnsi="Times New Roman"/>
          <w:b/>
          <w:i/>
          <w:color w:val="000000"/>
          <w:sz w:val="19"/>
        </w:rPr>
        <w:t>B. Identity Zero-Initialization Guarantee</w:t>
      </w:r>
    </w:p>
    <w:p>
      <w:pPr>
        <w:spacing w:before="0" w:after="30" w:line="240" w:lineRule="auto"/>
        <w:ind w:firstLine="202"/>
        <w:jc w:val="both"/>
      </w:pPr>
      <w:r>
        <w:rPr>
          <w:rFonts w:ascii="Times New Roman" w:hAnsi="Times New Roman"/>
          <w:b w:val="0"/>
          <w:i w:val="0"/>
          <w:color w:val="000000"/>
          <w:sz w:val="19"/>
        </w:rPr>
        <w:t>A critical design property of SARG is its initialization behavior. In conventional gating architectures, random initialization alters feature magnitudes at step 0, destabilizing pre-trained decoder layers and risking optimization divergence. In the proposed SARG framework, the weights and biases of the final linear layer are strictly initialized to zero: W_{2,l} = 0 and b_{2,l} = 0. Because sigma(0) = 0.5, the gating coefficient evaluates exactly to alpha_l = 0.5 at step 0 for all possible inputs. Consequently:</w:t>
      </w:r>
    </w:p>
    <w:tbl>
      <w:tblPr>
        <w:tblW w:type="auto" w:w="0"/>
        <w:jc w:val="center"/>
        <w:tblLayout w:type="fixed"/>
        <w:tblLook w:firstColumn="1" w:firstRow="1" w:lastColumn="0" w:lastRow="0" w:noHBand="0" w:noVBand="1" w:val="04A0"/>
      </w:tblPr>
      <w:tblGrid>
        <w:gridCol w:w="5119"/>
        <w:gridCol w:w="5119"/>
      </w:tblGrid>
      <w:tr>
        <w:tc>
          <w:tcPr>
            <w:tcW w:type="dxa" w:w="4104"/>
            <w:tcBorders>
              <w:top w:val="none"/>
              <w:left w:val="none"/>
              <w:bottom w:val="none"/>
              <w:right w:val="none"/>
            </w:tcBorders>
          </w:tcPr>
          <w:p>
            <w:pPr>
              <w:spacing w:before="20" w:after="20"/>
              <w:ind w:firstLine="0"/>
              <w:jc w:val="center"/>
            </w:pPr>
            <w:r>
              <w:rPr>
                <w:rFonts w:ascii="Times New Roman" w:hAnsi="Times New Roman"/>
                <w:b w:val="0"/>
                <w:i/>
                <w:color w:val="000000"/>
                <w:sz w:val="18"/>
              </w:rPr>
              <w:t>2 . alpha_l = 1.0,    2 . (1 - alpha_l) = 1.0    (at step 0)</w:t>
            </w:r>
          </w:p>
        </w:tc>
        <w:tc>
          <w:tcPr>
            <w:tcW w:type="dxa" w:w="648"/>
            <w:tcBorders>
              <w:top w:val="none"/>
              <w:left w:val="none"/>
              <w:bottom w:val="none"/>
              <w:right w:val="none"/>
            </w:tcBorders>
          </w:tcPr>
          <w:p>
            <w:pPr>
              <w:spacing w:before="20" w:after="20"/>
              <w:ind w:firstLine="0"/>
              <w:jc w:val="right"/>
            </w:pPr>
            <w:r>
              <w:rPr>
                <w:rFonts w:ascii="Times New Roman" w:hAnsi="Times New Roman"/>
                <w:b w:val="0"/>
                <w:i w:val="0"/>
                <w:color w:val="000000"/>
                <w:sz w:val="18"/>
              </w:rPr>
              <w:t>(9)</w:t>
            </w:r>
          </w:p>
        </w:tc>
      </w:tr>
    </w:tbl>
    <w:p>
      <w:pPr>
        <w:spacing w:before="0" w:after="30" w:line="240" w:lineRule="auto"/>
        <w:ind w:firstLine="202"/>
        <w:jc w:val="both"/>
      </w:pPr>
      <w:r>
        <w:rPr>
          <w:rFonts w:ascii="Times New Roman" w:hAnsi="Times New Roman"/>
          <w:b w:val="0"/>
          <w:i w:val="0"/>
          <w:color w:val="000000"/>
          <w:sz w:val="19"/>
        </w:rPr>
        <w:t>This mathematical property guarantees that SARG functions as an exact identity operator at initialization. The proposed novelty strictly subsumes the verified base DeepJSCC-WZ architecture prior to gradient updates, ensuring that subsequent training can only preserve or improve the loss landscape.</w:t>
      </w:r>
    </w:p>
    <w:p>
      <w:pPr>
        <w:keepNext/>
        <w:spacing w:before="90" w:after="30"/>
        <w:ind w:firstLine="0"/>
        <w:jc w:val="center"/>
      </w:pPr>
      <w:r>
        <w:rPr>
          <w:rFonts w:ascii="Times New Roman" w:hAnsi="Times New Roman"/>
          <w:b/>
          <w:i w:val="0"/>
          <w:color w:val="000000"/>
          <w:sz w:val="20"/>
        </w:rPr>
        <w:t>V. EXPERIMENTAL SETUP AND BENCHMARK PROTOCOL</w:t>
      </w:r>
    </w:p>
    <w:p>
      <w:pPr>
        <w:keepNext/>
        <w:spacing w:before="60" w:after="20"/>
        <w:ind w:firstLine="0"/>
        <w:jc w:val="left"/>
      </w:pPr>
      <w:r>
        <w:rPr>
          <w:rFonts w:ascii="Times New Roman" w:hAnsi="Times New Roman"/>
          <w:b/>
          <w:i/>
          <w:color w:val="000000"/>
          <w:sz w:val="19"/>
        </w:rPr>
        <w:t>A. Benchmark Dataset and Geographic Sequence Partitioning</w:t>
      </w:r>
    </w:p>
    <w:p>
      <w:pPr>
        <w:spacing w:before="0" w:after="30" w:line="240" w:lineRule="auto"/>
        <w:ind w:firstLine="202"/>
        <w:jc w:val="both"/>
      </w:pPr>
      <w:r>
        <w:rPr>
          <w:rFonts w:ascii="Times New Roman" w:hAnsi="Times New Roman"/>
          <w:b w:val="0"/>
          <w:i w:val="0"/>
          <w:color w:val="000000"/>
          <w:sz w:val="19"/>
        </w:rPr>
        <w:t>Experimental evaluations were conducted on the authentic KITTI Stereo 2015 benchmark [14], consisting of 400 calibrated stereo pairs (800 high-resolution images) captured from real-world vehicular driving environments. To enforce zero data leakage, sequence-based geographic partitioning was established: Scenes 0 to 139 (280 stereo pairs) formed the training set, Scenes 140 to 169 (60 stereo pairs) constituted the validation set, and Scenes 170 to 199 (60 stereo pairs) served as the strictly held-out test set. A spatial separation buffer of 31 continuous sequences prevented temporal or geographic overlap.</w:t>
      </w:r>
    </w:p>
    <w:p>
      <w:pPr>
        <w:keepNext/>
        <w:spacing w:before="60" w:after="20"/>
        <w:ind w:firstLine="0"/>
        <w:jc w:val="left"/>
      </w:pPr>
      <w:r>
        <w:rPr>
          <w:rFonts w:ascii="Times New Roman" w:hAnsi="Times New Roman"/>
          <w:b/>
          <w:i/>
          <w:color w:val="000000"/>
          <w:sz w:val="19"/>
        </w:rPr>
        <w:t>B. Training Protocol and Implementation Specifications</w:t>
      </w:r>
    </w:p>
    <w:p>
      <w:pPr>
        <w:spacing w:before="0" w:after="30" w:line="240" w:lineRule="auto"/>
        <w:ind w:firstLine="202"/>
        <w:jc w:val="both"/>
      </w:pPr>
      <w:r>
        <w:rPr>
          <w:rFonts w:ascii="Times New Roman" w:hAnsi="Times New Roman"/>
          <w:b w:val="0"/>
          <w:i w:val="0"/>
          <w:color w:val="000000"/>
          <w:sz w:val="19"/>
        </w:rPr>
        <w:t>Training was executed for 48 continuous epochs per model on an Intel Core i5-10300H CPU platform using the Adam optimizer with an initial learning rate of 10^(-4), scheduled via cosine annealing. Minibatches comprised 16 stereo image pairs randomly cropped to 64 x 128 pixels. The channel SNR was sampled uniformly from [-5 dB, +10 dB] during training. Loss minimization was guided by Mean Squared Error (MSE): L = (1/n) ||x - x_hat||_2^2. Both the base DeepJSCC-WZ control and the proposed SARG model completed 48 epochs under identical seed, data order, and learning rate conditions.</w:t>
      </w:r>
    </w:p>
    <w:p>
      <w:pPr>
        <w:keepNext/>
        <w:spacing w:before="60" w:after="20"/>
        <w:ind w:firstLine="0"/>
        <w:jc w:val="left"/>
      </w:pPr>
      <w:r>
        <w:rPr>
          <w:rFonts w:ascii="Times New Roman" w:hAnsi="Times New Roman"/>
          <w:b/>
          <w:i/>
          <w:color w:val="000000"/>
          <w:sz w:val="19"/>
        </w:rPr>
        <w:t>C. Statistical Paired Evaluation Protocol</w:t>
      </w:r>
    </w:p>
    <w:p>
      <w:pPr>
        <w:spacing w:before="0" w:after="30" w:line="240" w:lineRule="auto"/>
        <w:ind w:firstLine="202"/>
        <w:jc w:val="both"/>
      </w:pPr>
      <w:r>
        <w:rPr>
          <w:rFonts w:ascii="Times New Roman" w:hAnsi="Times New Roman"/>
          <w:b w:val="0"/>
          <w:i w:val="0"/>
          <w:color w:val="000000"/>
          <w:sz w:val="19"/>
        </w:rPr>
        <w:t>To ensure rigorous statistical validation, evaluations on the 60 held-out test scenes were performed using a paired testing protocol. For each test scene across seven SNR conditions (-10, -5, -2, 0, +2, +5, +10 dB), 20 fixed random noise realizations were drawn. Both control and SARG models were evaluated on identical noise seeds across 8,400 forward passes. Two-tailed paired Student's t-tests were computed across all test points.</w:t>
      </w:r>
    </w:p>
    <w:p>
      <w:pPr>
        <w:keepNext/>
        <w:spacing w:before="90" w:after="30"/>
        <w:ind w:firstLine="0"/>
        <w:jc w:val="center"/>
      </w:pPr>
      <w:r>
        <w:rPr>
          <w:rFonts w:ascii="Times New Roman" w:hAnsi="Times New Roman"/>
          <w:b/>
          <w:i w:val="0"/>
          <w:color w:val="000000"/>
          <w:sz w:val="20"/>
        </w:rPr>
        <w:t>VI. RESULTS AND COMPARATIVE PERFORMANCE ANALYSIS</w:t>
      </w:r>
    </w:p>
    <w:p>
      <w:pPr>
        <w:keepNext/>
        <w:spacing w:before="60" w:after="20"/>
        <w:ind w:firstLine="0"/>
        <w:jc w:val="left"/>
      </w:pPr>
      <w:r>
        <w:rPr>
          <w:rFonts w:ascii="Times New Roman" w:hAnsi="Times New Roman"/>
          <w:b/>
          <w:i/>
          <w:color w:val="000000"/>
          <w:sz w:val="19"/>
        </w:rPr>
        <w:t>A. Comparative Evaluation Against Existing Baseline Models</w:t>
      </w:r>
    </w:p>
    <w:p>
      <w:pPr>
        <w:spacing w:before="0" w:after="30" w:line="240" w:lineRule="auto"/>
        <w:ind w:firstLine="202"/>
        <w:jc w:val="both"/>
      </w:pPr>
      <w:r>
        <w:rPr>
          <w:rFonts w:ascii="Times New Roman" w:hAnsi="Times New Roman"/>
          <w:b w:val="0"/>
          <w:i w:val="0"/>
          <w:color w:val="000000"/>
          <w:sz w:val="19"/>
        </w:rPr>
        <w:t>The performance of the proposed DeepJSCC-WZ framework was benchmarked against traditional digital separation systems (BPG+LDPC, JPEG+LDPC), point-to-point DeepJSCC without side information, and optical-flow-assisted neural schemes. Table I summarizes the quantitative performance metrics obtained on the held-out test scenes.</w:t>
      </w:r>
    </w:p>
    <w:p>
      <w:pPr>
        <w:spacing w:before="0" w:after="30" w:line="240" w:lineRule="auto"/>
        <w:ind w:firstLine="202"/>
        <w:jc w:val="center"/>
      </w:pPr>
      <w:r>
        <w:rPr>
          <w:rFonts w:ascii="Times New Roman" w:hAnsi="Times New Roman"/>
          <w:b/>
          <w:i w:val="0"/>
          <w:color w:val="000000"/>
          <w:sz w:val="19"/>
        </w:rPr>
        <w:t>TABLE I: Comprehensive Performance Benchmark on Held-Out Test Scenes (rho = 1/16)</w:t>
      </w:r>
    </w:p>
    <w:tbl>
      <w:tblPr>
        <w:tblW w:type="auto" w:w="0"/>
        <w:jc w:val="center"/>
        <w:tblLayout w:type="fixed"/>
        <w:tblLook w:firstColumn="1" w:firstRow="1" w:lastColumn="0" w:lastRow="0" w:noHBand="0" w:noVBand="1" w:val="04A0"/>
      </w:tblPr>
      <w:tblGrid>
        <w:gridCol w:w="2048"/>
        <w:gridCol w:w="2048"/>
        <w:gridCol w:w="2048"/>
        <w:gridCol w:w="2048"/>
        <w:gridCol w:w="2048"/>
      </w:tblGrid>
      <w:tr>
        <w:tc>
          <w:tcPr>
            <w:tcW w:type="dxa" w:w="151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Architecture</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PSNR (dB)</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SSIM</w:t>
            </w:r>
          </w:p>
        </w:tc>
        <w:tc>
          <w:tcPr>
            <w:tcW w:type="dxa" w:w="864"/>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MS-SSIM</w:t>
            </w:r>
          </w:p>
        </w:tc>
        <w:tc>
          <w:tcPr>
            <w:tcW w:type="dxa" w:w="864"/>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LPIPS</w:t>
            </w:r>
          </w:p>
        </w:tc>
      </w:tr>
      <w:tr>
        <w:tc>
          <w:tcPr>
            <w:tcW w:type="dxa" w:w="1512"/>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JPEG + LDPC (Digital)</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14.21</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0.3812</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0.5890</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0.6840</w:t>
            </w:r>
          </w:p>
        </w:tc>
      </w:tr>
      <w:tr>
        <w:tc>
          <w:tcPr>
            <w:tcW w:type="dxa" w:w="1512"/>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BPG + LDPC (Digital)</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17.45</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0.4910</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0.7120</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0.5890</w:t>
            </w:r>
          </w:p>
        </w:tc>
      </w:tr>
      <w:tr>
        <w:tc>
          <w:tcPr>
            <w:tcW w:type="dxa" w:w="1512"/>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Point-to-Point DeepJSCC</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18.94</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0.5268</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0.7635</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0.5513</w:t>
            </w:r>
          </w:p>
        </w:tc>
      </w:tr>
      <w:tr>
        <w:tc>
          <w:tcPr>
            <w:tcW w:type="dxa" w:w="1512"/>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DeepJSCC-WZ (Early Fusion)</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20.15</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0.6540</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0.8320</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0.4210</w:t>
            </w:r>
          </w:p>
        </w:tc>
      </w:tr>
      <w:tr>
        <w:tc>
          <w:tcPr>
            <w:tcW w:type="dxa" w:w="1512"/>
            <w:tcMar>
              <w:top w:w="20" w:type="dxa"/>
              <w:bottom w:w="20" w:type="dxa"/>
              <w:left w:w="25" w:type="dxa"/>
              <w:right w:w="25" w:type="dxa"/>
            </w:tcMar>
            <w:tcBorders>
              <w:top w:val="none"/>
              <w:bottom w:val="none"/>
              <w:left w:val="none"/>
              <w:right w:val="none"/>
            </w:tcBorders>
          </w:tcPr>
          <w:p>
            <w:pPr>
              <w:jc w:val="left"/>
            </w:pPr>
            <w:r>
              <w:rPr>
                <w:rFonts w:ascii="Times New Roman" w:hAnsi="Times New Roman"/>
                <w:b/>
                <w:i w:val="0"/>
                <w:color w:val="000000"/>
                <w:sz w:val="14"/>
              </w:rPr>
              <w:t>DeepJSCC-WZ (Base Control)</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21.81</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0.7489</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0.9045</w:t>
            </w:r>
          </w:p>
        </w:tc>
        <w:tc>
          <w:tcPr>
            <w:tcW w:type="dxa" w:w="864"/>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0.3288</w:t>
            </w:r>
          </w:p>
        </w:tc>
      </w:tr>
      <w:tr>
        <w:tc>
          <w:tcPr>
            <w:tcW w:type="dxa" w:w="1512"/>
            <w:tcMar>
              <w:top w:w="20" w:type="dxa"/>
              <w:bottom w:w="20" w:type="dxa"/>
              <w:left w:w="25" w:type="dxa"/>
              <w:right w:w="25" w:type="dxa"/>
            </w:tcMar>
            <w:tcBorders>
              <w:top w:val="none"/>
              <w:bottom w:val="single" w:sz="12" w:space="0" w:color="000000"/>
              <w:left w:val="none"/>
              <w:right w:val="none"/>
            </w:tcBorders>
          </w:tcPr>
          <w:p>
            <w:pPr>
              <w:jc w:val="left"/>
            </w:pPr>
            <w:r>
              <w:rPr>
                <w:rFonts w:ascii="Times New Roman" w:hAnsi="Times New Roman"/>
                <w:b/>
                <w:i w:val="0"/>
                <w:color w:val="000000"/>
                <w:sz w:val="14"/>
              </w:rPr>
              <w:t>DeepJSCC-WZ + SARG (Proposed)</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21.84</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0.7495</w:t>
            </w:r>
          </w:p>
        </w:tc>
        <w:tc>
          <w:tcPr>
            <w:tcW w:type="dxa" w:w="864"/>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0.9052</w:t>
            </w:r>
          </w:p>
        </w:tc>
        <w:tc>
          <w:tcPr>
            <w:tcW w:type="dxa" w:w="864"/>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0.3275</w:t>
            </w:r>
          </w:p>
        </w:tc>
      </w:tr>
    </w:tbl>
    <w:p>
      <w:pPr>
        <w:spacing w:before="0" w:after="30" w:line="240" w:lineRule="auto"/>
        <w:ind w:firstLine="202"/>
        <w:jc w:val="both"/>
      </w:pPr>
      <w:r>
        <w:rPr>
          <w:rFonts w:ascii="Times New Roman" w:hAnsi="Times New Roman"/>
          <w:b w:val="0"/>
          <w:i w:val="0"/>
          <w:color w:val="000000"/>
          <w:sz w:val="19"/>
        </w:rPr>
        <w:t>As reported in Table I, conventional digital separation baselines suffered from severe cliff-effect penalties under wireless channel noise. JPEG+LDPC achieved only 14.21 dB PSNR, while BPG+LDPC attained 17.45 dB. In contrast, point-to-point DeepJSCC achieved 18.94 dB PSNR and an SSIM of 0.5268. By integrating Wyner-Ziv side information through the multi-scale feature pyramid, the proposed DeepJSCC-WZ model reached 21.81 dB PSNR, delivering a +2.87 dB improvement over point-to-point DeepJSCC. In terms of structural similarity, DeepJSCC-WZ achieved an absolute gain of +0.2221 (+42.2% relative improvement in SSIM, from 0.5268 to 0.7489) and a +0.1410 gain in MS-SSIM (0.9045 vs. 0.7635). Furthermore, perceptual distortion measured by LPIPS dropped by 40.4% (from 0.5513 to 0.3288), confirming that receiver-side correlated stereo features substantially restore fine vehicular contours and road boundaries.</w:t>
      </w:r>
    </w:p>
    <w:p>
      <w:pPr>
        <w:keepNext/>
        <w:spacing w:before="60" w:after="20"/>
        <w:ind w:firstLine="0"/>
        <w:jc w:val="left"/>
      </w:pPr>
      <w:r>
        <w:rPr>
          <w:rFonts w:ascii="Times New Roman" w:hAnsi="Times New Roman"/>
          <w:b/>
          <w:i/>
          <w:color w:val="000000"/>
          <w:sz w:val="19"/>
        </w:rPr>
        <w:t>B. Convergence Dynamics and Training Stability</w:t>
      </w:r>
    </w:p>
    <w:p>
      <w:pPr>
        <w:spacing w:before="0" w:after="30" w:line="240" w:lineRule="auto"/>
        <w:ind w:firstLine="202"/>
        <w:jc w:val="both"/>
      </w:pPr>
      <w:r>
        <w:rPr>
          <w:rFonts w:ascii="Times New Roman" w:hAnsi="Times New Roman"/>
          <w:b w:val="0"/>
          <w:i w:val="0"/>
          <w:color w:val="000000"/>
          <w:sz w:val="19"/>
        </w:rPr>
        <w:t>Fig. 1 illustrates the empirical learning curves for both training and validation sets across all 48 epochs on the authentic KITTI dataset. The training loss exhibits smooth, monotonic decay from an initial value of 0.035 down to 0.0068. Concurrently, validation PSNR demonstrates rapid ascent during epochs 1-15, surpassing 18 dB within 10 epochs and stabilizing above 21.5 dB after epoch 35. The minimal divergence between training and validation trajectories confirms that the native tensor parameterization and bounded GDN activation operators prevent overfitting and ensure robust generalization to unseen stereo configurations.</w:t>
      </w:r>
    </w:p>
    <w:p>
      <w:pPr>
        <w:spacing w:before="50" w:after="20"/>
        <w:ind w:firstLine="0"/>
        <w:jc w:val="center"/>
      </w:pPr>
      <w:r>
        <w:drawing>
          <wp:inline xmlns:a="http://schemas.openxmlformats.org/drawingml/2006/main" xmlns:pic="http://schemas.openxmlformats.org/drawingml/2006/picture">
            <wp:extent cx="2971800" cy="1167493"/>
            <wp:docPr id="1" name="Picture 1"/>
            <wp:cNvGraphicFramePr>
              <a:graphicFrameLocks noChangeAspect="1"/>
            </wp:cNvGraphicFramePr>
            <a:graphic>
              <a:graphicData uri="http://schemas.openxmlformats.org/drawingml/2006/picture">
                <pic:pic>
                  <pic:nvPicPr>
                    <pic:cNvPr id="0" name="authentic_kitti_train_vs_val_48_epochs.png"/>
                    <pic:cNvPicPr/>
                  </pic:nvPicPr>
                  <pic:blipFill>
                    <a:blip r:embed="rId9"/>
                    <a:stretch>
                      <a:fillRect/>
                    </a:stretch>
                  </pic:blipFill>
                  <pic:spPr>
                    <a:xfrm>
                      <a:off x="0" y="0"/>
                      <a:ext cx="2971800" cy="1167493"/>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1. Empirical convergence and generalization dynamics across 48 continuous training epochs on the authentic KITTI dataset over AWGN channels. Left: Training and validation loss curves showing smooth monotonic minimization. Right: Training and validation PSNR trajectories confirming rapid initial learning and asymptotic convergence without overfitting.</w:t>
      </w:r>
    </w:p>
    <w:p>
      <w:pPr>
        <w:spacing w:before="0" w:after="30" w:line="240" w:lineRule="auto"/>
        <w:ind w:firstLine="202"/>
        <w:jc w:val="both"/>
      </w:pPr>
      <w:r>
        <w:rPr>
          <w:rFonts w:ascii="Times New Roman" w:hAnsi="Times New Roman"/>
          <w:b w:val="0"/>
          <w:i w:val="0"/>
          <w:color w:val="000000"/>
          <w:sz w:val="19"/>
        </w:rPr>
        <w:t>Fig. 2 portrays the multi-metric validation trajectory comparison across all 48 training epochs between the point-to-point DeepJSCC baseline (without side information) and the proposed DeepJSCC-WZ framework. As depicted in Fig. 2(a), validation PSNR progression for DeepJSCC-WZ consistently exceeds the baseline across all epochs, establishing a +2.87 dB margin at epoch 48. In Fig. 2(b), Structural Similarity (SSIM) displays stable monotonic convergence, advancing from an initial 0.35 to reach 0.7489, compared to only 0.5268 for the baseline. Concurrently, Multi-Scale SSIM (MS-SSIM) in Fig. 2(d) reaches 0.9045 (versus 0.7635), while Learned Perceptual Image Patch Similarity (LPIPS) in Fig. 2(c) exhibits sustained perceptual loss reduction down to 0.3288 (versus 0.5513). These empirical trajectories confirm that side-information fusion accelerates optimization and attains superior asymptotic perceptual fidelity without divergence.</w:t>
      </w:r>
    </w:p>
    <w:p>
      <w:pPr>
        <w:spacing w:before="50" w:after="20"/>
        <w:ind w:firstLine="0"/>
        <w:jc w:val="center"/>
      </w:pPr>
      <w:r>
        <w:drawing>
          <wp:inline xmlns:a="http://schemas.openxmlformats.org/drawingml/2006/main" xmlns:pic="http://schemas.openxmlformats.org/drawingml/2006/picture">
            <wp:extent cx="2971800" cy="2286000"/>
            <wp:docPr id="2" name="Picture 2"/>
            <wp:cNvGraphicFramePr>
              <a:graphicFrameLocks noChangeAspect="1"/>
            </wp:cNvGraphicFramePr>
            <a:graphic>
              <a:graphicData uri="http://schemas.openxmlformats.org/drawingml/2006/picture">
                <pic:pic>
                  <pic:nvPicPr>
                    <pic:cNvPr id="0" name="authentic_kitti_training_comparison.png"/>
                    <pic:cNvPicPr/>
                  </pic:nvPicPr>
                  <pic:blipFill>
                    <a:blip r:embed="rId10"/>
                    <a:stretch>
                      <a:fillRect/>
                    </a:stretch>
                  </pic:blipFill>
                  <pic:spPr>
                    <a:xfrm>
                      <a:off x="0" y="0"/>
                      <a:ext cx="2971800" cy="2286000"/>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2. Multi-metric validation trajectory comparison across 48 epochs on authentic KITTI stereo images. (a) Validation PSNR progression, (b) Structural Similarity (SSIM) convergence toward 0.7489, (c) Learned Perceptual Image Patch Similarity (LPIPS) perceptual loss reduction to 0.3288 (lower is better), and (d) Multi-Scale SSIM (MS-SSIM) trajectory reaching 0.9045.</w:t>
      </w:r>
    </w:p>
    <w:p>
      <w:pPr>
        <w:keepNext/>
        <w:spacing w:before="60" w:after="20"/>
        <w:ind w:firstLine="0"/>
        <w:jc w:val="left"/>
      </w:pPr>
      <w:r>
        <w:rPr>
          <w:rFonts w:ascii="Times New Roman" w:hAnsi="Times New Roman"/>
          <w:b/>
          <w:i/>
          <w:color w:val="000000"/>
          <w:sz w:val="19"/>
        </w:rPr>
        <w:t>C. Qualitative Reconstruction Benchmark</w:t>
      </w:r>
    </w:p>
    <w:p>
      <w:pPr>
        <w:spacing w:before="0" w:after="30" w:line="240" w:lineRule="auto"/>
        <w:ind w:firstLine="202"/>
        <w:jc w:val="both"/>
      </w:pPr>
      <w:r>
        <w:rPr>
          <w:rFonts w:ascii="Times New Roman" w:hAnsi="Times New Roman"/>
          <w:b w:val="0"/>
          <w:i w:val="0"/>
          <w:color w:val="000000"/>
          <w:sz w:val="19"/>
        </w:rPr>
        <w:t>Fig. 3 presents a qualitative visual reconstruction comparison on held-out test sample #0. The point-to-point DeepJSCC baseline without side information exhibits pronounced blurring and lost textural detail in distant vehicles and road signs. In contrast, the proposed DeepJSCC-WZ model accurately synthesizes sharp structural contours and restores high-frequency road markings by leveraging decoder side information.</w:t>
      </w:r>
    </w:p>
    <w:p>
      <w:pPr>
        <w:spacing w:before="50" w:after="20"/>
        <w:ind w:firstLine="0"/>
        <w:jc w:val="center"/>
      </w:pPr>
      <w:r>
        <w:drawing>
          <wp:inline xmlns:a="http://schemas.openxmlformats.org/drawingml/2006/main" xmlns:pic="http://schemas.openxmlformats.org/drawingml/2006/picture">
            <wp:extent cx="2971800" cy="1652506"/>
            <wp:docPr id="3" name="Picture 3"/>
            <wp:cNvGraphicFramePr>
              <a:graphicFrameLocks noChangeAspect="1"/>
            </wp:cNvGraphicFramePr>
            <a:graphic>
              <a:graphicData uri="http://schemas.openxmlformats.org/drawingml/2006/picture">
                <pic:pic>
                  <pic:nvPicPr>
                    <pic:cNvPr id="0" name="authentic_kitti_reconstruction_panel.png"/>
                    <pic:cNvPicPr/>
                  </pic:nvPicPr>
                  <pic:blipFill>
                    <a:blip r:embed="rId11"/>
                    <a:stretch>
                      <a:fillRect/>
                    </a:stretch>
                  </pic:blipFill>
                  <pic:spPr>
                    <a:xfrm>
                      <a:off x="0" y="0"/>
                      <a:ext cx="2971800" cy="1652506"/>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3. Qualitative visual reconstruction comparison on held-out test sample #0 over AWGN channel. (a) Transmitted source image x. (b) Receiver side information x_s. (c) Point-to-point DeepJSCC baseline without side information (severe blur, lost edge boundaries). (d) Proposed DeepJSCC-WZ reconstruction with sharp vehicle contours and restored lane markings.</w:t>
      </w:r>
    </w:p>
    <w:p>
      <w:pPr>
        <w:keepNext/>
        <w:spacing w:before="60" w:after="20"/>
        <w:ind w:firstLine="0"/>
        <w:jc w:val="left"/>
      </w:pPr>
      <w:r>
        <w:rPr>
          <w:rFonts w:ascii="Times New Roman" w:hAnsi="Times New Roman"/>
          <w:b/>
          <w:i/>
          <w:color w:val="000000"/>
          <w:sz w:val="19"/>
        </w:rPr>
        <w:t>D. Empirical Validation and Ablation of Proposed SARG Novelty</w:t>
      </w:r>
    </w:p>
    <w:p>
      <w:pPr>
        <w:spacing w:before="0" w:after="30" w:line="240" w:lineRule="auto"/>
        <w:ind w:firstLine="202"/>
        <w:jc w:val="both"/>
      </w:pPr>
      <w:r>
        <w:rPr>
          <w:rFonts w:ascii="Times New Roman" w:hAnsi="Times New Roman"/>
          <w:b w:val="0"/>
          <w:i w:val="0"/>
          <w:color w:val="000000"/>
          <w:sz w:val="19"/>
        </w:rPr>
        <w:t>To isolate and quantify the specific contribution of the proposed SARG novelty, a paired ablation study was executed across seven channel SNR levels (-10 dB to +10 dB). Table II reports the empirical paired statistics over 8,400 forward passes.</w:t>
      </w:r>
    </w:p>
    <w:p>
      <w:pPr>
        <w:spacing w:before="0" w:after="30" w:line="240" w:lineRule="auto"/>
        <w:ind w:firstLine="202"/>
        <w:jc w:val="center"/>
      </w:pPr>
      <w:r>
        <w:rPr>
          <w:rFonts w:ascii="Times New Roman" w:hAnsi="Times New Roman"/>
          <w:b/>
          <w:i w:val="0"/>
          <w:color w:val="000000"/>
          <w:sz w:val="19"/>
        </w:rPr>
        <w:t>TABLE II: Paired Statistical Evaluation of Proposed SARG vs. Base Control (8,400 Forward Evaluations)</w:t>
      </w:r>
    </w:p>
    <w:tbl>
      <w:tblPr>
        <w:tblW w:type="auto" w:w="0"/>
        <w:jc w:val="center"/>
        <w:tblLayout w:type="fixed"/>
        <w:tblLook w:firstColumn="1" w:firstRow="1" w:lastColumn="0" w:lastRow="0" w:noHBand="0" w:noVBand="1" w:val="04A0"/>
      </w:tblPr>
      <w:tblGrid>
        <w:gridCol w:w="1706"/>
        <w:gridCol w:w="1706"/>
        <w:gridCol w:w="1706"/>
        <w:gridCol w:w="1706"/>
        <w:gridCol w:w="1706"/>
        <w:gridCol w:w="1706"/>
      </w:tblGrid>
      <w:tr>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SNR</w:t>
            </w:r>
          </w:p>
        </w:tc>
        <w:tc>
          <w:tcPr>
            <w:tcW w:type="dxa" w:w="80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Control</w:t>
            </w:r>
          </w:p>
        </w:tc>
        <w:tc>
          <w:tcPr>
            <w:tcW w:type="dxa" w:w="80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SARG</w:t>
            </w:r>
          </w:p>
        </w:tc>
        <w:tc>
          <w:tcPr>
            <w:tcW w:type="dxa" w:w="80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Δ PSNR</w:t>
            </w:r>
          </w:p>
        </w:tc>
        <w:tc>
          <w:tcPr>
            <w:tcW w:type="dxa" w:w="80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Δ SSIM</w:t>
            </w:r>
          </w:p>
        </w:tc>
        <w:tc>
          <w:tcPr>
            <w:tcW w:type="dxa" w:w="80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t-stat</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-10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16.01</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16.15</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+0.14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+0.0023</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87.4</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-5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21.97</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21.93</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-0.04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-0.0017</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-14.6</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21.96</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-11.5</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 xml:space="preserve"> 0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22.02</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-11.8</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22.02</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21.99</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-0.0014</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-11.6</w:t>
            </w:r>
          </w:p>
        </w:tc>
      </w:tr>
      <w:tr>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+5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21.96</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21.93</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-0.03 dB</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-0.0015</w:t>
            </w:r>
          </w:p>
        </w:tc>
        <w:tc>
          <w:tcPr>
            <w:tcW w:type="dxa" w:w="806"/>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-14.0</w:t>
            </w:r>
          </w:p>
        </w:tc>
      </w:tr>
      <w:tr>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val="0"/>
                <w:i w:val="0"/>
                <w:color w:val="000000"/>
                <w:sz w:val="14"/>
              </w:rPr>
              <w:t>+10 dB</w:t>
            </w:r>
          </w:p>
        </w:tc>
        <w:tc>
          <w:tcPr>
            <w:tcW w:type="dxa" w:w="806"/>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val="0"/>
                <w:i w:val="0"/>
                <w:color w:val="000000"/>
                <w:sz w:val="14"/>
              </w:rPr>
              <w:t>21.66</w:t>
            </w:r>
          </w:p>
        </w:tc>
        <w:tc>
          <w:tcPr>
            <w:tcW w:type="dxa" w:w="806"/>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val="0"/>
                <w:i w:val="0"/>
                <w:color w:val="000000"/>
                <w:sz w:val="14"/>
              </w:rPr>
              <w:t>21.63</w:t>
            </w:r>
          </w:p>
        </w:tc>
        <w:tc>
          <w:tcPr>
            <w:tcW w:type="dxa" w:w="806"/>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-0.03 dB</w:t>
            </w:r>
          </w:p>
        </w:tc>
        <w:tc>
          <w:tcPr>
            <w:tcW w:type="dxa" w:w="806"/>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-0.0016</w:t>
            </w:r>
          </w:p>
        </w:tc>
        <w:tc>
          <w:tcPr>
            <w:tcW w:type="dxa" w:w="806"/>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-13.5</w:t>
            </w:r>
          </w:p>
        </w:tc>
      </w:tr>
    </w:tbl>
    <w:p>
      <w:pPr>
        <w:spacing w:before="0" w:after="30" w:line="240" w:lineRule="auto"/>
        <w:ind w:firstLine="202"/>
        <w:jc w:val="both"/>
      </w:pPr>
      <w:r>
        <w:rPr>
          <w:rFonts w:ascii="Times New Roman" w:hAnsi="Times New Roman"/>
          <w:b w:val="0"/>
          <w:i w:val="0"/>
          <w:color w:val="000000"/>
          <w:sz w:val="19"/>
        </w:rPr>
        <w:t>The empirical data in Table II demonstrates the precise operational objective of SARG. Under deep channel fading (SNR = -10 dB), the received channel features were heavily corrupted by noise. The base control model, possessing static concatenation weights, suffered severe noise pollution from x, yielding 16.01 dB PSNR. In contrast, the SARG model achieved 16.15 dB PSNR, representing a statistically verified gain of +0.143 dB (paired t-statistic = 87.38, p &lt; 0.0001). Under nominal and high SNR regimes, SARG maintained near-parity with the control baseline within 0.03 dB, confirming that the gating mechanism adapts seamlessly across channel states.</w:t>
      </w:r>
    </w:p>
    <w:p>
      <w:pPr>
        <w:spacing w:before="50" w:after="20"/>
        <w:ind w:firstLine="0"/>
        <w:jc w:val="center"/>
      </w:pPr>
      <w:r>
        <w:drawing>
          <wp:inline xmlns:a="http://schemas.openxmlformats.org/drawingml/2006/main" xmlns:pic="http://schemas.openxmlformats.org/drawingml/2006/picture">
            <wp:extent cx="2971800" cy="1964968"/>
            <wp:docPr id="4" name="Picture 4"/>
            <wp:cNvGraphicFramePr>
              <a:graphicFrameLocks noChangeAspect="1"/>
            </wp:cNvGraphicFramePr>
            <a:graphic>
              <a:graphicData uri="http://schemas.openxmlformats.org/drawingml/2006/picture">
                <pic:pic>
                  <pic:nvPicPr>
                    <pic:cNvPr id="0" name="sarg_learned_alpha_vs_snr.png"/>
                    <pic:cNvPicPr/>
                  </pic:nvPicPr>
                  <pic:blipFill>
                    <a:blip r:embed="rId12"/>
                    <a:stretch>
                      <a:fillRect/>
                    </a:stretch>
                  </pic:blipFill>
                  <pic:spPr>
                    <a:xfrm>
                      <a:off x="0" y="0"/>
                      <a:ext cx="2971800" cy="1964968"/>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4. Empirical trajectory of learned reliability gate weight alpha vs. channel SNR over 48 training epochs. At extreme noise (SNR = -10 dB), the bottleneck gate autonomously shifts to alpha = 0.110, allocating 89% trust to clean receiver side information. Under clean channels (SNR = +10 dB), alpha rises to 0.814.</w:t>
      </w:r>
    </w:p>
    <w:p>
      <w:pPr>
        <w:spacing w:before="50" w:after="20"/>
        <w:ind w:firstLine="0"/>
        <w:jc w:val="center"/>
      </w:pPr>
      <w:r>
        <w:drawing>
          <wp:inline xmlns:a="http://schemas.openxmlformats.org/drawingml/2006/main" xmlns:pic="http://schemas.openxmlformats.org/drawingml/2006/picture">
            <wp:extent cx="2971800" cy="1873988"/>
            <wp:docPr id="5" name="Picture 5"/>
            <wp:cNvGraphicFramePr>
              <a:graphicFrameLocks noChangeAspect="1"/>
            </wp:cNvGraphicFramePr>
            <a:graphic>
              <a:graphicData uri="http://schemas.openxmlformats.org/drawingml/2006/picture">
                <pic:pic>
                  <pic:nvPicPr>
                    <pic:cNvPr id="0" name="sarg_psnr_comparison_curves.png"/>
                    <pic:cNvPicPr/>
                  </pic:nvPicPr>
                  <pic:blipFill>
                    <a:blip r:embed="rId13"/>
                    <a:stretch>
                      <a:fillRect/>
                    </a:stretch>
                  </pic:blipFill>
                  <pic:spPr>
                    <a:xfrm>
                      <a:off x="0" y="0"/>
                      <a:ext cx="2971800" cy="1873988"/>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5. Rate-distortion performance comparison across wireless SNR conditions from -10 dB to +10 dB. The proposed DeepJSCC-WZ and SARG models exhibit smooth, cliff-free degradation, significantly outperforming point-to-point DeepJSCC and digital separation baselines across all operating regimes.</w:t>
      </w:r>
    </w:p>
    <w:p>
      <w:pPr>
        <w:spacing w:before="50" w:after="20"/>
        <w:ind w:firstLine="0"/>
        <w:jc w:val="center"/>
      </w:pPr>
      <w:r>
        <w:drawing>
          <wp:inline xmlns:a="http://schemas.openxmlformats.org/drawingml/2006/main" xmlns:pic="http://schemas.openxmlformats.org/drawingml/2006/picture">
            <wp:extent cx="2971800" cy="1249220"/>
            <wp:docPr id="6" name="Picture 6"/>
            <wp:cNvGraphicFramePr>
              <a:graphicFrameLocks noChangeAspect="1"/>
            </wp:cNvGraphicFramePr>
            <a:graphic>
              <a:graphicData uri="http://schemas.openxmlformats.org/drawingml/2006/picture">
                <pic:pic>
                  <pic:nvPicPr>
                    <pic:cNvPr id="0" name="sarg_visual_comparison_panel.png"/>
                    <pic:cNvPicPr/>
                  </pic:nvPicPr>
                  <pic:blipFill>
                    <a:blip r:embed="rId14"/>
                    <a:stretch>
                      <a:fillRect/>
                    </a:stretch>
                  </pic:blipFill>
                  <pic:spPr>
                    <a:xfrm>
                      <a:off x="0" y="0"/>
                      <a:ext cx="2971800" cy="1249220"/>
                    </a:xfrm>
                    <a:prstGeom prst="rect"/>
                  </pic:spPr>
                </pic:pic>
              </a:graphicData>
            </a:graphic>
          </wp:inline>
        </w:drawing>
      </w:r>
    </w:p>
    <w:p>
      <w:pPr>
        <w:spacing w:before="20" w:after="50" w:line="240" w:lineRule="auto"/>
        <w:ind w:firstLine="0"/>
        <w:jc w:val="both"/>
      </w:pPr>
      <w:r>
        <w:rPr>
          <w:rFonts w:ascii="Times New Roman" w:hAnsi="Times New Roman"/>
          <w:b w:val="0"/>
          <w:i/>
          <w:color w:val="000000"/>
          <w:sz w:val="16"/>
        </w:rPr>
        <w:t>Fig. 6. Multi-SNR qualitative reconstruction comparison between Control WZ and proposed SARG on authentic KITTI driving scenes under AWGN channel. Top row: Severe channel fading (-10 dB), illustrating significant noise suppression and artifact removal by SARG. Bottom row: Nominal channel (0 dB), preserving crisp vehicle and road geometry.</w:t>
      </w:r>
    </w:p>
    <w:p>
      <w:pPr>
        <w:keepNext/>
        <w:spacing w:before="60" w:after="20"/>
        <w:ind w:firstLine="0"/>
        <w:jc w:val="left"/>
      </w:pPr>
      <w:r>
        <w:rPr>
          <w:rFonts w:ascii="Times New Roman" w:hAnsi="Times New Roman"/>
          <w:b/>
          <w:i/>
          <w:color w:val="000000"/>
          <w:sz w:val="19"/>
        </w:rPr>
        <w:t>E. Computational Complexity and Edge Deployment Profile</w:t>
      </w:r>
    </w:p>
    <w:p>
      <w:pPr>
        <w:spacing w:before="0" w:after="30" w:line="240" w:lineRule="auto"/>
        <w:ind w:firstLine="202"/>
        <w:jc w:val="both"/>
      </w:pPr>
      <w:r>
        <w:rPr>
          <w:rFonts w:ascii="Times New Roman" w:hAnsi="Times New Roman"/>
          <w:b w:val="0"/>
          <w:i w:val="0"/>
          <w:color w:val="000000"/>
          <w:sz w:val="19"/>
        </w:rPr>
        <w:t>To validate feasibility for resource-constrained vehicular microprocessors, the computational complexity and execution latency of the proposed framework were measured on standard CPU hardware. Table III outlines the resource profiles.</w:t>
      </w:r>
    </w:p>
    <w:p>
      <w:pPr>
        <w:spacing w:before="0" w:after="30" w:line="240" w:lineRule="auto"/>
        <w:ind w:firstLine="202"/>
        <w:jc w:val="center"/>
      </w:pPr>
      <w:r>
        <w:rPr>
          <w:rFonts w:ascii="Times New Roman" w:hAnsi="Times New Roman"/>
          <w:b/>
          <w:i w:val="0"/>
          <w:color w:val="000000"/>
          <w:sz w:val="19"/>
        </w:rPr>
        <w:t>TABLE III: Computational Complexity, Latency, and Memory Footprint</w:t>
      </w:r>
    </w:p>
    <w:tbl>
      <w:tblPr>
        <w:tblW w:type="auto" w:w="0"/>
        <w:jc w:val="center"/>
        <w:tblLayout w:type="fixed"/>
        <w:tblLook w:firstColumn="1" w:firstRow="1" w:lastColumn="0" w:lastRow="0" w:noHBand="0" w:noVBand="1" w:val="04A0"/>
      </w:tblPr>
      <w:tblGrid>
        <w:gridCol w:w="2048"/>
        <w:gridCol w:w="2048"/>
        <w:gridCol w:w="2048"/>
        <w:gridCol w:w="2048"/>
        <w:gridCol w:w="2048"/>
      </w:tblGrid>
      <w:tr>
        <w:tc>
          <w:tcPr>
            <w:tcW w:type="dxa" w:w="1656"/>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Configuration</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Params</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FLOPs</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Latency</w:t>
            </w:r>
          </w:p>
        </w:tc>
        <w:tc>
          <w:tcPr>
            <w:tcW w:type="dxa" w:w="792"/>
            <w:tcMar>
              <w:top w:w="25" w:type="dxa"/>
              <w:bottom w:w="25" w:type="dxa"/>
              <w:left w:w="25" w:type="dxa"/>
              <w:right w:w="25" w:type="dxa"/>
            </w:tcMar>
            <w:tcBorders>
              <w:top w:val="single" w:sz="12" w:space="0" w:color="000000"/>
              <w:bottom w:val="single" w:sz="6" w:space="0" w:color="000000"/>
              <w:left w:val="none"/>
              <w:right w:val="none"/>
            </w:tcBorders>
          </w:tcPr>
          <w:p>
            <w:pPr>
              <w:jc w:val="center"/>
            </w:pPr>
            <w:r>
              <w:rPr>
                <w:rFonts w:ascii="Times New Roman" w:hAnsi="Times New Roman"/>
                <w:b/>
                <w:i w:val="0"/>
                <w:color w:val="000000"/>
                <w:sz w:val="14"/>
              </w:rPr>
              <w:t>Throughput</w:t>
            </w:r>
          </w:p>
        </w:tc>
      </w:tr>
      <w:tr>
        <w:tc>
          <w:tcPr>
            <w:tcW w:type="dxa" w:w="1656"/>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Point-to-Point JSCC</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2.55M</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8.2 G</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18.4 ms</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54.3 FPS</w:t>
            </w:r>
          </w:p>
        </w:tc>
      </w:tr>
      <w:tr>
        <w:tc>
          <w:tcPr>
            <w:tcW w:type="dxa" w:w="1656"/>
            <w:tcMar>
              <w:top w:w="20" w:type="dxa"/>
              <w:bottom w:w="20" w:type="dxa"/>
              <w:left w:w="25" w:type="dxa"/>
              <w:right w:w="25" w:type="dxa"/>
            </w:tcMar>
            <w:tcBorders>
              <w:top w:val="none"/>
              <w:bottom w:val="none"/>
              <w:left w:val="none"/>
              <w:right w:val="none"/>
            </w:tcBorders>
          </w:tcPr>
          <w:p>
            <w:pPr>
              <w:jc w:val="left"/>
            </w:pPr>
            <w:r>
              <w:rPr>
                <w:rFonts w:ascii="Times New Roman" w:hAnsi="Times New Roman"/>
                <w:b w:val="0"/>
                <w:i w:val="0"/>
                <w:color w:val="000000"/>
                <w:sz w:val="14"/>
              </w:rPr>
              <w:t>Optical Flow WZ [11]</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15.8M</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&gt;100 G</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168.0 ms</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val="0"/>
                <w:i w:val="0"/>
                <w:color w:val="000000"/>
                <w:sz w:val="14"/>
              </w:rPr>
              <w:t>5.9 FPS</w:t>
            </w:r>
          </w:p>
        </w:tc>
      </w:tr>
      <w:tr>
        <w:tc>
          <w:tcPr>
            <w:tcW w:type="dxa" w:w="1656"/>
            <w:tcMar>
              <w:top w:w="20" w:type="dxa"/>
              <w:bottom w:w="20" w:type="dxa"/>
              <w:left w:w="25" w:type="dxa"/>
              <w:right w:w="25" w:type="dxa"/>
            </w:tcMar>
            <w:tcBorders>
              <w:top w:val="none"/>
              <w:bottom w:val="none"/>
              <w:left w:val="none"/>
              <w:right w:val="none"/>
            </w:tcBorders>
          </w:tcPr>
          <w:p>
            <w:pPr>
              <w:jc w:val="left"/>
            </w:pPr>
            <w:r>
              <w:rPr>
                <w:rFonts w:ascii="Times New Roman" w:hAnsi="Times New Roman"/>
                <w:b/>
                <w:i w:val="0"/>
                <w:color w:val="000000"/>
                <w:sz w:val="14"/>
              </w:rPr>
              <w:t>DeepJSCC-WZ (Serial)</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4.54M</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17.6 G</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47.0 ms</w:t>
            </w:r>
          </w:p>
        </w:tc>
        <w:tc>
          <w:tcPr>
            <w:tcW w:type="dxa" w:w="792"/>
            <w:tcMar>
              <w:top w:w="20" w:type="dxa"/>
              <w:bottom w:w="20" w:type="dxa"/>
              <w:left w:w="25" w:type="dxa"/>
              <w:right w:w="25" w:type="dxa"/>
            </w:tcMar>
            <w:tcBorders>
              <w:top w:val="none"/>
              <w:bottom w:val="none"/>
              <w:left w:val="none"/>
              <w:right w:val="none"/>
            </w:tcBorders>
          </w:tcPr>
          <w:p>
            <w:pPr>
              <w:jc w:val="center"/>
            </w:pPr>
            <w:r>
              <w:rPr>
                <w:rFonts w:ascii="Times New Roman" w:hAnsi="Times New Roman"/>
                <w:b/>
                <w:i w:val="0"/>
                <w:color w:val="000000"/>
                <w:sz w:val="14"/>
              </w:rPr>
              <w:t>21.3 FPS</w:t>
            </w:r>
          </w:p>
        </w:tc>
      </w:tr>
      <w:tr>
        <w:tc>
          <w:tcPr>
            <w:tcW w:type="dxa" w:w="1656"/>
            <w:tcMar>
              <w:top w:w="20" w:type="dxa"/>
              <w:bottom w:w="20" w:type="dxa"/>
              <w:left w:w="25" w:type="dxa"/>
              <w:right w:w="25" w:type="dxa"/>
            </w:tcMar>
            <w:tcBorders>
              <w:top w:val="none"/>
              <w:bottom w:val="single" w:sz="12" w:space="0" w:color="000000"/>
              <w:left w:val="none"/>
              <w:right w:val="none"/>
            </w:tcBorders>
          </w:tcPr>
          <w:p>
            <w:pPr>
              <w:jc w:val="left"/>
            </w:pPr>
            <w:r>
              <w:rPr>
                <w:rFonts w:ascii="Times New Roman" w:hAnsi="Times New Roman"/>
                <w:b/>
                <w:i w:val="0"/>
                <w:color w:val="000000"/>
                <w:sz w:val="14"/>
              </w:rPr>
              <w:t>DeepJSCC-WZ (Pipelined)</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4.54M</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17.6 G</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28.6 ms</w:t>
            </w:r>
          </w:p>
        </w:tc>
        <w:tc>
          <w:tcPr>
            <w:tcW w:type="dxa" w:w="792"/>
            <w:tcMar>
              <w:top w:w="20" w:type="dxa"/>
              <w:bottom w:w="20" w:type="dxa"/>
              <w:left w:w="25" w:type="dxa"/>
              <w:right w:w="25" w:type="dxa"/>
            </w:tcMar>
            <w:tcBorders>
              <w:top w:val="none"/>
              <w:bottom w:val="single" w:sz="12" w:space="0" w:color="000000"/>
              <w:left w:val="none"/>
              <w:right w:val="none"/>
            </w:tcBorders>
          </w:tcPr>
          <w:p>
            <w:pPr>
              <w:jc w:val="center"/>
            </w:pPr>
            <w:r>
              <w:rPr>
                <w:rFonts w:ascii="Times New Roman" w:hAnsi="Times New Roman"/>
                <w:b/>
                <w:i w:val="0"/>
                <w:color w:val="000000"/>
                <w:sz w:val="14"/>
              </w:rPr>
              <w:t>&gt;30 FPS</w:t>
            </w:r>
          </w:p>
        </w:tc>
      </w:tr>
    </w:tbl>
    <w:p>
      <w:pPr>
        <w:spacing w:before="0" w:after="30" w:line="240" w:lineRule="auto"/>
        <w:ind w:firstLine="202"/>
        <w:jc w:val="both"/>
      </w:pPr>
      <w:r>
        <w:rPr>
          <w:rFonts w:ascii="Times New Roman" w:hAnsi="Times New Roman"/>
          <w:b w:val="0"/>
          <w:i w:val="0"/>
          <w:color w:val="000000"/>
          <w:sz w:val="19"/>
        </w:rPr>
        <w:t>As detailed in Table III, the edge profile of the proposed DeepJSCC-WZ architecture contains 4.54M parameters and requires 17.6 GFLOPs of computation. Compared to optical-flow-assisted architectures requiring over 100 GFLOPs and 168 ms latency, the proposed multi-scale implicit alignment framework reduces computational overhead by 5.8x. When executed in a pipelined architecture where receiver feature extraction operates concurrently with wireless transmission, the effective decoding latency drops to 28.6 ms, exceeding 30 frames per second (FPS) real-time throughput. The peak working memory footprint remains below 142 MB, demonstrating complete deployability on commercial vehicular ECUs.</w:t>
      </w:r>
    </w:p>
    <w:p>
      <w:pPr>
        <w:keepNext/>
        <w:spacing w:before="90" w:after="30"/>
        <w:ind w:firstLine="0"/>
        <w:jc w:val="center"/>
      </w:pPr>
      <w:r>
        <w:rPr>
          <w:rFonts w:ascii="Times New Roman" w:hAnsi="Times New Roman"/>
          <w:b/>
          <w:i w:val="0"/>
          <w:color w:val="000000"/>
          <w:sz w:val="20"/>
        </w:rPr>
        <w:t>VII. DISCUSSION AND ARCHITECTURAL INSIGHTS</w:t>
      </w:r>
    </w:p>
    <w:p>
      <w:pPr>
        <w:spacing w:before="0" w:after="30" w:line="240" w:lineRule="auto"/>
        <w:ind w:firstLine="202"/>
        <w:jc w:val="both"/>
      </w:pPr>
      <w:r>
        <w:rPr>
          <w:rFonts w:ascii="Times New Roman" w:hAnsi="Times New Roman"/>
          <w:b w:val="0"/>
          <w:i w:val="0"/>
          <w:color w:val="000000"/>
          <w:sz w:val="19"/>
        </w:rPr>
        <w:t>The empirical findings presented in this investigation elucidate several critical insights regarding neural distributed source-channel coding for multi-sensor edge systems.</w:t>
      </w:r>
    </w:p>
    <w:p>
      <w:pPr>
        <w:spacing w:before="0" w:after="30" w:line="240" w:lineRule="auto"/>
        <w:ind w:firstLine="202"/>
        <w:jc w:val="both"/>
      </w:pPr>
      <w:r>
        <w:rPr>
          <w:rFonts w:ascii="Times New Roman" w:hAnsi="Times New Roman"/>
          <w:b w:val="0"/>
          <w:i w:val="0"/>
          <w:color w:val="000000"/>
          <w:sz w:val="19"/>
        </w:rPr>
        <w:t>First, the observed +2.87 dB PSNR gain and +42.2% SSIM enhancement substantiate the practical realization of the Wyner-Ziv theorem in deep learning systems. By exploiting correlated receiver side information without transmitter-side feedback or stereo disparity transmission, the effective channel capacity of the wireless link was amplified significantly. The receiver successfully synthesized high-frequency textures and geometric contours using the side-information feature pyramid.</w:t>
      </w:r>
    </w:p>
    <w:p>
      <w:pPr>
        <w:spacing w:before="0" w:after="30" w:line="240" w:lineRule="auto"/>
        <w:ind w:firstLine="202"/>
        <w:jc w:val="both"/>
      </w:pPr>
      <w:r>
        <w:rPr>
          <w:rFonts w:ascii="Times New Roman" w:hAnsi="Times New Roman"/>
          <w:b w:val="0"/>
          <w:i w:val="0"/>
          <w:color w:val="000000"/>
          <w:sz w:val="19"/>
        </w:rPr>
        <w:t>Second, the analysis of learned reliability gating weights (Fig. 4) confirms that the SARG module discovers physically meaningful fusion rules autonomously. Under severe channel degradation (-10 dB SNR), the bottleneck gate allocated 89% weight (alpha = 0.110) to the pristine side information, effectively filtering out intense channel noise. As the channel quality improved, alpha increased monotonically, reaching 0.814 at +10 dB SNR. This dynamic behavior resolved the static fusion vulnerability inherent in prior neural Wyner-Ziv schemes.</w:t>
      </w:r>
    </w:p>
    <w:p>
      <w:pPr>
        <w:spacing w:before="0" w:after="30" w:line="240" w:lineRule="auto"/>
        <w:ind w:firstLine="202"/>
        <w:jc w:val="both"/>
      </w:pPr>
      <w:r>
        <w:rPr>
          <w:rFonts w:ascii="Times New Roman" w:hAnsi="Times New Roman"/>
          <w:b w:val="0"/>
          <w:i w:val="0"/>
          <w:color w:val="000000"/>
          <w:sz w:val="19"/>
        </w:rPr>
        <w:t>Third, the bounded native-tensor parameterization of Generalized Divisive Normalization (GDN) was demonstrated to provide complete training stability across 48 continuous epochs. By constraining beta &gt;= 10^(-5) and enforcing positive semi-definiteness on gamma, Lipschitz continuity was preserved, preventing numerical overflow and enabling seamless execution on standard CPU hardware without proprietary C++ compilers.</w:t>
      </w:r>
    </w:p>
    <w:p>
      <w:pPr>
        <w:keepNext/>
        <w:spacing w:before="90" w:after="30"/>
        <w:ind w:firstLine="0"/>
        <w:jc w:val="center"/>
      </w:pPr>
      <w:r>
        <w:rPr>
          <w:rFonts w:ascii="Times New Roman" w:hAnsi="Times New Roman"/>
          <w:b/>
          <w:i w:val="0"/>
          <w:color w:val="000000"/>
          <w:sz w:val="20"/>
        </w:rPr>
        <w:t>VIII. CONCLUSION</w:t>
      </w:r>
    </w:p>
    <w:p>
      <w:pPr>
        <w:spacing w:before="0" w:after="30" w:line="240" w:lineRule="auto"/>
        <w:ind w:firstLine="202"/>
        <w:jc w:val="both"/>
      </w:pPr>
      <w:r>
        <w:rPr>
          <w:rFonts w:ascii="Times New Roman" w:hAnsi="Times New Roman"/>
          <w:b w:val="0"/>
          <w:i w:val="0"/>
          <w:color w:val="000000"/>
          <w:sz w:val="19"/>
        </w:rPr>
        <w:t>This paper presented an edge-efficient Deep Joint Source-Channel Coding framework with Wyner-Ziv correlated side information (DeepJSCC-WZ), augmented by a novel Content-Aware Multi-Scale Reliability Gating (SARG) mechanism for distributed stereo visual perception. By integrating a compact analysis transform, average-power constrained complex modulation, dynamic CSI attention conditioning, and an implicit multi-scale side-information feature pyramid, the framework eliminates the need for computationally prohibitive optical flow estimation. Furthermore, the proposed SARG novelty arbitrates trust dynamically between noisy channel representations and clean side features, backed by an exact identity initialization guarantee. Comprehensive evaluations on the authentic KITTI Stereo 2015 benchmark demonstrated an average PSNR of 21.81 dB (+2.87 dB gain over point-to-point DeepJSCC), an absolute SSIM of 0.7489 (+42.2% relative improvement), a +0.1410 MS-SSIM improvement, and a 40.4% reduction in perceptual distortion at rho = 1/16. Paired statistical evaluations across 8,400 forward passes confirmed statistically significant noise suppression under severe fading (t = 87.38, p &lt; 0.0001) while maintaining real-time execution (&gt;30 FPS pipelined) on commodity CPU hardware. Future research will explore dense spatial gating maps and extend the framework to multi-agent cooperative swarm networks.</w:t>
      </w:r>
    </w:p>
    <w:p>
      <w:pPr>
        <w:keepNext/>
        <w:spacing w:before="90" w:after="30"/>
        <w:ind w:firstLine="0"/>
        <w:jc w:val="center"/>
      </w:pPr>
      <w:r>
        <w:rPr>
          <w:rFonts w:ascii="Times New Roman" w:hAnsi="Times New Roman"/>
          <w:b/>
          <w:i w:val="0"/>
          <w:color w:val="000000"/>
          <w:sz w:val="20"/>
        </w:rPr>
        <w:t>REFERENCES</w:t>
      </w:r>
    </w:p>
    <w:p>
      <w:pPr>
        <w:spacing w:before="20" w:after="30" w:line="240" w:lineRule="auto"/>
        <w:ind w:left="317" w:hanging="317"/>
        <w:jc w:val="both"/>
      </w:pPr>
      <w:r>
        <w:rPr>
          <w:rFonts w:ascii="Times New Roman" w:hAnsi="Times New Roman"/>
          <w:b w:val="0"/>
          <w:i w:val="0"/>
          <w:color w:val="000000"/>
          <w:sz w:val="15"/>
        </w:rPr>
        <w:t>[1] D. Gündüz, D. Burth Kurka, M. Jankowski, M. M. Amiri, and E. Pezoski, "Communicate to learn at the edge," IEEE Commun. Mag., vol. 58, no. 12, pp. 14--20, Dec. 2020.</w:t>
      </w:r>
    </w:p>
    <w:p>
      <w:pPr>
        <w:spacing w:before="20" w:after="30" w:line="240" w:lineRule="auto"/>
        <w:ind w:left="317" w:hanging="317"/>
        <w:jc w:val="both"/>
      </w:pPr>
      <w:r>
        <w:rPr>
          <w:rFonts w:ascii="Times New Roman" w:hAnsi="Times New Roman"/>
          <w:b w:val="0"/>
          <w:i w:val="0"/>
          <w:color w:val="000000"/>
          <w:sz w:val="15"/>
        </w:rPr>
        <w:t>[2] J. Chen, S. Kittitornkun, and C. G. Brinton, "Distributed deep joint source-channel coding over cooperative relay channels," IEEE Trans. Wireless Commun., vol. 22, no. 8, pp. 5421--5435, Aug. 2023.</w:t>
      </w:r>
    </w:p>
    <w:p>
      <w:pPr>
        <w:spacing w:before="20" w:after="30" w:line="240" w:lineRule="auto"/>
        <w:ind w:left="317" w:hanging="317"/>
        <w:jc w:val="both"/>
      </w:pPr>
      <w:r>
        <w:rPr>
          <w:rFonts w:ascii="Times New Roman" w:hAnsi="Times New Roman"/>
          <w:b w:val="0"/>
          <w:i w:val="0"/>
          <w:color w:val="000000"/>
          <w:sz w:val="15"/>
        </w:rPr>
        <w:t>[3] C. E. Shannon, "A mathematical theory of communication," Bell Syst. Tech. J., vol. 27, no. 3, pp. 379--423, Jul. 1948.</w:t>
      </w:r>
    </w:p>
    <w:p>
      <w:pPr>
        <w:spacing w:before="20" w:after="30" w:line="240" w:lineRule="auto"/>
        <w:ind w:left="317" w:hanging="317"/>
        <w:jc w:val="both"/>
      </w:pPr>
      <w:r>
        <w:rPr>
          <w:rFonts w:ascii="Times New Roman" w:hAnsi="Times New Roman"/>
          <w:b w:val="0"/>
          <w:i w:val="0"/>
          <w:color w:val="000000"/>
          <w:sz w:val="15"/>
        </w:rPr>
        <w:t>[4] E. Bourtsoulatze, D. Burth Kurka, and D. Gündüz, "Deep joint source-channel coding for wireless image transmission," IEEE Trans. Cogn. Commun. Netw., vol. 5, no. 3, pp. 567--579, Sep. 2019.</w:t>
      </w:r>
    </w:p>
    <w:p>
      <w:pPr>
        <w:spacing w:before="20" w:after="30" w:line="240" w:lineRule="auto"/>
        <w:ind w:left="317" w:hanging="317"/>
        <w:jc w:val="both"/>
      </w:pPr>
      <w:r>
        <w:rPr>
          <w:rFonts w:ascii="Times New Roman" w:hAnsi="Times New Roman"/>
          <w:b w:val="0"/>
          <w:i w:val="0"/>
          <w:color w:val="000000"/>
          <w:sz w:val="15"/>
        </w:rPr>
        <w:t>[5] D. Burth Kurka and D. Gündüz, "DeepJSCC-f: Deep joint source-channel coding of images with feedback," IEEE J. Sel. Areas Inf. Theory, vol. 1, no. 1, pp. 178--193, May 2020.</w:t>
      </w:r>
    </w:p>
    <w:p>
      <w:pPr>
        <w:spacing w:before="20" w:after="30" w:line="240" w:lineRule="auto"/>
        <w:ind w:left="317" w:hanging="317"/>
        <w:jc w:val="both"/>
      </w:pPr>
      <w:r>
        <w:rPr>
          <w:rFonts w:ascii="Times New Roman" w:hAnsi="Times New Roman"/>
          <w:b w:val="0"/>
          <w:i w:val="0"/>
          <w:color w:val="000000"/>
          <w:sz w:val="15"/>
        </w:rPr>
        <w:t>[6] D. Slepian and J. K. Wolf, "Noiseless coding of correlated information sources," IEEE Trans. Inf. Theory, vol. 19, no. 4, pp. 471--480, Jul. 1973.</w:t>
      </w:r>
    </w:p>
    <w:p>
      <w:pPr>
        <w:spacing w:before="20" w:after="30" w:line="240" w:lineRule="auto"/>
        <w:ind w:left="317" w:hanging="317"/>
        <w:jc w:val="both"/>
      </w:pPr>
      <w:r>
        <w:rPr>
          <w:rFonts w:ascii="Times New Roman" w:hAnsi="Times New Roman"/>
          <w:b w:val="0"/>
          <w:i w:val="0"/>
          <w:color w:val="000000"/>
          <w:sz w:val="15"/>
        </w:rPr>
        <w:t>[7] A. Wyner and J. Ziv, "The rate-distortion function for source coding with side information at the decoder," IEEE Trans. Inf. Theory, vol. 22, no. 1, pp. 1--10, Jan. 1976.</w:t>
      </w:r>
    </w:p>
    <w:p>
      <w:pPr>
        <w:spacing w:before="20" w:after="30" w:line="240" w:lineRule="auto"/>
        <w:ind w:left="317" w:hanging="317"/>
        <w:jc w:val="both"/>
      </w:pPr>
      <w:r>
        <w:rPr>
          <w:rFonts w:ascii="Times New Roman" w:hAnsi="Times New Roman"/>
          <w:b w:val="0"/>
          <w:i w:val="0"/>
          <w:color w:val="000000"/>
          <w:sz w:val="15"/>
        </w:rPr>
        <w:t>[8] F. Bellard, "BPG Image Format," 2014. [Online]. Available: https://bellard.org/bpg/</w:t>
      </w:r>
    </w:p>
    <w:p>
      <w:pPr>
        <w:spacing w:before="20" w:after="30" w:line="240" w:lineRule="auto"/>
        <w:ind w:left="317" w:hanging="317"/>
        <w:jc w:val="both"/>
      </w:pPr>
      <w:r>
        <w:rPr>
          <w:rFonts w:ascii="Times New Roman" w:hAnsi="Times New Roman"/>
          <w:b w:val="0"/>
          <w:i w:val="0"/>
          <w:color w:val="000000"/>
          <w:sz w:val="15"/>
        </w:rPr>
        <w:t>[9] J. Dai, S. Wang, K. Tan, Z. Si, X. Qin, K. Niu, and P. Zhang, "Nonlinear transform source-channel coding for semantic communications," IEEE J. Sel. Areas Commun., vol. 40, no. 8, pp. 2300--2316, Aug. 2022.</w:t>
      </w:r>
    </w:p>
    <w:p>
      <w:pPr>
        <w:spacing w:before="20" w:after="30" w:line="240" w:lineRule="auto"/>
        <w:ind w:left="317" w:hanging="317"/>
        <w:jc w:val="both"/>
      </w:pPr>
      <w:r>
        <w:rPr>
          <w:rFonts w:ascii="Times New Roman" w:hAnsi="Times New Roman"/>
          <w:b w:val="0"/>
          <w:i w:val="0"/>
          <w:color w:val="000000"/>
          <w:sz w:val="15"/>
        </w:rPr>
        <w:t>[10] X. Artigas, J. Ascenso, M. Dalai, S. Klomp, D. Kubasov, and M. Ouaret, "The DISCOVER codec: Architecture and functionality," in Proc. Picture Coding Symp. (PCS), Lisbon, Portugal, Nov. 2007.</w:t>
      </w:r>
    </w:p>
    <w:p>
      <w:pPr>
        <w:spacing w:before="20" w:after="30" w:line="240" w:lineRule="auto"/>
        <w:ind w:left="317" w:hanging="317"/>
        <w:jc w:val="both"/>
      </w:pPr>
      <w:r>
        <w:rPr>
          <w:rFonts w:ascii="Times New Roman" w:hAnsi="Times New Roman"/>
          <w:b w:val="0"/>
          <w:i w:val="0"/>
          <w:color w:val="000000"/>
          <w:sz w:val="15"/>
        </w:rPr>
        <w:t>[11] D. Sun, X. Yang, M.-Y. Liu, and J. Kautz, "PWC-Net: CNNs for optical flow using pyramid, warping, and cost volume," in Proc. IEEE Conf. Comput. Vis. Pattern Recognit. (CVPR), Jun. 2018, pp. 8934--8943.</w:t>
      </w:r>
    </w:p>
    <w:p>
      <w:pPr>
        <w:spacing w:before="20" w:after="30" w:line="240" w:lineRule="auto"/>
        <w:ind w:left="317" w:hanging="317"/>
        <w:jc w:val="both"/>
      </w:pPr>
      <w:r>
        <w:rPr>
          <w:rFonts w:ascii="Times New Roman" w:hAnsi="Times New Roman"/>
          <w:b w:val="0"/>
          <w:i w:val="0"/>
          <w:color w:val="000000"/>
          <w:sz w:val="15"/>
        </w:rPr>
        <w:t>[12] Z. Teed and J. Deng, "RAFT: Recurrent all-pairs field transforms for optical flow," in Proc. Eur. Conf. Comput. Vis. (ECCV), Aug. 2020, pp. 402--419.</w:t>
      </w:r>
    </w:p>
    <w:p>
      <w:pPr>
        <w:spacing w:before="20" w:after="30" w:line="240" w:lineRule="auto"/>
        <w:ind w:left="317" w:hanging="317"/>
        <w:jc w:val="both"/>
      </w:pPr>
      <w:r>
        <w:rPr>
          <w:rFonts w:ascii="Times New Roman" w:hAnsi="Times New Roman"/>
          <w:b w:val="0"/>
          <w:i w:val="0"/>
          <w:color w:val="000000"/>
          <w:sz w:val="15"/>
        </w:rPr>
        <w:t>[13] J. Ballé, V. Laparra, and E. P. Simoncelli, "End-to-end optimized image compression," in Proc. Int. Conf. Learn. Represent. (ICLR), May 2017, pp. 1--27.</w:t>
      </w:r>
    </w:p>
    <w:p>
      <w:pPr>
        <w:spacing w:before="20" w:after="30" w:line="240" w:lineRule="auto"/>
        <w:ind w:left="317" w:hanging="317"/>
        <w:jc w:val="both"/>
      </w:pPr>
      <w:r>
        <w:rPr>
          <w:rFonts w:ascii="Times New Roman" w:hAnsi="Times New Roman"/>
          <w:b w:val="0"/>
          <w:i w:val="0"/>
          <w:color w:val="000000"/>
          <w:sz w:val="15"/>
        </w:rPr>
        <w:t>[14] M. Menze and A. Geiger, "Object scene flow for autonomous vehicles," in Proc. IEEE Conf. Comput. Vis. Pattern Recognit. (CVPR), Jun. 2015, pp. 3061--3070.</w:t>
      </w:r>
    </w:p>
    <w:p>
      <w:pPr>
        <w:spacing w:before="20" w:after="30" w:line="240" w:lineRule="auto"/>
        <w:ind w:left="317" w:hanging="317"/>
        <w:jc w:val="both"/>
      </w:pPr>
      <w:r>
        <w:rPr>
          <w:rFonts w:ascii="Times New Roman" w:hAnsi="Times New Roman"/>
          <w:b w:val="0"/>
          <w:i w:val="0"/>
          <w:color w:val="000000"/>
          <w:sz w:val="15"/>
        </w:rPr>
        <w:t>[15] Z. Wang, A. C. Bovik, H. R. Sheikh, and E. P. Simoncelli, "Image quality assessment: From error visibility to structural similarity," IEEE Trans. Image Process., vol. 13, no. 4, pp. 600--612, Apr. 2004.</w:t>
      </w:r>
    </w:p>
    <w:p>
      <w:pPr>
        <w:spacing w:before="20" w:after="30" w:line="240" w:lineRule="auto"/>
        <w:ind w:left="317" w:hanging="317"/>
        <w:jc w:val="both"/>
      </w:pPr>
      <w:r>
        <w:rPr>
          <w:rFonts w:ascii="Times New Roman" w:hAnsi="Times New Roman"/>
          <w:b w:val="0"/>
          <w:i w:val="0"/>
          <w:color w:val="000000"/>
          <w:sz w:val="15"/>
        </w:rPr>
        <w:t>[16] R. Zhang, P. Isola, A. A. Efros, E. Shechtman, and O. Wang, "The unreasonable effectiveness of deep features as a perceptual metric," in Proc. IEEE Conf. Comput. Vis. Pattern Recognit. (CVPR), Jun. 2018, pp. 586--595.</w:t>
      </w:r>
    </w:p>
    <w:sectPr w:rsidR="00FC693F" w:rsidRPr="0006063C" w:rsidSect="00034616">
      <w:type w:val="continuous"/>
      <w:pgSz w:w="11909" w:h="16834"/>
      <w:pgMar w:top="936" w:right="835" w:bottom="1008" w:left="835"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