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951" w:rsidRPr="007065DD" w:rsidRDefault="007065DD" w:rsidP="00214951">
      <w:pPr>
        <w:rPr>
          <w:lang w:val="uz-Cyrl-UZ"/>
        </w:rPr>
      </w:pPr>
      <w:r>
        <w:rPr>
          <w:lang w:val="uz-Cyrl-UZ"/>
        </w:rPr>
        <w:t>Қонун ижрочилигини таъминлаш, Ҳаракатлар стратегиясида белгиланган бандларни тўлиқ ижросини таъминланишига эришиш. Стратегия тарғиботини чекка ҳудудларга етказиш</w:t>
      </w:r>
    </w:p>
    <w:sectPr w:rsidR="00214951" w:rsidRPr="007065DD" w:rsidSect="00214951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214951"/>
    <w:rsid w:val="00024D2D"/>
    <w:rsid w:val="00214951"/>
    <w:rsid w:val="00311065"/>
    <w:rsid w:val="005A7E38"/>
    <w:rsid w:val="0070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2019-04-12T05:13:00Z</cp:lastPrinted>
  <dcterms:created xsi:type="dcterms:W3CDTF">2019-06-25T05:34:00Z</dcterms:created>
  <dcterms:modified xsi:type="dcterms:W3CDTF">2019-06-25T05:34:00Z</dcterms:modified>
</cp:coreProperties>
</file>