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280" w:after="120"/>
        <w:keepNext/>
        <w:rPr>
          <w:b/>
          <w:sz w:val="30"/>
        </w:rPr>
      </w:pPr>
      <w:r>
        <w:rPr>
          <w:b/>
          <w:sz w:val="30"/>
        </w:rPr>
        <w:t xml:space="preserve">2. РАСЧЁТНАЯ ЧАСТЬ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Расчётная часть дипломного проекта посвящена инженерному обоснованию технологических, энергетических и приборных параметров шаровой мельницы с центральной разгрузкой (МШЦ), работающей в схеме мокрого измельчения руды гидрометаллургического завода ГМЗ-7. На основании выполненных расчётов определяются геометрические и кинематические характеристики барабана, мощность привода и тип электродвигателя, составляется материальный баланс процесса, а также выбираются измерительные преобразователи, регулирующие органы и рассчитываются параметры настройки регулятора автоматизированной системы управления.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2.1. Исходные данные для расчёта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Объектом расчёта является барабанная шаровая мельница типа МШЦ-3600×5500, предназначенная для мокрого измельчения золотосодержащей руды до крупности, обеспечивающей последующее эффективное цианирование. Исходные данные приняты на основании технологического регламента ГМЗ-7, паспортных характеристик оборудования и результатов опробования руды. Сводка исходных данных приведена в таблице 2.1.</w:t>
      </w:r>
    </w:p>
    <w:tbl>
      <w:tblPr>
        <w:tblW w:w="93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4500"/>
        <w:gridCol w:w="1300"/>
        <w:gridCol w:w="1800"/>
        <w:gridCol w:w="1700"/>
      </w:tblGrid>
      <w:tr>
        <w:trPr>
          <w:tblHeader/>
        </w:trPr>
        <w:tc>
          <w:tcPr>
            <w:tcW w:w="45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Наименование параметра</w:t>
            </w:r>
          </w:p>
        </w:tc>
        <w:tc>
          <w:tcPr>
            <w:tcW w:w="13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Обозн.</w:t>
            </w:r>
          </w:p>
        </w:tc>
        <w:tc>
          <w:tcPr>
            <w:tcW w:w="18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Значение</w:t>
            </w:r>
          </w:p>
        </w:tc>
        <w:tc>
          <w:tcPr>
            <w:tcW w:w="17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Ед. изм.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Номинальный диаметр барабана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Dн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3,6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м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Рабочий (внутренний) диаметр с футеровкой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D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3,4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м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Рабочая длина барабана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L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5,3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м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Производительность по исходной руде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Q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90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т/ч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Крупность питания (80 %, F80)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F80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12,0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мм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Крупность готового продукта (80 %, P80)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P80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0,15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мм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Индекс работы по Бонду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Wi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14,0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кВт·ч/т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Коэффициент заполнения шарами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φ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0,40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Насыпная плотность шаровой загрузки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ρн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4,65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т/м³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Относительная частота вращения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ψ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0,76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Содержание твёрдого в сливе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β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55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%</w:t>
            </w:r>
          </w:p>
        </w:tc>
      </w:tr>
    </w:tbl>
    <w:p>
      <w:pPr>
        <w:spacing w:after="60"/>
      </w:pP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Таблица 2.1 — Исходные данные для расчёта мельницы МШЦ-3600×5500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Конструктивная схема мельницы и расположение её основных узлов представлены на рисунке 2.1. Барабан 2 опирается на коренные подшипники через загрузочную 1 и разгрузочную 5 цапфы; внутренняя поверхность защищена сменной броневой футеровкой 3. Измельчающей средой служит шаровая загрузка 4, а транспортирующей и охлаждающей средой — пульпа 6.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5400000" cy="258750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2.1 — Продольный разрез шаровой мельницы МШЦ: 1 — загрузочная цапфа; 2 — барабан; 3 — броневая футеровка; 4 — шаровая загрузка; 5 — разгрузочная цапфа; 6 — пульпа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2.2. Технологический расчёт мельницы МШЦ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Технологический расчёт включает определение рабочего объёма барабана, производительности мельницы, критической и рабочей частоты вращения, а также массы шаровой загрузки. Рабочий объём барабана определяется как объём цилиндра, ограниченного футеровкой: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V = (π / 4) · D² · L = 0,785 · 3,4² · 5,3 = 48,1 м³.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Полученное значение рабочего объёма используется далее при определении массы шаровой загрузки и удельных энергетических показателей процесса измельчения.</w:t>
      </w:r>
    </w:p>
    <w:p>
      <w:pPr>
        <w:spacing w:before="140" w:after="60"/>
        <w:keepNext/>
        <w:rPr>
          <w:b/>
          <w:i/>
          <w:sz w:val="26"/>
        </w:rPr>
      </w:pPr>
      <w:r>
        <w:rPr>
          <w:b/>
          <w:i/>
          <w:sz w:val="26"/>
        </w:rPr>
        <w:t xml:space="preserve">2.2.1. Расчёт производительности мельницы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Производительность мельницы по вновь образованному расчётному классу крупности определяется через удельный расход энергии на измельчение по уравнению Бонда. Удельная работа измельчения, необходимая для перевода материала от крупности F80 к крупности P80, составляет: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W = 10 · Wi · (1/√P80 − 1/√F80), кВт·ч/т,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где крупность подставляется в микрометрах: P80 = 150 мкм, F80 = 12 000 мкм. После подстановки: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W = 10 · 14,0 · (1/√150 − 1/√12000) = 140 · (0,0816 − 0,0091) = 10,2 кВт·ч/т.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При располагаемой полезной мощности измельчения Nп ≈ 920 кВт (см. п. 2.3) расчётная производительность мельницы по твёрдому составляет: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Q = Nп / W = 920 / 10,2 ≈ 90 т/ч.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Полученное значение согласуется с принятой в исходных данных производительностью и подтверждает правильность выбора типоразмера мельницы для заданного режима измельчения.</w:t>
      </w:r>
    </w:p>
    <w:p>
      <w:pPr>
        <w:spacing w:before="140" w:after="60"/>
        <w:keepNext/>
        <w:rPr>
          <w:b/>
          <w:i/>
          <w:sz w:val="26"/>
        </w:rPr>
      </w:pPr>
      <w:r>
        <w:rPr>
          <w:b/>
          <w:i/>
          <w:sz w:val="26"/>
        </w:rPr>
        <w:t xml:space="preserve">2.2.2. Расчёт частоты вращения барабана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Частота вращения барабана является важнейшим режимным параметром: от неё зависит характер движения шаровой загрузки. При критической частоте шары прижимаются центробежной силой к стенке и измельчение прекращается. Критическая частота вращения определяется из условия равенства центробежной силы и силы тяжести шара в верхней точке: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nкр = 42,3 / √D = 42,3 / √3,4 = 22,9 об/мин.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Рабочая частота вращения принимается как доля критической, характеризуемая относительной частотой ψ = 0,76, что соответствует водопадно-каскадному режиму движения загрузки, оптимальному по энергозатратам и интенсивности измельчения: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n = ψ · nкр = 0,76 · 22,9 ≈ 17,4 об/мин.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Угловая скорость барабана при этом равна ω = π·n / 30 = 3,14·17,4 / 30 ≈ 1,82 рад/с. Характер движения шаровой загрузки в поперечном сечении барабана для принятого режима показан на рисунке 2.2: основная масса шаров поднимается вращающейся футеровкой на угол отрыва, после чего часть шаров скатывается каскадом, а часть падает водопадом, нанося ударно-истирающее воздействие по материалу.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3780000" cy="3150000"/>
            <wp:effectExtent l="0" t="0" r="0" b="0"/>
            <wp:docPr id="2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2.2 — Водопадно-каскадный режим движения шаровой загрузки в поперечном сечении барабана (N — направление вращения, A — угол подъёма «пяты» загрузки)</w:t>
      </w:r>
    </w:p>
    <w:p>
      <w:pPr>
        <w:spacing w:before="140" w:after="60"/>
        <w:keepNext/>
        <w:rPr>
          <w:b/>
          <w:i/>
          <w:sz w:val="26"/>
        </w:rPr>
      </w:pPr>
      <w:r>
        <w:rPr>
          <w:b/>
          <w:i/>
          <w:sz w:val="26"/>
        </w:rPr>
        <w:t xml:space="preserve">2.2.3. Расчёт шаровой загрузки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Масса шаровой загрузки определяется по объёму, занимаемому шарами, и насыпной плотности загрузки. Объём шаровой загрузки при коэффициенте заполнения φ = 0,40: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Vш = φ · V = 0,40 · 48,1 = 19,2 м³.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Масса шаровой загрузки: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Gш = Vш · ρн = 19,2 · 4,65 ≈ 89 т.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Для поддержания заданного гранулометрического состава загрузки и компенсации износа применяется ассортимент шаров диаметром 40–80 мм с периодической подгрузкой. Стабилизация массы шаровой загрузки в процессе эксплуатации является одной из задач автоматизированного контроля (п. 2.6).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2.3. Расчёт мощности привода мельницы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Полезная мощность, потребляемая мельницей, расходуется на подъём шаровой загрузки на угол отрыва и сообщение ей кинетической энергии. Момент сопротивления вращению создаётся силой тяжести смещённого относительно оси центра масс загрузки: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M = kм · Gш · g · R,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где kм ≈ 0,35 — коэффициент, учитывающий относительное плечо центра тяжести загрузки при водопадно-каскадном режиме; g = 9,81 м/с²; R = D/2 = 1,7 м — рабочий радиус барабана. Масса шаров Gш = 89 т = 89 000 кг. Тогда: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M = 0,35 · 89000 · 9,81 · 1,7 ≈ 5,19·10⁵ Н·м.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Полезная мощность на валу барабана: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Nп = M · ω = 5,19·10⁵ · 1,82 ≈ 9,2·10⁵ Вт ≈ 920 кВт.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Зависимость потребляемой мощности от относительной частоты вращения ψ имеет экстремальный характер (рисунок 2.3): мощность возрастает с ростом ψ, достигает максимума в области ψ = 0,75–0,85 и затем снижается при переходе к центробежному режиму. Рабочая точка выбрана в зоне, близкой к максимуму полезной мощности, что обеспечивает наибольшую интенсивность измельчения.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4500000" cy="3073170"/>
            <wp:effectExtent l="0" t="0" r="0" b="0"/>
            <wp:docPr id="3" name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2.3 — Зависимость потребляемой мощности N от относительной частоты вращения ψ (PSI); RAB — рабочая точка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2.4. Выбор и расчёт электродвигателя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Установленная мощность приводного электродвигателя определяется с учётом потерь в открытой зубчатой (венцовой) передаче и подшипниках, а также коэффициента запаса на пусковые и переходные режимы: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Nдв = kз · Nп / ηпер = 1,1 · 920 / 0,90 ≈ 1124 кВт,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где ηпер = 0,90 — КПД передачи; kз = 1,1 — коэффициент запаса. По полученному значению принимается ближайший больший стандартный синхронный двигатель мощностью 1250 кВт. Применение синхронного двигателя обосновано большой единичной мощностью, постоянством частоты вращения и возможностью компенсации реактивной мощности при работе с опережающим коэффициентом мощности. Технические характеристики выбранного двигателя приведены в таблице 2.2.</w:t>
      </w:r>
    </w:p>
    <w:tbl>
      <w:tblPr>
        <w:tblW w:w="93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5800"/>
        <w:gridCol w:w="3500"/>
      </w:tblGrid>
      <w:tr>
        <w:trPr>
          <w:tblHeader/>
        </w:trPr>
        <w:tc>
          <w:tcPr>
            <w:tcW w:w="58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Параметр</w:t>
            </w:r>
          </w:p>
        </w:tc>
        <w:tc>
          <w:tcPr>
            <w:tcW w:w="35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Значение</w:t>
            </w:r>
          </w:p>
        </w:tc>
      </w:tr>
      <w:tr>
        <w:tc>
          <w:tcPr>
            <w:tcW w:w="58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Тип двигателя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Синхронный, СДМЗ-2</w:t>
            </w:r>
          </w:p>
        </w:tc>
      </w:tr>
      <w:tr>
        <w:tc>
          <w:tcPr>
            <w:tcW w:w="58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Номинальная мощность, кВт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1250</w:t>
            </w:r>
          </w:p>
        </w:tc>
      </w:tr>
      <w:tr>
        <w:tc>
          <w:tcPr>
            <w:tcW w:w="58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Номинальное напряжение, кВ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6,0</w:t>
            </w:r>
          </w:p>
        </w:tc>
      </w:tr>
      <w:tr>
        <w:tc>
          <w:tcPr>
            <w:tcW w:w="58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Частота вращения, об/мин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250</w:t>
            </w:r>
          </w:p>
        </w:tc>
      </w:tr>
      <w:tr>
        <w:tc>
          <w:tcPr>
            <w:tcW w:w="58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Коэффициент мощности cosφ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0,9 (опереж.)</w:t>
            </w:r>
          </w:p>
        </w:tc>
      </w:tr>
      <w:tr>
        <w:tc>
          <w:tcPr>
            <w:tcW w:w="58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КПД, %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95,0</w:t>
            </w:r>
          </w:p>
        </w:tc>
      </w:tr>
      <w:tr>
        <w:tc>
          <w:tcPr>
            <w:tcW w:w="58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Кратность пускового момента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1,2</w:t>
            </w:r>
          </w:p>
        </w:tc>
      </w:tr>
    </w:tbl>
    <w:p>
      <w:pPr>
        <w:spacing w:after="60"/>
      </w:pP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Таблица 2.2 — Технические характеристики приводного электродвигателя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Передаточное число открытой зубчатой передачи от двигателя к барабану: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i = nдв / n = 250 / 17,4 ≈ 14,4.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Проверка по нагреву и пусковым условиям показывает, что выбранный двигатель удовлетворяет требованиям режима работы мельницы с коэффициентом загрузки около 0,9 от номинальной мощности.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2.5. Материальный баланс процесса измельчения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Материальный баланс составляется для установившегося режима работы мельницы из условия равенства массовых расходов входящих и выходящих потоков. В мельницу поступают исходная руда, технологическая вода и (периодически) шары; из мельницы выходит пульпа (слив). Баланс по твёрдому и по пульпе сведён в таблицу 2.3.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Расход пульпы определяется по заданному содержанию твёрдого в сливе β = 55 %: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Qп = Q / β = 90 / 0,55 ≈ 163,6 т/ч.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Необходимый расход технологической воды: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Qв = Qп − Q = 163,6 − 90 = 73,6 т/ч.</w:t>
      </w:r>
    </w:p>
    <w:tbl>
      <w:tblPr>
        <w:tblW w:w="93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3600"/>
        <w:gridCol w:w="1500"/>
        <w:gridCol w:w="2700"/>
        <w:gridCol w:w="1500"/>
      </w:tblGrid>
      <w:tr>
        <w:trPr>
          <w:tblHeader/>
        </w:trPr>
        <w:tc>
          <w:tcPr>
            <w:tcW w:w="36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Приход</w:t>
            </w:r>
          </w:p>
        </w:tc>
        <w:tc>
          <w:tcPr>
            <w:tcW w:w="15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т/ч</w:t>
            </w:r>
          </w:p>
        </w:tc>
        <w:tc>
          <w:tcPr>
            <w:tcW w:w="27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Расход</w:t>
            </w:r>
          </w:p>
        </w:tc>
        <w:tc>
          <w:tcPr>
            <w:tcW w:w="15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т/ч</w:t>
            </w:r>
          </w:p>
        </w:tc>
      </w:tr>
      <w:tr>
        <w:tc>
          <w:tcPr>
            <w:tcW w:w="36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Руда исходная (твёрдое)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90,0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Пульпа (слив)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163,6</w:t>
            </w:r>
          </w:p>
        </w:tc>
      </w:tr>
      <w:tr>
        <w:tc>
          <w:tcPr>
            <w:tcW w:w="36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Вода технологическая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73,6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—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—</w:t>
            </w:r>
          </w:p>
        </w:tc>
      </w:tr>
      <w:tr>
        <w:tc>
          <w:tcPr>
            <w:tcW w:w="36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Итого приход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163,6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Итого расход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163,6</w:t>
            </w:r>
          </w:p>
        </w:tc>
      </w:tr>
    </w:tbl>
    <w:p>
      <w:pPr>
        <w:spacing w:after="60"/>
      </w:pP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Таблица 2.3 — Материальный баланс процесса измельчения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Схема материальных потоков процесса измельчения представлена на рисунке 2.4. Сходимость прихода и расхода подтверждает корректность составленного баланса. Соотношение «руда : вода», поддержание которого обеспечивает стабильность плотности пульпы и эффективность измельчения, является основной регулируемой величиной автоматизированной системы.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5400000" cy="2362500"/>
            <wp:effectExtent l="0" t="0" r="0" b="0"/>
            <wp:docPr id="4" name="Pict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2.4 — Схема материальных потоков процесса измельчения в мельнице МШЦ (MILL): RUDA — руда, VODA — вода, SHARY — шары, SLIV — слив (пульпа)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2.6. Расчёт и выбор измерительных преобразователей (датчиков)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Для реализации автоматизированной системы управления мельницей необходимо организовать измерение основных технологических параметров. Состав контролируемых величин и принятые типы первичных преобразователей приведены в таблице 2.4, а размещение датчиков по объекту — на рисунке 2.8 (см. п. 2.8). Все преобразователи имеют унифицированный токовый выходной сигнал 4–20 мА, совместимый с входами программируемого логического контроллера.</w:t>
      </w:r>
    </w:p>
    <w:tbl>
      <w:tblPr>
        <w:tblW w:w="93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2700"/>
        <w:gridCol w:w="900"/>
        <w:gridCol w:w="3600"/>
        <w:gridCol w:w="2100"/>
      </w:tblGrid>
      <w:tr>
        <w:trPr>
          <w:tblHeader/>
        </w:trPr>
        <w:tc>
          <w:tcPr>
            <w:tcW w:w="27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Параметр</w:t>
            </w:r>
          </w:p>
        </w:tc>
        <w:tc>
          <w:tcPr>
            <w:tcW w:w="9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Тег</w:t>
            </w:r>
          </w:p>
        </w:tc>
        <w:tc>
          <w:tcPr>
            <w:tcW w:w="36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Тип преобразователя</w:t>
            </w:r>
          </w:p>
        </w:tc>
        <w:tc>
          <w:tcPr>
            <w:tcW w:w="21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Диапазон</w:t>
            </w:r>
          </w:p>
        </w:tc>
      </w:tr>
      <w:tr>
        <w:tc>
          <w:tcPr>
            <w:tcW w:w="27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Расход воды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FT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Электромагнитный расходомер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0–100 м³/ч</w:t>
            </w:r>
          </w:p>
        </w:tc>
      </w:tr>
      <w:tr>
        <w:tc>
          <w:tcPr>
            <w:tcW w:w="27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Расход (масса) руды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WT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Конвейерные тензовесы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0–150 т/ч</w:t>
            </w:r>
          </w:p>
        </w:tc>
      </w:tr>
      <w:tr>
        <w:tc>
          <w:tcPr>
            <w:tcW w:w="27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Плотность пульпы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DT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Радиоизотопный плотномер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1000–1800 кг/м³</w:t>
            </w:r>
          </w:p>
        </w:tc>
      </w:tr>
      <w:tr>
        <w:tc>
          <w:tcPr>
            <w:tcW w:w="27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Уровень в зумпфе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LT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Гидростатический уровнемер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0–3 м</w:t>
            </w:r>
          </w:p>
        </w:tc>
      </w:tr>
      <w:tr>
        <w:tc>
          <w:tcPr>
            <w:tcW w:w="27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Загрузка по шуму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AT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Электроакустический датчик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0–100 %</w:t>
            </w:r>
          </w:p>
        </w:tc>
      </w:tr>
      <w:tr>
        <w:tc>
          <w:tcPr>
            <w:tcW w:w="27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Температура подшипника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TT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Термосопротивление Pt100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0–150 °C</w:t>
            </w:r>
          </w:p>
        </w:tc>
      </w:tr>
      <w:tr>
        <w:tc>
          <w:tcPr>
            <w:tcW w:w="27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Давление масла смазки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PT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Тензорезистивный датчик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0–1,6 МПа</w:t>
            </w:r>
          </w:p>
        </w:tc>
      </w:tr>
    </w:tbl>
    <w:p>
      <w:pPr>
        <w:spacing w:after="60"/>
      </w:pP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Таблица 2.4 — Перечень измеряемых параметров и типов датчиков</w:t>
      </w:r>
    </w:p>
    <w:p>
      <w:pPr>
        <w:spacing w:before="140" w:after="60"/>
        <w:keepNext/>
        <w:rPr>
          <w:b/>
          <w:i/>
          <w:sz w:val="26"/>
        </w:rPr>
      </w:pPr>
      <w:r>
        <w:rPr>
          <w:b/>
          <w:i/>
          <w:sz w:val="26"/>
        </w:rPr>
        <w:t xml:space="preserve">2.6.1. Датчики уровня и расхода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Для измерения расхода технологической воды принят электромагнитный расходомер, принцип действия которого основан на законе электромагнитной индукции Фарадея: при движении электропроводной жидкости в магнитном поле наводится ЭДС, пропорциональная средней скорости потока. Объёмный расход связан со скоростью соотношением: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Qв = v · (π·d² / 4),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где d — внутренний диаметр трубопровода. Выбор электромагнитного расходомера обусловлен отсутствием подвижных частей и гидравлических потерь, а также нечувствительностью к загрязнению среды. Расход (масса) руды измеряется конвейерными тензометрическими весами, а уровень пульпы в зумпфе насоса — гидростатическим уровнемером, сигнал которого используется в контуре регулирования откачки.</w:t>
      </w:r>
    </w:p>
    <w:p>
      <w:pPr>
        <w:spacing w:before="140" w:after="60"/>
        <w:keepNext/>
        <w:rPr>
          <w:b/>
          <w:i/>
          <w:sz w:val="26"/>
        </w:rPr>
      </w:pPr>
      <w:r>
        <w:rPr>
          <w:b/>
          <w:i/>
          <w:sz w:val="26"/>
        </w:rPr>
        <w:t xml:space="preserve">2.6.2. Датчики плотности пульпы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Плотность пульпы является косвенным показателем содержания твёрдого и напрямую влияет на эффективность измельчения и работу классификатора. Принят бесконтактный радиоизотопный (гамма-абсорбционный) плотномер, измеряющий ослабление потока гамма-излучения при прохождении через слой пульпы. Интенсивность прошедшего излучения связана с плотностью экспоненциальным законом ослабления: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I = I₀ · exp(−μ · ρ · s),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где I₀ — интенсивность источника; μ — массовый коэффициент ослабления; ρ — плотность пульпы; s — толщина просвечиваемого слоя. Бесконтактный принцип измерения исключает износ и налипание, что особенно важно для абразивной и агрессивной пульпы гидрометаллургического передела.</w:t>
      </w:r>
    </w:p>
    <w:p>
      <w:pPr>
        <w:spacing w:before="140" w:after="60"/>
        <w:keepNext/>
        <w:rPr>
          <w:b/>
          <w:i/>
          <w:sz w:val="26"/>
        </w:rPr>
      </w:pPr>
      <w:r>
        <w:rPr>
          <w:b/>
          <w:i/>
          <w:sz w:val="26"/>
        </w:rPr>
        <w:t xml:space="preserve">2.6.3. Датчики температуры и давления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Контроль температуры коренных подшипников и давления в системе жидкой смазки обеспечивает защиту мельницы от аварийных режимов. Температура измеряется термопреобразователями сопротивления типа Pt100, сопротивление которых изменяется с температурой по линеаризованной зависимости: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R(t) = R₀ · (1 + α·t),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где R₀ = 100 Ом — сопротивление при 0 °C; α = 3,85·10⁻³ °C⁻¹ — температурный коэффициент. Давление масла измеряется тензорезистивным датчиком с диапазоном 0–1,6 МПа. Выход параметров за допустимые пределы формирует сигнал предупредительной и аварийной блокировки привода.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2.7. Расчёт регулирующих органов и исполнительных механизмов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Основным регулирующим воздействием в контуре стабилизации плотности пульпы является изменение расхода технологической воды, осуществляемое регулирующим клапаном с электрическим исполнительным механизмом типа МЭО. Требуемая пропускная способность клапана (коэффициент Kv) рассчитывается по максимальному расходу воды и располагаемому перепаду давления на клапане: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Kv = Qв · √(ρотн / Δp),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где Qв = 100 м³/ч — максимальный расход; Δp = 1,0 бар — перепад давления; ρотн ≈ 1 — относительная плотность воды. После подстановки Kv = 100·√(1/1,0) = 100 м³/ч. С учётом коэффициента запаса 1,3 принимается клапан с условным проходом DN100 и Kv = 160 м³/ч. Время полного хода исполнительного механизма МЭО принимается равным 25 с, что согласуется с инерционностью объекта регулирования.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Для плавного регулирования производительности питателя руды предусматривается частотно-регулируемый электропривод, изменяющий частоту вращения двигателя питателя в диапазоне 10–100 % и обеспечивающий поддержание заданного соотношения «руда : вода».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2.8. Расчёт параметров настройки регулятора (ПИД-регулирование)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Стабилизация технологических параметров мельницы осуществляется одноконтурными системами автоматического регулирования (АСР), функциональная схема которых приведена на рисунке 2.5. Регулятор сравнивает заданное значение (SP) с измеренным значением регулируемой величины (PV), поступающим от датчика (FT), и формирует управляющее воздействие (U) на исполнительный механизм (IM), который изменяет состояние объекта (OB) — мельницы.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5400000" cy="1983673"/>
            <wp:effectExtent l="0" t="0" r="0" b="0"/>
            <wp:docPr id="5" name="Pictu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8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2.5 — Функциональная схема одноконтурной АСР: SP — задание, E — рассогласование, PID — регулятор, U — управление, IM — исполнительный механизм, OB — объект, FT — датчик, PV — регулируемая величина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Объект регулирования (контур плотности пульпы) аппроксимируется апериодическим звеном первого порядка с запаздыванием: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W(s) = K · exp(−τ·s) / (T·s + 1),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где по данным снятой кривой разгона приняты: коэффициент передачи K = 1,2; постоянная времени T = 120 с; запаздывание τ = 25 с. Регулятор реализует пропорционально-интегрально-дифференциальный (ПИД) закон регулирования, структурная схема которого показана на рисунке 2.6. Выходной сигнал регулятора формируется как сумма трёх составляющих: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u(t) = Kp·e(t) + (Kp/Ti)·∫e(t)dt + Kp·Td·de(t)/dt.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5040000" cy="2352000"/>
            <wp:effectExtent l="0" t="0" r="0" b="0"/>
            <wp:docPr id="6" name="Pictur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2.6 — Структурная схема ПИД-регулятора: Kp — пропорциональная, Ki/s — интегральная, Kd·s — дифференциальная составляющие; E(t) — рассогласование, U(t) — управляющее воздействие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Параметры настройки регулятора определяются по методу Циглера–Никольса (по переходной характеристике объекта). Для ПИД-закона: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Kp = 1,2·T / (K·τ);   Ti = 2τ;   Td = 0,5τ.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После подстановки исходных данных объекта: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Kp = 1,2·120 / (1,2·25) = 4,8;   Ti = 50 с;   Td = 12,5 с.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Качество переходного процесса при найденных настройках оценивается по переходным характеристикам замкнутой системы (рисунок 2.7). При использовании только пропорционального (P) закона система имеет значительное перерегулирование и статическую ошибку; пропорционально-интегральный (PI) закон устраняет статическую ошибку, но сохраняет колебательность; ПИД-закон обеспечивает наименьшее перерегулирование (не более 20 %) и наименьшее время регулирования, что удовлетворяет технологическим требованиям к стабильности процесса измельчения.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4500000" cy="2963414"/>
            <wp:effectExtent l="0" t="0" r="0" b="0"/>
            <wp:docPr id="7" name="Pictur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6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2.7 — Переходные характеристики замкнутой системы при различных законах регулирования: P, PI, PID; SP — уставка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Размещение измерительных преобразователей и точек формирования регулирующих воздействий по объекту представлено на рисунке 2.8. Такая схема контроля обеспечивает наблюдаемость основных технологических параметров и реализуемость рассчитанных контуров регулирования и защиты.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5400000" cy="2644897"/>
            <wp:effectExtent l="0" t="0" r="0" b="0"/>
            <wp:docPr id="8" name="Pictur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2.8 — Схема размещения датчиков КИПиА на мельнице МШЦ: WT — масса руды, FT — расход воды, AT — загрузка по шуму, DT — плотность пульпы, TT — температура, PT — давление масла, LT — уровень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Выводы по разделу. В результате выполненных расчётов определены рабочий объём барабана (48,1 м³), рабочая частота вращения (17,4 об/мин) и масса шаровой загрузки (89 т); обоснована полезная мощность измельчения (920 кВт) и выбран синхронный электродвигатель мощностью 1250 кВт; составлен материальный баланс процесса; выбраны типы датчиков и регулирующих органов; рассчитаны параметры настройки ПИД-регулятора (Kp = 4,8; Ti = 50 с; Td = 12,5 с). Полученные результаты являются исходными данными для разработки схем автоматизации в главе 3.</w:t>
      </w:r>
    </w:p>
    <w:sectPr>
      <w:pgSz w:w="11906" w:h="16838"/>
      <w:pgMar w:top="1134" w:right="850" w:bottom="1134" w:left="1701" w:header="708" w:footer="708" w:gutter="0"/>
      <w:pgNumType w:start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/Relationships>
</file>