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80" w:line="276" w:lineRule="auto"/>
        <w:jc w:val="center"/>
      </w:pPr>
      <w:r>
        <w:rPr>
          <w:rFonts w:ascii="Times New Roman" w:hAnsi="Times New Roman" w:cs="Times New Roman"/>
          <w:b/>
          <w:sz w:val="32"/>
          <w:szCs w:val="32"/>
        </w:rPr>
        <w:t xml:space="preserve">Shahar ekotizimlarida biologik qoplamalar yordamida havo ifloslanishini kamaytirish usullarini tadqiq etish</w:t>
      </w:r>
    </w:p>
    <w:p>
      <w:pPr>
        <w:spacing w:after="60" w:line="276" w:lineRule="auto"/>
        <w:jc w:val="center"/>
      </w:pPr>
      <w:r>
        <w:rPr>
          <w:rFonts w:ascii="Times New Roman" w:hAnsi="Times New Roman" w:cs="Times New Roman"/>
          <w:i/>
          <w:sz w:val="22"/>
          <w:szCs w:val="22"/>
        </w:rPr>
        <w:t xml:space="preserve">Magistrlik ilmiy maqolasi</w:t>
      </w:r>
    </w:p>
    <w:p>
      <w:pPr>
        <w:spacing w:after="200" w:line="276" w:lineRule="auto"/>
        <w:jc w:val="center"/>
      </w:pPr>
      <w:r>
        <w:rPr>
          <w:rFonts w:ascii="Times New Roman" w:hAnsi="Times New Roman" w:cs="Times New Roman"/>
          <w:sz w:val="22"/>
          <w:szCs w:val="22"/>
        </w:rPr>
        <w:t xml:space="preserve">Yo'nalish: Ekologiya va atrof-muhit muhofazasi</w:t>
      </w:r>
    </w:p>
    <w:p>
      <w:pPr>
        <w:keepNext/>
        <w:spacing w:after="120" w:line="276" w:lineRule="auto"/>
        <w:jc w:val="left"/>
      </w:pPr>
      <w:r>
        <w:rPr>
          <w:rFonts w:ascii="Times New Roman" w:hAnsi="Times New Roman" w:cs="Times New Roman"/>
          <w:b/>
          <w:sz w:val="26"/>
          <w:szCs w:val="26"/>
        </w:rPr>
        <w:t xml:space="preserve">Annotatsiya</w:t>
      </w:r>
    </w:p>
    <w:p>
      <w:pPr>
        <w:spacing w:after="120" w:line="276" w:lineRule="auto"/>
        <w:jc w:val="both"/>
      </w:pPr>
      <w:r>
        <w:rPr>
          <w:rFonts w:ascii="Times New Roman" w:hAnsi="Times New Roman" w:cs="Times New Roman"/>
          <w:sz w:val="24"/>
          <w:szCs w:val="24"/>
        </w:rPr>
        <w:t xml:space="preserve">Ushbu maqolada shahar ekotizimlarida havo ifloslanishini kamaytirishda biologik qoplamalar (moxli biofiltrlar, yashil devorlar va fasadlar, mikroalgali fotobioreaktorlar hamda lishaynik asosidagi biomonitoring tizimlari)dan foydalanish usullari tahlil qilingan. Tadqiqotda jahon ilmiy adabiyotidagi dala va laboratoriya natijalari umumlashtirilib, turli biologik tizimlarning chang (PM), azot oksidlari (NOx), oltingugurt dioksidi (SO2) va uchuvchan organik birikmalar (VOC)ni yutish samaradorligi qiyosiy baholangan. Natijalar shuni ko'rsatadiki, shahar o'simliklari ifloslantiruvchi moddalar konsentratsiyasini 14-48% gacha kamaytirishi, faol (ventilyatsiyali) yashil devorlar esa ayrim moddalar bo'yicha 90% dan ortiq samaradorlikka erishishi mumkin. Maqolada bu yondashuvlarning O'zbekiston shaharlari, jumladan Toshkent sharoitida qo'llanilishi istiqbollari ham muhokama qilingan.</w:t>
      </w:r>
    </w:p>
    <w:p>
      <w:pPr>
        <w:spacing w:after="120" w:line="276" w:lineRule="auto"/>
        <w:jc w:val="both"/>
      </w:pPr>
      <w:r>
        <w:rPr>
          <w:rFonts w:ascii="Times New Roman" w:hAnsi="Times New Roman" w:cs="Times New Roman"/>
          <w:i/>
          <w:sz w:val="24"/>
          <w:szCs w:val="24"/>
        </w:rPr>
        <w:t xml:space="preserve">Kalit so'zlar: biologik qoplama, havo ifloslanishi, shahar ekotizimi, yashil devor, moxli biofiltr, mikroalga, fotobioreaktor, lishaynik, biomonitoring, PM2.5, NOx, fitoremediatsiya.</w:t>
      </w:r>
    </w:p>
    <w:p>
      <w:pPr>
        <w:keepNext/>
        <w:spacing w:after="120" w:line="276" w:lineRule="auto"/>
        <w:jc w:val="left"/>
      </w:pPr>
      <w:r>
        <w:rPr>
          <w:rFonts w:ascii="Times New Roman" w:hAnsi="Times New Roman" w:cs="Times New Roman"/>
          <w:b/>
          <w:sz w:val="26"/>
          <w:szCs w:val="26"/>
        </w:rPr>
        <w:t xml:space="preserve">1. Kirish</w:t>
      </w:r>
    </w:p>
    <w:p>
      <w:pPr>
        <w:spacing w:after="120" w:line="276" w:lineRule="auto"/>
        <w:ind w:firstLine="360"/>
        <w:jc w:val="both"/>
      </w:pPr>
      <w:r>
        <w:rPr>
          <w:rFonts w:ascii="Times New Roman" w:hAnsi="Times New Roman" w:cs="Times New Roman"/>
          <w:sz w:val="24"/>
          <w:szCs w:val="24"/>
        </w:rPr>
        <w:t xml:space="preserve">Urbanizatsiya jadallashuvi bilan shaharlarda havo sifatining yomonlashuvi jahon miqyosidagi eng dolzarb ekologik va tibbiy muammolardan biriga aylandi. Jahon sog'liqni saqlash tashkiloti (JSST) ma'lumotlariga ko'ra, atmosfera havosi ifloslanishi har yili taxminan 4,2 million erta o'limga sabab bo'lmoqda, dunyo aholisining qariyb 99 foizi esa JSST belgilagan me'yorlardan oshib ketgan ifloslangan havodan nafas olmoqda. Avtotransport, sanoat korxonalari, isitish tizimlari va qurilish faoliyati natijasida atmosferaga chiqarilayotgan qattiq zarrachalar (PM2.5 va PM10), azot oksidlari, oltingugurt dioksidi va uchuvchan organik birikmalar shahar aholisining nafas olish va yurak-qon tomir kasalliklari xavfini sezilarli darajada oshiradi.</w:t>
      </w:r>
    </w:p>
    <w:p>
      <w:pPr>
        <w:spacing w:after="120" w:line="276" w:lineRule="auto"/>
        <w:ind w:firstLine="360"/>
        <w:jc w:val="both"/>
      </w:pPr>
      <w:r>
        <w:rPr>
          <w:rFonts w:ascii="Times New Roman" w:hAnsi="Times New Roman" w:cs="Times New Roman"/>
          <w:sz w:val="24"/>
          <w:szCs w:val="24"/>
        </w:rPr>
        <w:t xml:space="preserve">An'anaviy muhandislik yechimlari (filtrlash inshootlari, transportni cheklash, yoqilg'i standartlarini qattiqlashtirish) zarur, biroq ular ko'pincha qimmat va ifloslanishning manbasiga yo'naltirilgan bo'ladi. So'nggi yillarda esa tabiatga asoslangan yechimlar (nature-based solutions), xususan biologik qoplamalar yordamida havoni tozalash yondashuvi tobora ko'proq e'tibor qozonmoqda. Biologik qoplamalar deganda tirik organizmlar - yuksak o'simliklar, mox, lishaynik, mikroskopik suvo'tlar (mikroalga) va mikrobiologik birliklardan tashkil topgan, bino yuzalari, ko'cha infratuzilmasi yoki maxsus qurilmalarga o'rnatiladigan faol qatlamlar tushuniladi. Ushbu qatlamlar ifloslantiruvchi moddalarni yuza adsorbtsiyasi, barg/tallom orqali yutilishi (assimilyatsiya) hamda mikrobiologik parchalanish mexanizmlari orqali ushlab qoladi.</w:t>
      </w:r>
    </w:p>
    <w:p>
      <w:pPr>
        <w:spacing w:after="120" w:line="276" w:lineRule="auto"/>
        <w:ind w:firstLine="360"/>
        <w:jc w:val="both"/>
      </w:pPr>
      <w:r>
        <w:rPr>
          <w:rFonts w:ascii="Times New Roman" w:hAnsi="Times New Roman" w:cs="Times New Roman"/>
          <w:sz w:val="24"/>
          <w:szCs w:val="24"/>
        </w:rPr>
        <w:t xml:space="preserve">Ushbu maqolaning maqsadi - shahar ekotizimlarida biologik qoplamalar yordamida havo ifloslanishini kamaytirishning zamonaviy usullarini tizimli tahlil qilish, ularning samaradorligini real ilmiy tadqiqotlar asosida qiyoslash va O'zbekiston shaharlari uchun amaliy tavsiyalar ishlab chiqishdir.</w:t>
      </w:r>
    </w:p>
    <w:p>
      <w:pPr>
        <w:keepNext/>
        <w:spacing w:after="120" w:line="276" w:lineRule="auto"/>
        <w:jc w:val="left"/>
      </w:pPr>
      <w:r>
        <w:rPr>
          <w:rFonts w:ascii="Times New Roman" w:hAnsi="Times New Roman" w:cs="Times New Roman"/>
          <w:b/>
          <w:sz w:val="26"/>
          <w:szCs w:val="26"/>
        </w:rPr>
        <w:t xml:space="preserve">2. Tadqiqot materiallari va usullari</w:t>
      </w:r>
    </w:p>
    <w:p>
      <w:pPr>
        <w:spacing w:after="120" w:line="276" w:lineRule="auto"/>
        <w:ind w:firstLine="360"/>
        <w:jc w:val="both"/>
      </w:pPr>
      <w:r>
        <w:rPr>
          <w:rFonts w:ascii="Times New Roman" w:hAnsi="Times New Roman" w:cs="Times New Roman"/>
          <w:sz w:val="24"/>
          <w:szCs w:val="24"/>
        </w:rPr>
        <w:t xml:space="preserve">Tadqiqot tahliliy-umumlashtiruvchi (sistematik adabiyot tahlili) usuliga asoslangan. 2008-2025 yillarda nufuzli xalqaro jurnallarda (Nature/npj Urban Sustainability, MDPI Atmosphere, IJERPH, Buildings, Urban Science, Frontiers in Built Environment, Environmental Pollution) hamda Yevropa Ittifoqining ilmiy loyihalari hisobotlarida (CORDIS/Horizon 2020) e'lon qilingan dala va laboratoriya tadqiqotlari to'plandi. Tanlangan manbalarda biologik qoplamalarning quyidagi ko'rsatkichlari tahlil qilindi: ifloslantiruvchi modda turi, kamayish samaradorligi (foizda), tizim turi (passiv yoki faol) va o'lchov sharoiti (dala/laboratoriya). Olingan miqdoriy ma'lumotlar qiyosiy jadvallar va diagrammalar ko'rinishida umumlashtirildi.</w:t>
      </w:r>
    </w:p>
    <w:p>
      <w:pPr>
        <w:keepNext/>
        <w:spacing w:after="120" w:line="276" w:lineRule="auto"/>
        <w:jc w:val="left"/>
      </w:pPr>
      <w:r>
        <w:rPr>
          <w:rFonts w:ascii="Times New Roman" w:hAnsi="Times New Roman" w:cs="Times New Roman"/>
          <w:b/>
          <w:sz w:val="26"/>
          <w:szCs w:val="26"/>
        </w:rPr>
        <w:t xml:space="preserve">3. Biologik qoplamalar turlari va ta'sir mexanizmlari</w:t>
      </w:r>
    </w:p>
    <w:p>
      <w:pPr>
        <w:spacing w:after="120" w:line="276" w:lineRule="auto"/>
        <w:ind w:firstLine="360"/>
        <w:jc w:val="both"/>
      </w:pPr>
      <w:r>
        <w:rPr>
          <w:rFonts w:ascii="Times New Roman" w:hAnsi="Times New Roman" w:cs="Times New Roman"/>
          <w:sz w:val="24"/>
          <w:szCs w:val="24"/>
        </w:rPr>
        <w:t xml:space="preserve">Shahar sharoitida qo'llaniladigan biologik qoplamalarni ta'sir mexanizmi va konstruksiyasiga ko'ra besh asosiy guruhga ajratish mumkin. Ularning umumiy tavsifi 1-jadvalda keltirilgan.</w:t>
      </w:r>
    </w:p>
    <w:tbl>
      <w:tblPr>
        <w:tblW w:w="9360" w:type="dxa"/>
        <w:jc w:val="center"/>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2200"/>
        <w:gridCol w:w="2200"/>
        <w:gridCol w:w="2480"/>
        <w:gridCol w:w="2480"/>
      </w:tblGrid>
      <w:tr>
        <w:trPr>
          <w:tblHeader/>
        </w:trPr>
        <w:tc>
          <w:tcPr>
            <w:tcW w:w="2200" w:type="dxa"/>
            <w:shd w:val="clear" w:color="auto" w:fill="D9E2D9"/>
            <w:vAlign w:val="center"/>
          </w:tcPr>
          <w:p>
            <w:pPr>
              <w:spacing w:after="20" w:line="240" w:lineRule="auto"/>
              <w:jc w:val="center"/>
            </w:pPr>
            <w:r>
              <w:rPr>
                <w:rFonts w:ascii="Times New Roman" w:hAnsi="Times New Roman" w:cs="Times New Roman"/>
                <w:b/>
                <w:sz w:val="20"/>
                <w:szCs w:val="20"/>
              </w:rPr>
              <w:t xml:space="preserve">Qoplama turi</w:t>
            </w:r>
          </w:p>
        </w:tc>
        <w:tc>
          <w:tcPr>
            <w:tcW w:w="2200" w:type="dxa"/>
            <w:shd w:val="clear" w:color="auto" w:fill="D9E2D9"/>
            <w:vAlign w:val="center"/>
          </w:tcPr>
          <w:p>
            <w:pPr>
              <w:spacing w:after="20" w:line="240" w:lineRule="auto"/>
              <w:jc w:val="center"/>
            </w:pPr>
            <w:r>
              <w:rPr>
                <w:rFonts w:ascii="Times New Roman" w:hAnsi="Times New Roman" w:cs="Times New Roman"/>
                <w:b/>
                <w:sz w:val="20"/>
                <w:szCs w:val="20"/>
              </w:rPr>
              <w:t xml:space="preserve">Asosiy organizm</w:t>
            </w:r>
          </w:p>
        </w:tc>
        <w:tc>
          <w:tcPr>
            <w:tcW w:w="2480" w:type="dxa"/>
            <w:shd w:val="clear" w:color="auto" w:fill="D9E2D9"/>
            <w:vAlign w:val="center"/>
          </w:tcPr>
          <w:p>
            <w:pPr>
              <w:spacing w:after="20" w:line="240" w:lineRule="auto"/>
              <w:jc w:val="center"/>
            </w:pPr>
            <w:r>
              <w:rPr>
                <w:rFonts w:ascii="Times New Roman" w:hAnsi="Times New Roman" w:cs="Times New Roman"/>
                <w:b/>
                <w:sz w:val="20"/>
                <w:szCs w:val="20"/>
              </w:rPr>
              <w:t xml:space="preserve">Yutiladigan moddalar</w:t>
            </w:r>
          </w:p>
        </w:tc>
        <w:tc>
          <w:tcPr>
            <w:tcW w:w="2480" w:type="dxa"/>
            <w:shd w:val="clear" w:color="auto" w:fill="D9E2D9"/>
            <w:vAlign w:val="center"/>
          </w:tcPr>
          <w:p>
            <w:pPr>
              <w:spacing w:after="20" w:line="240" w:lineRule="auto"/>
              <w:jc w:val="center"/>
            </w:pPr>
            <w:r>
              <w:rPr>
                <w:rFonts w:ascii="Times New Roman" w:hAnsi="Times New Roman" w:cs="Times New Roman"/>
                <w:b/>
                <w:sz w:val="20"/>
                <w:szCs w:val="20"/>
              </w:rPr>
              <w:t xml:space="preserve">Asosiy mexanizm</w:t>
            </w:r>
          </w:p>
        </w:tc>
      </w:tr>
      <w:tr>
        <w:tc>
          <w:tcPr>
            <w:tcW w:w="2200" w:type="dxa"/>
            <w:vAlign w:val="center"/>
          </w:tcPr>
          <w:p>
            <w:pPr>
              <w:spacing w:after="20" w:line="240" w:lineRule="auto"/>
              <w:jc w:val="left"/>
            </w:pPr>
            <w:r>
              <w:rPr>
                <w:rFonts w:ascii="Times New Roman" w:hAnsi="Times New Roman" w:cs="Times New Roman"/>
                <w:sz w:val="20"/>
                <w:szCs w:val="20"/>
              </w:rPr>
              <w:t xml:space="preserve">Moxli biofiltr</w:t>
            </w:r>
          </w:p>
        </w:tc>
        <w:tc>
          <w:tcPr>
            <w:tcW w:w="2200" w:type="dxa"/>
            <w:vAlign w:val="center"/>
          </w:tcPr>
          <w:p>
            <w:pPr>
              <w:spacing w:after="20" w:line="240" w:lineRule="auto"/>
              <w:jc w:val="left"/>
            </w:pPr>
            <w:r>
              <w:rPr>
                <w:rFonts w:ascii="Times New Roman" w:hAnsi="Times New Roman" w:cs="Times New Roman"/>
                <w:sz w:val="20"/>
                <w:szCs w:val="20"/>
              </w:rPr>
              <w:t xml:space="preserve">Mox (Bryophyta)</w:t>
            </w:r>
          </w:p>
        </w:tc>
        <w:tc>
          <w:tcPr>
            <w:tcW w:w="2480" w:type="dxa"/>
            <w:vAlign w:val="center"/>
          </w:tcPr>
          <w:p>
            <w:pPr>
              <w:spacing w:after="20" w:line="240" w:lineRule="auto"/>
              <w:jc w:val="left"/>
            </w:pPr>
            <w:r>
              <w:rPr>
                <w:rFonts w:ascii="Times New Roman" w:hAnsi="Times New Roman" w:cs="Times New Roman"/>
                <w:sz w:val="20"/>
                <w:szCs w:val="20"/>
              </w:rPr>
              <w:t xml:space="preserve">PM2.5, PM10, CO2</w:t>
            </w:r>
          </w:p>
        </w:tc>
        <w:tc>
          <w:tcPr>
            <w:tcW w:w="2480" w:type="dxa"/>
            <w:vAlign w:val="center"/>
          </w:tcPr>
          <w:p>
            <w:pPr>
              <w:spacing w:after="20" w:line="240" w:lineRule="auto"/>
              <w:jc w:val="left"/>
            </w:pPr>
            <w:r>
              <w:rPr>
                <w:rFonts w:ascii="Times New Roman" w:hAnsi="Times New Roman" w:cs="Times New Roman"/>
                <w:sz w:val="20"/>
                <w:szCs w:val="20"/>
              </w:rPr>
              <w:t xml:space="preserve">Yuza adsorbtsiyasi, IoT bilan faol havo haydash</w:t>
            </w:r>
          </w:p>
        </w:tc>
      </w:tr>
      <w:tr>
        <w:tc>
          <w:tcPr>
            <w:tcW w:w="2200" w:type="dxa"/>
            <w:vAlign w:val="center"/>
          </w:tcPr>
          <w:p>
            <w:pPr>
              <w:spacing w:after="20" w:line="240" w:lineRule="auto"/>
              <w:jc w:val="left"/>
            </w:pPr>
            <w:r>
              <w:rPr>
                <w:rFonts w:ascii="Times New Roman" w:hAnsi="Times New Roman" w:cs="Times New Roman"/>
                <w:sz w:val="20"/>
                <w:szCs w:val="20"/>
              </w:rPr>
              <w:t xml:space="preserve">Yashil devor / fasad</w:t>
            </w:r>
          </w:p>
        </w:tc>
        <w:tc>
          <w:tcPr>
            <w:tcW w:w="2200" w:type="dxa"/>
            <w:vAlign w:val="center"/>
          </w:tcPr>
          <w:p>
            <w:pPr>
              <w:spacing w:after="20" w:line="240" w:lineRule="auto"/>
              <w:jc w:val="left"/>
            </w:pPr>
            <w:r>
              <w:rPr>
                <w:rFonts w:ascii="Times New Roman" w:hAnsi="Times New Roman" w:cs="Times New Roman"/>
                <w:sz w:val="20"/>
                <w:szCs w:val="20"/>
              </w:rPr>
              <w:t xml:space="preserve">Yuksak o'simliklar</w:t>
            </w:r>
          </w:p>
        </w:tc>
        <w:tc>
          <w:tcPr>
            <w:tcW w:w="2480" w:type="dxa"/>
            <w:vAlign w:val="center"/>
          </w:tcPr>
          <w:p>
            <w:pPr>
              <w:spacing w:after="20" w:line="240" w:lineRule="auto"/>
              <w:jc w:val="left"/>
            </w:pPr>
            <w:r>
              <w:rPr>
                <w:rFonts w:ascii="Times New Roman" w:hAnsi="Times New Roman" w:cs="Times New Roman"/>
                <w:sz w:val="20"/>
                <w:szCs w:val="20"/>
              </w:rPr>
              <w:t xml:space="preserve">PM, NOx, VOC, CO2</w:t>
            </w:r>
          </w:p>
        </w:tc>
        <w:tc>
          <w:tcPr>
            <w:tcW w:w="2480" w:type="dxa"/>
            <w:vAlign w:val="center"/>
          </w:tcPr>
          <w:p>
            <w:pPr>
              <w:spacing w:after="20" w:line="240" w:lineRule="auto"/>
              <w:jc w:val="left"/>
            </w:pPr>
            <w:r>
              <w:rPr>
                <w:rFonts w:ascii="Times New Roman" w:hAnsi="Times New Roman" w:cs="Times New Roman"/>
                <w:sz w:val="20"/>
                <w:szCs w:val="20"/>
              </w:rPr>
              <w:t xml:space="preserve">Barg yuzasiga cho'kish va assimilyatsiya</w:t>
            </w:r>
          </w:p>
        </w:tc>
      </w:tr>
      <w:tr>
        <w:tc>
          <w:tcPr>
            <w:tcW w:w="2200" w:type="dxa"/>
            <w:vAlign w:val="center"/>
          </w:tcPr>
          <w:p>
            <w:pPr>
              <w:spacing w:after="20" w:line="240" w:lineRule="auto"/>
              <w:jc w:val="left"/>
            </w:pPr>
            <w:r>
              <w:rPr>
                <w:rFonts w:ascii="Times New Roman" w:hAnsi="Times New Roman" w:cs="Times New Roman"/>
                <w:sz w:val="20"/>
                <w:szCs w:val="20"/>
              </w:rPr>
              <w:t xml:space="preserve">Mikroalgali fotobioreaktor</w:t>
            </w:r>
          </w:p>
        </w:tc>
        <w:tc>
          <w:tcPr>
            <w:tcW w:w="2200" w:type="dxa"/>
            <w:vAlign w:val="center"/>
          </w:tcPr>
          <w:p>
            <w:pPr>
              <w:spacing w:after="20" w:line="240" w:lineRule="auto"/>
              <w:jc w:val="left"/>
            </w:pPr>
            <w:r>
              <w:rPr>
                <w:rFonts w:ascii="Times New Roman" w:hAnsi="Times New Roman" w:cs="Times New Roman"/>
                <w:sz w:val="20"/>
                <w:szCs w:val="20"/>
              </w:rPr>
              <w:t xml:space="preserve">Mikroalga (Chlorella va b.)</w:t>
            </w:r>
          </w:p>
        </w:tc>
        <w:tc>
          <w:tcPr>
            <w:tcW w:w="2480" w:type="dxa"/>
            <w:vAlign w:val="center"/>
          </w:tcPr>
          <w:p>
            <w:pPr>
              <w:spacing w:after="20" w:line="240" w:lineRule="auto"/>
              <w:jc w:val="center"/>
            </w:pPr>
            <w:r>
              <w:rPr>
                <w:rFonts w:ascii="Times New Roman" w:hAnsi="Times New Roman" w:cs="Times New Roman"/>
                <w:sz w:val="20"/>
                <w:szCs w:val="20"/>
              </w:rPr>
              <w:t xml:space="preserve">CO2, NOx</w:t>
            </w:r>
          </w:p>
        </w:tc>
        <w:tc>
          <w:tcPr>
            <w:tcW w:w="2480" w:type="dxa"/>
            <w:vAlign w:val="center"/>
          </w:tcPr>
          <w:p>
            <w:pPr>
              <w:spacing w:after="20" w:line="240" w:lineRule="auto"/>
              <w:jc w:val="left"/>
            </w:pPr>
            <w:r>
              <w:rPr>
                <w:rFonts w:ascii="Times New Roman" w:hAnsi="Times New Roman" w:cs="Times New Roman"/>
                <w:sz w:val="20"/>
                <w:szCs w:val="20"/>
              </w:rPr>
              <w:t xml:space="preserve">Fotosintez orqali biofiksatsiya</w:t>
            </w:r>
          </w:p>
        </w:tc>
      </w:tr>
      <w:tr>
        <w:tc>
          <w:tcPr>
            <w:tcW w:w="2200" w:type="dxa"/>
            <w:vAlign w:val="center"/>
          </w:tcPr>
          <w:p>
            <w:pPr>
              <w:spacing w:after="20" w:line="240" w:lineRule="auto"/>
              <w:jc w:val="left"/>
            </w:pPr>
            <w:r>
              <w:rPr>
                <w:rFonts w:ascii="Times New Roman" w:hAnsi="Times New Roman" w:cs="Times New Roman"/>
                <w:sz w:val="20"/>
                <w:szCs w:val="20"/>
              </w:rPr>
              <w:t xml:space="preserve">Lishaynik tizimi</w:t>
            </w:r>
          </w:p>
        </w:tc>
        <w:tc>
          <w:tcPr>
            <w:tcW w:w="2200" w:type="dxa"/>
            <w:vAlign w:val="center"/>
          </w:tcPr>
          <w:p>
            <w:pPr>
              <w:spacing w:after="20" w:line="240" w:lineRule="auto"/>
              <w:jc w:val="left"/>
            </w:pPr>
            <w:r>
              <w:rPr>
                <w:rFonts w:ascii="Times New Roman" w:hAnsi="Times New Roman" w:cs="Times New Roman"/>
                <w:sz w:val="20"/>
                <w:szCs w:val="20"/>
              </w:rPr>
              <w:t xml:space="preserve">Lishaynik (simbioz)</w:t>
            </w:r>
          </w:p>
        </w:tc>
        <w:tc>
          <w:tcPr>
            <w:tcW w:w="2480" w:type="dxa"/>
            <w:vAlign w:val="center"/>
          </w:tcPr>
          <w:p>
            <w:pPr>
              <w:spacing w:after="20" w:line="240" w:lineRule="auto"/>
              <w:jc w:val="left"/>
            </w:pPr>
            <w:r>
              <w:rPr>
                <w:rFonts w:ascii="Times New Roman" w:hAnsi="Times New Roman" w:cs="Times New Roman"/>
                <w:sz w:val="20"/>
                <w:szCs w:val="20"/>
              </w:rPr>
              <w:t xml:space="preserve">Og'ir metallar, N, S</w:t>
            </w:r>
          </w:p>
        </w:tc>
        <w:tc>
          <w:tcPr>
            <w:tcW w:w="2480" w:type="dxa"/>
            <w:vAlign w:val="center"/>
          </w:tcPr>
          <w:p>
            <w:pPr>
              <w:spacing w:after="20" w:line="240" w:lineRule="auto"/>
              <w:jc w:val="left"/>
            </w:pPr>
            <w:r>
              <w:rPr>
                <w:rFonts w:ascii="Times New Roman" w:hAnsi="Times New Roman" w:cs="Times New Roman"/>
                <w:sz w:val="20"/>
                <w:szCs w:val="20"/>
              </w:rPr>
              <w:t xml:space="preserve">Akkumulyatsiya, biomonitoring</w:t>
            </w:r>
          </w:p>
        </w:tc>
      </w:tr>
      <w:tr>
        <w:tc>
          <w:tcPr>
            <w:tcW w:w="2200" w:type="dxa"/>
            <w:vAlign w:val="center"/>
          </w:tcPr>
          <w:p>
            <w:pPr>
              <w:spacing w:after="20" w:line="240" w:lineRule="auto"/>
              <w:jc w:val="left"/>
            </w:pPr>
            <w:r>
              <w:rPr>
                <w:rFonts w:ascii="Times New Roman" w:hAnsi="Times New Roman" w:cs="Times New Roman"/>
                <w:sz w:val="20"/>
                <w:szCs w:val="20"/>
              </w:rPr>
              <w:t xml:space="preserve">Biologik tuproq qatlami</w:t>
            </w:r>
          </w:p>
        </w:tc>
        <w:tc>
          <w:tcPr>
            <w:tcW w:w="2200" w:type="dxa"/>
            <w:vAlign w:val="center"/>
          </w:tcPr>
          <w:p>
            <w:pPr>
              <w:spacing w:after="20" w:line="240" w:lineRule="auto"/>
              <w:jc w:val="left"/>
            </w:pPr>
            <w:r>
              <w:rPr>
                <w:rFonts w:ascii="Times New Roman" w:hAnsi="Times New Roman" w:cs="Times New Roman"/>
                <w:sz w:val="20"/>
                <w:szCs w:val="20"/>
              </w:rPr>
              <w:t xml:space="preserve">Mox-suvo't-mikrob</w:t>
            </w:r>
          </w:p>
        </w:tc>
        <w:tc>
          <w:tcPr>
            <w:tcW w:w="2480" w:type="dxa"/>
            <w:vAlign w:val="center"/>
          </w:tcPr>
          <w:p>
            <w:pPr>
              <w:spacing w:after="20" w:line="240" w:lineRule="auto"/>
              <w:jc w:val="left"/>
            </w:pPr>
            <w:r>
              <w:rPr>
                <w:rFonts w:ascii="Times New Roman" w:hAnsi="Times New Roman" w:cs="Times New Roman"/>
                <w:sz w:val="20"/>
                <w:szCs w:val="20"/>
              </w:rPr>
              <w:t xml:space="preserve">Chang, ozuqa moddalari</w:t>
            </w:r>
          </w:p>
        </w:tc>
        <w:tc>
          <w:tcPr>
            <w:tcW w:w="2480" w:type="dxa"/>
            <w:vAlign w:val="center"/>
          </w:tcPr>
          <w:p>
            <w:pPr>
              <w:spacing w:after="20" w:line="240" w:lineRule="auto"/>
              <w:jc w:val="left"/>
            </w:pPr>
            <w:r>
              <w:rPr>
                <w:rFonts w:ascii="Times New Roman" w:hAnsi="Times New Roman" w:cs="Times New Roman"/>
                <w:sz w:val="20"/>
                <w:szCs w:val="20"/>
              </w:rPr>
              <w:t xml:space="preserve">Yuzani barqarorlashtirish, changni ushlash</w:t>
            </w:r>
          </w:p>
        </w:tc>
      </w:tr>
    </w:tbl>
    <w:p>
      <w:pPr>
        <w:spacing w:after="60" w:line="276" w:lineRule="auto"/>
        <w:jc w:val="both"/>
      </w:pPr>
      <w:r>
        <w:rPr>
          <w:rFonts w:ascii="Times New Roman" w:hAnsi="Times New Roman" w:cs="Times New Roman"/>
          <w:sz w:val="8"/>
          <w:szCs w:val="8"/>
        </w:rPr>
        <w:t xml:space="preserve"/>
      </w:r>
    </w:p>
    <w:p>
      <w:pPr>
        <w:spacing w:after="160" w:line="276" w:lineRule="auto"/>
        <w:jc w:val="center"/>
      </w:pPr>
      <w:r>
        <w:rPr>
          <w:rFonts w:ascii="Times New Roman" w:hAnsi="Times New Roman" w:cs="Times New Roman"/>
          <w:i/>
          <w:sz w:val="20"/>
          <w:szCs w:val="20"/>
        </w:rPr>
        <w:t xml:space="preserve">1-jadval. Shahar ekotizimlarida qo'llaniladigan biologik qoplamalarning asosiy turlari</w:t>
      </w:r>
    </w:p>
    <w:p>
      <w:pPr>
        <w:keepNext/>
        <w:spacing w:after="120" w:line="276" w:lineRule="auto"/>
        <w:jc w:val="left"/>
      </w:pPr>
      <w:r>
        <w:rPr>
          <w:rFonts w:ascii="Times New Roman" w:hAnsi="Times New Roman" w:cs="Times New Roman"/>
          <w:b/>
          <w:sz w:val="26"/>
          <w:szCs w:val="26"/>
        </w:rPr>
        <w:t xml:space="preserve">3.1. Moxli biofiltrlar</w:t>
      </w:r>
    </w:p>
    <w:p>
      <w:pPr>
        <w:spacing w:after="120" w:line="276" w:lineRule="auto"/>
        <w:ind w:firstLine="360"/>
        <w:jc w:val="both"/>
      </w:pPr>
      <w:r>
        <w:rPr>
          <w:rFonts w:ascii="Times New Roman" w:hAnsi="Times New Roman" w:cs="Times New Roman"/>
          <w:sz w:val="24"/>
          <w:szCs w:val="24"/>
        </w:rPr>
        <w:t xml:space="preserve">Mox o'zining juda katta solishtirma yuzasi va kutikulasiz tuzilishi tufayli havodagi mayda chang zarralarini samarali ushlab qoladi. Germaniyaning Green City Solutions kompaniyasi ishlab chiqqan CityTree va MossTree qurilmalari moxni Internet of Things (IoT) texnologiyasi bilan birlashtirib, havoni faol ravishda qatlam orqali haydaydi va namlikni avtomatik nazorat qiladi. Yevropa Ittifoqining Horizon 2020 doirasidagi MossTree loyihasi (grant 847744) natijalariga ko'ra, mox asosidagi filtrlar shahar 'issiq nuqtalari'da mayda changni o'lchanadigan darajada kamaytirishi mumkin. Qozog'istonda o'tkazilgan dala tadqiqoti ham mox asosidagi biotexnologik tozalash filtri ochiq havodagi ifloslantiruvchi moddalar miqdorini pasaytirishini tasdiqlagan.</w:t>
      </w:r>
    </w:p>
    <w:p>
      <w:pPr>
        <w:keepNext/>
        <w:spacing w:after="120" w:line="276" w:lineRule="auto"/>
        <w:jc w:val="left"/>
      </w:pPr>
      <w:r>
        <w:rPr>
          <w:rFonts w:ascii="Times New Roman" w:hAnsi="Times New Roman" w:cs="Times New Roman"/>
          <w:b/>
          <w:sz w:val="26"/>
          <w:szCs w:val="26"/>
        </w:rPr>
        <w:t xml:space="preserve">3.2. Yashil devorlar va fasadlar</w:t>
      </w:r>
    </w:p>
    <w:p>
      <w:pPr>
        <w:spacing w:after="120" w:line="276" w:lineRule="auto"/>
        <w:ind w:firstLine="360"/>
        <w:jc w:val="both"/>
      </w:pPr>
      <w:r>
        <w:rPr>
          <w:rFonts w:ascii="Times New Roman" w:hAnsi="Times New Roman" w:cs="Times New Roman"/>
          <w:sz w:val="24"/>
          <w:szCs w:val="24"/>
        </w:rPr>
        <w:t xml:space="preserve">Yashil devorlar passiv (tabiiy shamollatishga tayanadigan) va faol (havoni majburiy ravishda o'simlik ildiz-substrat qatlamidan o'tkazadigan) turlarga bo'linadi. Hisoblash gidrodinamikasi (CFD) modellashtirishi shuni ko'rsatadiki, 25-75% qamrovga ega yashil devorlar piyodalar darajasidagi PM2.5 konsentratsiyasini taxminan 14-15% ga, yashil tomlar 3,7-5,5% ga, jonli to'siqlar (hedge) esa 2,7-12% ga kamaytiradi. Faol (botanik biofiltratsiyali) yashil devorlar ancha yuqori ko'rsatkich beradi: Chlorophytum comosum va Sansevieria trifasciata kabi turlardan foydalanilganda VOC bo'yicha 96% gacha, chang bo'yicha 65% gacha samaradorlikka erishilgan.</w:t>
      </w:r>
    </w:p>
    <w:p>
      <w:pPr>
        <w:jc w:val="center"/>
        <w:spacing w:after="60"/>
      </w:pPr>
      <w:r>
        <w:drawing>
          <wp:inline distT="0" distB="0" distL="0" distR="0">
            <wp:extent cx="5486400" cy="341376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hart1.png"/>
                    <pic:cNvPicPr/>
                  </pic:nvPicPr>
                  <pic:blipFill>
                    <a:blip r:embed="rIdImg1"/>
                    <a:stretch>
                      <a:fillRect/>
                    </a:stretch>
                  </pic:blipFill>
                  <pic:spPr>
                    <a:xfrm>
                      <a:off x="0" y="0"/>
                      <a:ext cx="5486400" cy="3413760"/>
                    </a:xfrm>
                    <a:prstGeom prst="rect">
                      <a:avLst/>
                    </a:prstGeom>
                  </pic:spPr>
                </pic:pic>
              </a:graphicData>
            </a:graphic>
          </wp:inline>
        </w:drawing>
      </w:r>
    </w:p>
    <w:p>
      <w:pPr>
        <w:spacing w:after="160" w:line="276" w:lineRule="auto"/>
        <w:jc w:val="center"/>
      </w:pPr>
      <w:r>
        <w:rPr>
          <w:rFonts w:ascii="Times New Roman" w:hAnsi="Times New Roman" w:cs="Times New Roman"/>
          <w:i/>
          <w:sz w:val="20"/>
          <w:szCs w:val="20"/>
        </w:rPr>
        <w:t xml:space="preserve">1-rasm. Shahar o'simliklarining ifloslantiruvchi moddalarni kamaytirish diapazoni (manba: npj Urban Sustainability, 2023): PM 16,5-26,7%, NOx 13,9-36,2%, SO2 20,5-47,8%.</w:t>
      </w:r>
    </w:p>
    <w:p>
      <w:pPr>
        <w:jc w:val="center"/>
        <w:spacing w:after="60"/>
      </w:pPr>
      <w:r>
        <w:drawing>
          <wp:inline distT="0" distB="0" distL="0" distR="0">
            <wp:extent cx="5486400" cy="341376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hart2.png"/>
                    <pic:cNvPicPr/>
                  </pic:nvPicPr>
                  <pic:blipFill>
                    <a:blip r:embed="rIdImg2"/>
                    <a:stretch>
                      <a:fillRect/>
                    </a:stretch>
                  </pic:blipFill>
                  <pic:spPr>
                    <a:xfrm>
                      <a:off x="0" y="0"/>
                      <a:ext cx="5486400" cy="3413760"/>
                    </a:xfrm>
                    <a:prstGeom prst="rect">
                      <a:avLst/>
                    </a:prstGeom>
                  </pic:spPr>
                </pic:pic>
              </a:graphicData>
            </a:graphic>
          </wp:inline>
        </w:drawing>
      </w:r>
    </w:p>
    <w:p>
      <w:pPr>
        <w:spacing w:after="160" w:line="276" w:lineRule="auto"/>
        <w:jc w:val="center"/>
      </w:pPr>
      <w:r>
        <w:rPr>
          <w:rFonts w:ascii="Times New Roman" w:hAnsi="Times New Roman" w:cs="Times New Roman"/>
          <w:i/>
          <w:sz w:val="20"/>
          <w:szCs w:val="20"/>
        </w:rPr>
        <w:t xml:space="preserve">2-rasm. Yashil tizim turi bo'yicha PM2.5 ning piyodalar darajasidagi o'rtacha kamayishi (CFD tadqiqoti asosida): yashil devor ~14,6%, yashil tom ~4,6%, jonli to'siq ~7,4%.</w:t>
      </w:r>
    </w:p>
    <w:p>
      <w:pPr>
        <w:keepNext/>
        <w:spacing w:after="120" w:line="276" w:lineRule="auto"/>
        <w:jc w:val="left"/>
      </w:pPr>
      <w:r>
        <w:rPr>
          <w:rFonts w:ascii="Times New Roman" w:hAnsi="Times New Roman" w:cs="Times New Roman"/>
          <w:b/>
          <w:sz w:val="26"/>
          <w:szCs w:val="26"/>
        </w:rPr>
        <w:t xml:space="preserve">3.3. Mikroalgali fotobioreaktorli fasadlar</w:t>
      </w:r>
    </w:p>
    <w:p>
      <w:pPr>
        <w:spacing w:after="120" w:line="276" w:lineRule="auto"/>
        <w:ind w:firstLine="360"/>
        <w:jc w:val="both"/>
      </w:pPr>
      <w:r>
        <w:rPr>
          <w:rFonts w:ascii="Times New Roman" w:hAnsi="Times New Roman" w:cs="Times New Roman"/>
          <w:sz w:val="24"/>
          <w:szCs w:val="24"/>
        </w:rPr>
        <w:t xml:space="preserve">Mikroalgalar fotosintez jarayonida atmosferadagi CO2 ni yuqori samaradorlik bilan biomassaga aylantiradi. Shaffof panellarga (fotobioreaktorlarga) joylangan mikroalga binoning fasadiga integratsiya qilinadi va bir vaqtning o'zida soyalash, issiqlik izolyatsiyasi hamda biomassa ishlab chiqarish vazifalarini bajaradi. Gamburgdagi BIQ House (2013) bunday 'jonli fasad'ga ega birinchi turar-joy binosi sifatida tanilgan. Universidad de Alcala (Ispaniya) tomonidan ishlab chiqilgan mikroalgali fasad yiliga 720 kg gacha CO2 ni biriktirib, 400 kg biomassa hosil qila olishi qayd etilgan; bunday biomassa keyinchalik o'g'it sifatida ishlatilishi mumkin.</w:t>
      </w:r>
    </w:p>
    <w:p>
      <w:pPr>
        <w:keepNext/>
        <w:spacing w:after="120" w:line="276" w:lineRule="auto"/>
        <w:jc w:val="left"/>
      </w:pPr>
      <w:r>
        <w:rPr>
          <w:rFonts w:ascii="Times New Roman" w:hAnsi="Times New Roman" w:cs="Times New Roman"/>
          <w:b/>
          <w:sz w:val="26"/>
          <w:szCs w:val="26"/>
        </w:rPr>
        <w:t xml:space="preserve">3.4. Lishaynik va biologik monitoring</w:t>
      </w:r>
    </w:p>
    <w:p>
      <w:pPr>
        <w:spacing w:after="120" w:line="276" w:lineRule="auto"/>
        <w:ind w:firstLine="360"/>
        <w:jc w:val="both"/>
      </w:pPr>
      <w:r>
        <w:rPr>
          <w:rFonts w:ascii="Times New Roman" w:hAnsi="Times New Roman" w:cs="Times New Roman"/>
          <w:sz w:val="24"/>
          <w:szCs w:val="24"/>
        </w:rPr>
        <w:t xml:space="preserve">Lishayniklar (zamburug' va suvo't yoki sianobakteriya simbiozi) havo sifatining tabiiy ko'rsatkichlari (bioindikatorlari) hisoblanadi. Ular havodagi og'ir metallar, azot va oltingugurt birikmalarini to'planti tarzida yutadi, shu sababli ularning tarkibi va tur tarqalishi shahar havosining ifloslanish darajasini arzon va keng qamrovli baholashga imkon beradi. Lishayniklardagi uglerod, azot va oltingugurt miqdori hamda izotop nisbati shahar markazlaridagi havo sifatini yuqori fazoviy aniqlikda kartalashtirish uchun ishlatilmoqda. Shu bilan birga lishayniklar ifloslanishga juda sezgir bo'lganligi tufayli ular bevosita tozalovchi emas, balki monitoring va erta ogohlantirish vositasi sifatida qiymatga ega.</w:t>
      </w:r>
    </w:p>
    <w:p>
      <w:pPr>
        <w:keepNext/>
        <w:spacing w:after="120" w:line="276" w:lineRule="auto"/>
        <w:jc w:val="left"/>
      </w:pPr>
      <w:r>
        <w:rPr>
          <w:rFonts w:ascii="Times New Roman" w:hAnsi="Times New Roman" w:cs="Times New Roman"/>
          <w:b/>
          <w:sz w:val="26"/>
          <w:szCs w:val="26"/>
        </w:rPr>
        <w:t xml:space="preserve">4. Samaradorlikning qiyosiy tahlili</w:t>
      </w:r>
    </w:p>
    <w:p>
      <w:pPr>
        <w:spacing w:after="120" w:line="276" w:lineRule="auto"/>
        <w:ind w:firstLine="360"/>
        <w:jc w:val="both"/>
      </w:pPr>
      <w:r>
        <w:rPr>
          <w:rFonts w:ascii="Times New Roman" w:hAnsi="Times New Roman" w:cs="Times New Roman"/>
          <w:sz w:val="24"/>
          <w:szCs w:val="24"/>
        </w:rPr>
        <w:t xml:space="preserve">To'plangan ma'lumotlar tahlili biologik qoplamalar samaradorligi tizim turiga, qamrov darajasiga va o'lchov sharoitiga kuchli bog'liqligini ko'rsatadi. 2-jadvalda turli tizimlarning asosiy ifloslantiruvchi moddalar bo'yicha kamaytirish samaradorligi umumlashtirilgan.</w:t>
      </w:r>
    </w:p>
    <w:tbl>
      <w:tblPr>
        <w:tblW w:w="9360" w:type="dxa"/>
        <w:jc w:val="center"/>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2700"/>
        <w:gridCol w:w="1300"/>
        <w:gridCol w:w="1700"/>
        <w:gridCol w:w="1860"/>
        <w:gridCol w:w="1800"/>
      </w:tblGrid>
      <w:tr>
        <w:trPr>
          <w:tblHeader/>
        </w:trPr>
        <w:tc>
          <w:tcPr>
            <w:tcW w:w="2700" w:type="dxa"/>
            <w:shd w:val="clear" w:color="auto" w:fill="D9E2D9"/>
            <w:vAlign w:val="center"/>
          </w:tcPr>
          <w:p>
            <w:pPr>
              <w:spacing w:after="20" w:line="240" w:lineRule="auto"/>
              <w:jc w:val="center"/>
            </w:pPr>
            <w:r>
              <w:rPr>
                <w:rFonts w:ascii="Times New Roman" w:hAnsi="Times New Roman" w:cs="Times New Roman"/>
                <w:b/>
                <w:sz w:val="18"/>
                <w:szCs w:val="18"/>
              </w:rPr>
              <w:t xml:space="preserve">Tizim turi</w:t>
            </w:r>
          </w:p>
        </w:tc>
        <w:tc>
          <w:tcPr>
            <w:tcW w:w="1300" w:type="dxa"/>
            <w:shd w:val="clear" w:color="auto" w:fill="D9E2D9"/>
            <w:vAlign w:val="center"/>
          </w:tcPr>
          <w:p>
            <w:pPr>
              <w:spacing w:after="20" w:line="240" w:lineRule="auto"/>
              <w:jc w:val="center"/>
            </w:pPr>
            <w:r>
              <w:rPr>
                <w:rFonts w:ascii="Times New Roman" w:hAnsi="Times New Roman" w:cs="Times New Roman"/>
                <w:b/>
                <w:sz w:val="18"/>
                <w:szCs w:val="18"/>
              </w:rPr>
              <w:t xml:space="preserve">Modda</w:t>
            </w:r>
          </w:p>
        </w:tc>
        <w:tc>
          <w:tcPr>
            <w:tcW w:w="1700" w:type="dxa"/>
            <w:shd w:val="clear" w:color="auto" w:fill="D9E2D9"/>
            <w:vAlign w:val="center"/>
          </w:tcPr>
          <w:p>
            <w:pPr>
              <w:spacing w:after="20" w:line="240" w:lineRule="auto"/>
              <w:jc w:val="center"/>
            </w:pPr>
            <w:r>
              <w:rPr>
                <w:rFonts w:ascii="Times New Roman" w:hAnsi="Times New Roman" w:cs="Times New Roman"/>
                <w:b/>
                <w:sz w:val="18"/>
                <w:szCs w:val="18"/>
              </w:rPr>
              <w:t xml:space="preserve">Kamayish (%)</w:t>
            </w:r>
          </w:p>
        </w:tc>
        <w:tc>
          <w:tcPr>
            <w:tcW w:w="1860" w:type="dxa"/>
            <w:shd w:val="clear" w:color="auto" w:fill="D9E2D9"/>
            <w:vAlign w:val="center"/>
          </w:tcPr>
          <w:p>
            <w:pPr>
              <w:spacing w:after="20" w:line="240" w:lineRule="auto"/>
              <w:jc w:val="center"/>
            </w:pPr>
            <w:r>
              <w:rPr>
                <w:rFonts w:ascii="Times New Roman" w:hAnsi="Times New Roman" w:cs="Times New Roman"/>
                <w:b/>
                <w:sz w:val="18"/>
                <w:szCs w:val="18"/>
              </w:rPr>
              <w:t xml:space="preserve">Sharoit</w:t>
            </w:r>
          </w:p>
        </w:tc>
        <w:tc>
          <w:tcPr>
            <w:tcW w:w="1800" w:type="dxa"/>
            <w:shd w:val="clear" w:color="auto" w:fill="D9E2D9"/>
            <w:vAlign w:val="center"/>
          </w:tcPr>
          <w:p>
            <w:pPr>
              <w:spacing w:after="20" w:line="240" w:lineRule="auto"/>
              <w:jc w:val="center"/>
            </w:pPr>
            <w:r>
              <w:rPr>
                <w:rFonts w:ascii="Times New Roman" w:hAnsi="Times New Roman" w:cs="Times New Roman"/>
                <w:b/>
                <w:sz w:val="18"/>
                <w:szCs w:val="18"/>
              </w:rPr>
              <w:t xml:space="preserve">Manba</w:t>
            </w:r>
          </w:p>
        </w:tc>
      </w:tr>
      <w:tr>
        <w:tc>
          <w:tcPr>
            <w:tcW w:w="2700" w:type="dxa"/>
            <w:vAlign w:val="center"/>
          </w:tcPr>
          <w:p>
            <w:pPr>
              <w:spacing w:after="20" w:line="240" w:lineRule="auto"/>
              <w:jc w:val="left"/>
            </w:pPr>
            <w:r>
              <w:rPr>
                <w:rFonts w:ascii="Times New Roman" w:hAnsi="Times New Roman" w:cs="Times New Roman"/>
                <w:sz w:val="18"/>
                <w:szCs w:val="18"/>
              </w:rPr>
              <w:t xml:space="preserve">Shahar o'simliklari (umumiy)</w:t>
            </w:r>
          </w:p>
        </w:tc>
        <w:tc>
          <w:tcPr>
            <w:tcW w:w="1300" w:type="dxa"/>
            <w:vAlign w:val="center"/>
          </w:tcPr>
          <w:p>
            <w:pPr>
              <w:spacing w:after="20" w:line="240" w:lineRule="auto"/>
              <w:jc w:val="center"/>
            </w:pPr>
            <w:r>
              <w:rPr>
                <w:rFonts w:ascii="Times New Roman" w:hAnsi="Times New Roman" w:cs="Times New Roman"/>
                <w:sz w:val="18"/>
                <w:szCs w:val="18"/>
              </w:rPr>
              <w:t xml:space="preserve">PM</w:t>
            </w:r>
          </w:p>
        </w:tc>
        <w:tc>
          <w:tcPr>
            <w:tcW w:w="1700" w:type="dxa"/>
            <w:vAlign w:val="center"/>
          </w:tcPr>
          <w:p>
            <w:pPr>
              <w:spacing w:after="20" w:line="240" w:lineRule="auto"/>
              <w:jc w:val="center"/>
            </w:pPr>
            <w:r>
              <w:rPr>
                <w:rFonts w:ascii="Times New Roman" w:hAnsi="Times New Roman" w:cs="Times New Roman"/>
                <w:sz w:val="18"/>
                <w:szCs w:val="18"/>
              </w:rPr>
              <w:t xml:space="preserve">16,5-26,7</w:t>
            </w:r>
          </w:p>
        </w:tc>
        <w:tc>
          <w:tcPr>
            <w:tcW w:w="1860" w:type="dxa"/>
            <w:vAlign w:val="center"/>
          </w:tcPr>
          <w:p>
            <w:pPr>
              <w:spacing w:after="20" w:line="240" w:lineRule="auto"/>
              <w:jc w:val="left"/>
            </w:pPr>
            <w:r>
              <w:rPr>
                <w:rFonts w:ascii="Times New Roman" w:hAnsi="Times New Roman" w:cs="Times New Roman"/>
                <w:sz w:val="18"/>
                <w:szCs w:val="18"/>
              </w:rPr>
              <w:t xml:space="preserve">Dala/meta-tahlil</w:t>
            </w:r>
          </w:p>
        </w:tc>
        <w:tc>
          <w:tcPr>
            <w:tcW w:w="1800" w:type="dxa"/>
            <w:vAlign w:val="center"/>
          </w:tcPr>
          <w:p>
            <w:pPr>
              <w:spacing w:after="20" w:line="240" w:lineRule="auto"/>
              <w:jc w:val="left"/>
            </w:pPr>
            <w:r>
              <w:rPr>
                <w:rFonts w:ascii="Times New Roman" w:hAnsi="Times New Roman" w:cs="Times New Roman"/>
                <w:sz w:val="18"/>
                <w:szCs w:val="18"/>
              </w:rPr>
              <w:t xml:space="preserve">npj Urban Sust., 2023</w:t>
            </w:r>
          </w:p>
        </w:tc>
      </w:tr>
      <w:tr>
        <w:tc>
          <w:tcPr>
            <w:tcW w:w="2700" w:type="dxa"/>
            <w:vAlign w:val="center"/>
          </w:tcPr>
          <w:p>
            <w:pPr>
              <w:spacing w:after="20" w:line="240" w:lineRule="auto"/>
              <w:jc w:val="left"/>
            </w:pPr>
            <w:r>
              <w:rPr>
                <w:rFonts w:ascii="Times New Roman" w:hAnsi="Times New Roman" w:cs="Times New Roman"/>
                <w:sz w:val="18"/>
                <w:szCs w:val="18"/>
              </w:rPr>
              <w:t xml:space="preserve">Shahar o'simliklari (umumiy)</w:t>
            </w:r>
          </w:p>
        </w:tc>
        <w:tc>
          <w:tcPr>
            <w:tcW w:w="1300" w:type="dxa"/>
            <w:vAlign w:val="center"/>
          </w:tcPr>
          <w:p>
            <w:pPr>
              <w:spacing w:after="20" w:line="240" w:lineRule="auto"/>
              <w:jc w:val="center"/>
            </w:pPr>
            <w:r>
              <w:rPr>
                <w:rFonts w:ascii="Times New Roman" w:hAnsi="Times New Roman" w:cs="Times New Roman"/>
                <w:sz w:val="18"/>
                <w:szCs w:val="18"/>
              </w:rPr>
              <w:t xml:space="preserve">NOx</w:t>
            </w:r>
          </w:p>
        </w:tc>
        <w:tc>
          <w:tcPr>
            <w:tcW w:w="1700" w:type="dxa"/>
            <w:vAlign w:val="center"/>
          </w:tcPr>
          <w:p>
            <w:pPr>
              <w:spacing w:after="20" w:line="240" w:lineRule="auto"/>
              <w:jc w:val="center"/>
            </w:pPr>
            <w:r>
              <w:rPr>
                <w:rFonts w:ascii="Times New Roman" w:hAnsi="Times New Roman" w:cs="Times New Roman"/>
                <w:sz w:val="18"/>
                <w:szCs w:val="18"/>
              </w:rPr>
              <w:t xml:space="preserve">13,9-36,2</w:t>
            </w:r>
          </w:p>
        </w:tc>
        <w:tc>
          <w:tcPr>
            <w:tcW w:w="1860" w:type="dxa"/>
            <w:vAlign w:val="center"/>
          </w:tcPr>
          <w:p>
            <w:pPr>
              <w:spacing w:after="20" w:line="240" w:lineRule="auto"/>
              <w:jc w:val="left"/>
            </w:pPr>
            <w:r>
              <w:rPr>
                <w:rFonts w:ascii="Times New Roman" w:hAnsi="Times New Roman" w:cs="Times New Roman"/>
                <w:sz w:val="18"/>
                <w:szCs w:val="18"/>
              </w:rPr>
              <w:t xml:space="preserve">Dala/meta-tahlil</w:t>
            </w:r>
          </w:p>
        </w:tc>
        <w:tc>
          <w:tcPr>
            <w:tcW w:w="1800" w:type="dxa"/>
            <w:vAlign w:val="center"/>
          </w:tcPr>
          <w:p>
            <w:pPr>
              <w:spacing w:after="20" w:line="240" w:lineRule="auto"/>
              <w:jc w:val="left"/>
            </w:pPr>
            <w:r>
              <w:rPr>
                <w:rFonts w:ascii="Times New Roman" w:hAnsi="Times New Roman" w:cs="Times New Roman"/>
                <w:sz w:val="18"/>
                <w:szCs w:val="18"/>
              </w:rPr>
              <w:t xml:space="preserve">npj Urban Sust., 2023</w:t>
            </w:r>
          </w:p>
        </w:tc>
      </w:tr>
      <w:tr>
        <w:tc>
          <w:tcPr>
            <w:tcW w:w="2700" w:type="dxa"/>
            <w:vAlign w:val="center"/>
          </w:tcPr>
          <w:p>
            <w:pPr>
              <w:spacing w:after="20" w:line="240" w:lineRule="auto"/>
              <w:jc w:val="left"/>
            </w:pPr>
            <w:r>
              <w:rPr>
                <w:rFonts w:ascii="Times New Roman" w:hAnsi="Times New Roman" w:cs="Times New Roman"/>
                <w:sz w:val="18"/>
                <w:szCs w:val="18"/>
              </w:rPr>
              <w:t xml:space="preserve">Shahar o'simliklari (umumiy)</w:t>
            </w:r>
          </w:p>
        </w:tc>
        <w:tc>
          <w:tcPr>
            <w:tcW w:w="1300" w:type="dxa"/>
            <w:vAlign w:val="center"/>
          </w:tcPr>
          <w:p>
            <w:pPr>
              <w:spacing w:after="20" w:line="240" w:lineRule="auto"/>
              <w:jc w:val="center"/>
            </w:pPr>
            <w:r>
              <w:rPr>
                <w:rFonts w:ascii="Times New Roman" w:hAnsi="Times New Roman" w:cs="Times New Roman"/>
                <w:sz w:val="18"/>
                <w:szCs w:val="18"/>
              </w:rPr>
              <w:t xml:space="preserve">SO2</w:t>
            </w:r>
          </w:p>
        </w:tc>
        <w:tc>
          <w:tcPr>
            <w:tcW w:w="1700" w:type="dxa"/>
            <w:vAlign w:val="center"/>
          </w:tcPr>
          <w:p>
            <w:pPr>
              <w:spacing w:after="20" w:line="240" w:lineRule="auto"/>
              <w:jc w:val="center"/>
            </w:pPr>
            <w:r>
              <w:rPr>
                <w:rFonts w:ascii="Times New Roman" w:hAnsi="Times New Roman" w:cs="Times New Roman"/>
                <w:sz w:val="18"/>
                <w:szCs w:val="18"/>
              </w:rPr>
              <w:t xml:space="preserve">20,5-47,8</w:t>
            </w:r>
          </w:p>
        </w:tc>
        <w:tc>
          <w:tcPr>
            <w:tcW w:w="1860" w:type="dxa"/>
            <w:vAlign w:val="center"/>
          </w:tcPr>
          <w:p>
            <w:pPr>
              <w:spacing w:after="20" w:line="240" w:lineRule="auto"/>
              <w:jc w:val="left"/>
            </w:pPr>
            <w:r>
              <w:rPr>
                <w:rFonts w:ascii="Times New Roman" w:hAnsi="Times New Roman" w:cs="Times New Roman"/>
                <w:sz w:val="18"/>
                <w:szCs w:val="18"/>
              </w:rPr>
              <w:t xml:space="preserve">Dala/meta-tahlil</w:t>
            </w:r>
          </w:p>
        </w:tc>
        <w:tc>
          <w:tcPr>
            <w:tcW w:w="1800" w:type="dxa"/>
            <w:vAlign w:val="center"/>
          </w:tcPr>
          <w:p>
            <w:pPr>
              <w:spacing w:after="20" w:line="240" w:lineRule="auto"/>
              <w:jc w:val="left"/>
            </w:pPr>
            <w:r>
              <w:rPr>
                <w:rFonts w:ascii="Times New Roman" w:hAnsi="Times New Roman" w:cs="Times New Roman"/>
                <w:sz w:val="18"/>
                <w:szCs w:val="18"/>
              </w:rPr>
              <w:t xml:space="preserve">npj Urban Sust., 2023</w:t>
            </w:r>
          </w:p>
        </w:tc>
      </w:tr>
      <w:tr>
        <w:tc>
          <w:tcPr>
            <w:tcW w:w="2700" w:type="dxa"/>
            <w:vAlign w:val="center"/>
          </w:tcPr>
          <w:p>
            <w:pPr>
              <w:spacing w:after="20" w:line="240" w:lineRule="auto"/>
              <w:jc w:val="left"/>
            </w:pPr>
            <w:r>
              <w:rPr>
                <w:rFonts w:ascii="Times New Roman" w:hAnsi="Times New Roman" w:cs="Times New Roman"/>
                <w:sz w:val="18"/>
                <w:szCs w:val="18"/>
              </w:rPr>
              <w:t xml:space="preserve">Yashil devor (25-75%)</w:t>
            </w:r>
          </w:p>
        </w:tc>
        <w:tc>
          <w:tcPr>
            <w:tcW w:w="1300" w:type="dxa"/>
            <w:vAlign w:val="center"/>
          </w:tcPr>
          <w:p>
            <w:pPr>
              <w:spacing w:after="20" w:line="240" w:lineRule="auto"/>
              <w:jc w:val="center"/>
            </w:pPr>
            <w:r>
              <w:rPr>
                <w:rFonts w:ascii="Times New Roman" w:hAnsi="Times New Roman" w:cs="Times New Roman"/>
                <w:sz w:val="18"/>
                <w:szCs w:val="18"/>
              </w:rPr>
              <w:t xml:space="preserve">PM2.5</w:t>
            </w:r>
          </w:p>
        </w:tc>
        <w:tc>
          <w:tcPr>
            <w:tcW w:w="1700" w:type="dxa"/>
            <w:vAlign w:val="center"/>
          </w:tcPr>
          <w:p>
            <w:pPr>
              <w:spacing w:after="20" w:line="240" w:lineRule="auto"/>
              <w:jc w:val="center"/>
            </w:pPr>
            <w:r>
              <w:rPr>
                <w:rFonts w:ascii="Times New Roman" w:hAnsi="Times New Roman" w:cs="Times New Roman"/>
                <w:sz w:val="18"/>
                <w:szCs w:val="18"/>
              </w:rPr>
              <w:t xml:space="preserve">14,2-15,0</w:t>
            </w:r>
          </w:p>
        </w:tc>
        <w:tc>
          <w:tcPr>
            <w:tcW w:w="1860" w:type="dxa"/>
            <w:vAlign w:val="center"/>
          </w:tcPr>
          <w:p>
            <w:pPr>
              <w:spacing w:after="20" w:line="240" w:lineRule="auto"/>
              <w:jc w:val="center"/>
            </w:pPr>
            <w:r>
              <w:rPr>
                <w:rFonts w:ascii="Times New Roman" w:hAnsi="Times New Roman" w:cs="Times New Roman"/>
                <w:sz w:val="18"/>
                <w:szCs w:val="18"/>
              </w:rPr>
              <w:t xml:space="preserve">CFD modeli</w:t>
            </w:r>
          </w:p>
        </w:tc>
        <w:tc>
          <w:tcPr>
            <w:tcW w:w="1800" w:type="dxa"/>
            <w:vAlign w:val="center"/>
          </w:tcPr>
          <w:p>
            <w:pPr>
              <w:spacing w:after="20" w:line="240" w:lineRule="auto"/>
              <w:jc w:val="left"/>
            </w:pPr>
            <w:r>
              <w:rPr>
                <w:rFonts w:ascii="Times New Roman" w:hAnsi="Times New Roman" w:cs="Times New Roman"/>
                <w:sz w:val="18"/>
                <w:szCs w:val="18"/>
              </w:rPr>
              <w:t xml:space="preserve">HRPub, CFD study</w:t>
            </w:r>
          </w:p>
        </w:tc>
      </w:tr>
      <w:tr>
        <w:tc>
          <w:tcPr>
            <w:tcW w:w="2700" w:type="dxa"/>
            <w:vAlign w:val="center"/>
          </w:tcPr>
          <w:p>
            <w:pPr>
              <w:spacing w:after="20" w:line="240" w:lineRule="auto"/>
              <w:jc w:val="left"/>
            </w:pPr>
            <w:r>
              <w:rPr>
                <w:rFonts w:ascii="Times New Roman" w:hAnsi="Times New Roman" w:cs="Times New Roman"/>
                <w:sz w:val="18"/>
                <w:szCs w:val="18"/>
              </w:rPr>
              <w:t xml:space="preserve">Yashil tom</w:t>
            </w:r>
          </w:p>
        </w:tc>
        <w:tc>
          <w:tcPr>
            <w:tcW w:w="1300" w:type="dxa"/>
            <w:vAlign w:val="center"/>
          </w:tcPr>
          <w:p>
            <w:pPr>
              <w:spacing w:after="20" w:line="240" w:lineRule="auto"/>
              <w:jc w:val="center"/>
            </w:pPr>
            <w:r>
              <w:rPr>
                <w:rFonts w:ascii="Times New Roman" w:hAnsi="Times New Roman" w:cs="Times New Roman"/>
                <w:sz w:val="18"/>
                <w:szCs w:val="18"/>
              </w:rPr>
              <w:t xml:space="preserve">PM2.5</w:t>
            </w:r>
          </w:p>
        </w:tc>
        <w:tc>
          <w:tcPr>
            <w:tcW w:w="1700" w:type="dxa"/>
            <w:vAlign w:val="center"/>
          </w:tcPr>
          <w:p>
            <w:pPr>
              <w:spacing w:after="20" w:line="240" w:lineRule="auto"/>
              <w:jc w:val="center"/>
            </w:pPr>
            <w:r>
              <w:rPr>
                <w:rFonts w:ascii="Times New Roman" w:hAnsi="Times New Roman" w:cs="Times New Roman"/>
                <w:sz w:val="18"/>
                <w:szCs w:val="18"/>
              </w:rPr>
              <w:t xml:space="preserve">3,7-5,5</w:t>
            </w:r>
          </w:p>
        </w:tc>
        <w:tc>
          <w:tcPr>
            <w:tcW w:w="1860" w:type="dxa"/>
            <w:vAlign w:val="center"/>
          </w:tcPr>
          <w:p>
            <w:pPr>
              <w:spacing w:after="20" w:line="240" w:lineRule="auto"/>
              <w:jc w:val="center"/>
            </w:pPr>
            <w:r>
              <w:rPr>
                <w:rFonts w:ascii="Times New Roman" w:hAnsi="Times New Roman" w:cs="Times New Roman"/>
                <w:sz w:val="18"/>
                <w:szCs w:val="18"/>
              </w:rPr>
              <w:t xml:space="preserve">CFD modeli</w:t>
            </w:r>
          </w:p>
        </w:tc>
        <w:tc>
          <w:tcPr>
            <w:tcW w:w="1800" w:type="dxa"/>
            <w:vAlign w:val="center"/>
          </w:tcPr>
          <w:p>
            <w:pPr>
              <w:spacing w:after="20" w:line="240" w:lineRule="auto"/>
              <w:jc w:val="left"/>
            </w:pPr>
            <w:r>
              <w:rPr>
                <w:rFonts w:ascii="Times New Roman" w:hAnsi="Times New Roman" w:cs="Times New Roman"/>
                <w:sz w:val="18"/>
                <w:szCs w:val="18"/>
              </w:rPr>
              <w:t xml:space="preserve">HRPub, CFD study</w:t>
            </w:r>
          </w:p>
        </w:tc>
      </w:tr>
      <w:tr>
        <w:tc>
          <w:tcPr>
            <w:tcW w:w="2700" w:type="dxa"/>
            <w:vAlign w:val="center"/>
          </w:tcPr>
          <w:p>
            <w:pPr>
              <w:spacing w:after="20" w:line="240" w:lineRule="auto"/>
              <w:jc w:val="left"/>
            </w:pPr>
            <w:r>
              <w:rPr>
                <w:rFonts w:ascii="Times New Roman" w:hAnsi="Times New Roman" w:cs="Times New Roman"/>
                <w:sz w:val="18"/>
                <w:szCs w:val="18"/>
              </w:rPr>
              <w:t xml:space="preserve">Jonli to'siq (hedge)</w:t>
            </w:r>
          </w:p>
        </w:tc>
        <w:tc>
          <w:tcPr>
            <w:tcW w:w="1300" w:type="dxa"/>
            <w:vAlign w:val="center"/>
          </w:tcPr>
          <w:p>
            <w:pPr>
              <w:spacing w:after="20" w:line="240" w:lineRule="auto"/>
              <w:jc w:val="center"/>
            </w:pPr>
            <w:r>
              <w:rPr>
                <w:rFonts w:ascii="Times New Roman" w:hAnsi="Times New Roman" w:cs="Times New Roman"/>
                <w:sz w:val="18"/>
                <w:szCs w:val="18"/>
              </w:rPr>
              <w:t xml:space="preserve">PM2.5</w:t>
            </w:r>
          </w:p>
        </w:tc>
        <w:tc>
          <w:tcPr>
            <w:tcW w:w="1700" w:type="dxa"/>
            <w:vAlign w:val="center"/>
          </w:tcPr>
          <w:p>
            <w:pPr>
              <w:spacing w:after="20" w:line="240" w:lineRule="auto"/>
              <w:jc w:val="center"/>
            </w:pPr>
            <w:r>
              <w:rPr>
                <w:rFonts w:ascii="Times New Roman" w:hAnsi="Times New Roman" w:cs="Times New Roman"/>
                <w:sz w:val="18"/>
                <w:szCs w:val="18"/>
              </w:rPr>
              <w:t xml:space="preserve">2,7-12,0</w:t>
            </w:r>
          </w:p>
        </w:tc>
        <w:tc>
          <w:tcPr>
            <w:tcW w:w="1860" w:type="dxa"/>
            <w:vAlign w:val="center"/>
          </w:tcPr>
          <w:p>
            <w:pPr>
              <w:spacing w:after="20" w:line="240" w:lineRule="auto"/>
              <w:jc w:val="center"/>
            </w:pPr>
            <w:r>
              <w:rPr>
                <w:rFonts w:ascii="Times New Roman" w:hAnsi="Times New Roman" w:cs="Times New Roman"/>
                <w:sz w:val="18"/>
                <w:szCs w:val="18"/>
              </w:rPr>
              <w:t xml:space="preserve">CFD modeli</w:t>
            </w:r>
          </w:p>
        </w:tc>
        <w:tc>
          <w:tcPr>
            <w:tcW w:w="1800" w:type="dxa"/>
            <w:vAlign w:val="center"/>
          </w:tcPr>
          <w:p>
            <w:pPr>
              <w:spacing w:after="20" w:line="240" w:lineRule="auto"/>
              <w:jc w:val="left"/>
            </w:pPr>
            <w:r>
              <w:rPr>
                <w:rFonts w:ascii="Times New Roman" w:hAnsi="Times New Roman" w:cs="Times New Roman"/>
                <w:sz w:val="18"/>
                <w:szCs w:val="18"/>
              </w:rPr>
              <w:t xml:space="preserve">HRPub, CFD study</w:t>
            </w:r>
          </w:p>
        </w:tc>
      </w:tr>
      <w:tr>
        <w:tc>
          <w:tcPr>
            <w:tcW w:w="2700" w:type="dxa"/>
            <w:vAlign w:val="center"/>
          </w:tcPr>
          <w:p>
            <w:pPr>
              <w:spacing w:after="20" w:line="240" w:lineRule="auto"/>
              <w:jc w:val="left"/>
            </w:pPr>
            <w:r>
              <w:rPr>
                <w:rFonts w:ascii="Times New Roman" w:hAnsi="Times New Roman" w:cs="Times New Roman"/>
                <w:sz w:val="18"/>
                <w:szCs w:val="18"/>
              </w:rPr>
              <w:t xml:space="preserve">Faol yashil devor</w:t>
            </w:r>
          </w:p>
        </w:tc>
        <w:tc>
          <w:tcPr>
            <w:tcW w:w="1300" w:type="dxa"/>
            <w:vAlign w:val="center"/>
          </w:tcPr>
          <w:p>
            <w:pPr>
              <w:spacing w:after="20" w:line="240" w:lineRule="auto"/>
              <w:jc w:val="center"/>
            </w:pPr>
            <w:r>
              <w:rPr>
                <w:rFonts w:ascii="Times New Roman" w:hAnsi="Times New Roman" w:cs="Times New Roman"/>
                <w:sz w:val="18"/>
                <w:szCs w:val="18"/>
              </w:rPr>
              <w:t xml:space="preserve">VOC</w:t>
            </w:r>
          </w:p>
        </w:tc>
        <w:tc>
          <w:tcPr>
            <w:tcW w:w="1700" w:type="dxa"/>
            <w:vAlign w:val="center"/>
          </w:tcPr>
          <w:p>
            <w:pPr>
              <w:spacing w:after="20" w:line="240" w:lineRule="auto"/>
              <w:jc w:val="center"/>
            </w:pPr>
            <w:r>
              <w:rPr>
                <w:rFonts w:ascii="Times New Roman" w:hAnsi="Times New Roman" w:cs="Times New Roman"/>
                <w:sz w:val="18"/>
                <w:szCs w:val="18"/>
              </w:rPr>
              <w:t xml:space="preserve">96,3 gacha</w:t>
            </w:r>
          </w:p>
        </w:tc>
        <w:tc>
          <w:tcPr>
            <w:tcW w:w="1860" w:type="dxa"/>
            <w:vAlign w:val="center"/>
          </w:tcPr>
          <w:p>
            <w:pPr>
              <w:spacing w:after="20" w:line="240" w:lineRule="auto"/>
              <w:jc w:val="center"/>
            </w:pPr>
            <w:r>
              <w:rPr>
                <w:rFonts w:ascii="Times New Roman" w:hAnsi="Times New Roman" w:cs="Times New Roman"/>
                <w:sz w:val="18"/>
                <w:szCs w:val="18"/>
              </w:rPr>
              <w:t xml:space="preserve">Laboratoriya</w:t>
            </w:r>
          </w:p>
        </w:tc>
        <w:tc>
          <w:tcPr>
            <w:tcW w:w="1800" w:type="dxa"/>
            <w:vAlign w:val="center"/>
          </w:tcPr>
          <w:p>
            <w:pPr>
              <w:spacing w:after="20" w:line="240" w:lineRule="auto"/>
              <w:jc w:val="left"/>
            </w:pPr>
            <w:r>
              <w:rPr>
                <w:rFonts w:ascii="Times New Roman" w:hAnsi="Times New Roman" w:cs="Times New Roman"/>
                <w:sz w:val="18"/>
                <w:szCs w:val="18"/>
              </w:rPr>
              <w:t xml:space="preserve">Preprints review, 2024</w:t>
            </w:r>
          </w:p>
        </w:tc>
      </w:tr>
      <w:tr>
        <w:tc>
          <w:tcPr>
            <w:tcW w:w="2700" w:type="dxa"/>
            <w:vAlign w:val="center"/>
          </w:tcPr>
          <w:p>
            <w:pPr>
              <w:spacing w:after="20" w:line="240" w:lineRule="auto"/>
              <w:jc w:val="left"/>
            </w:pPr>
            <w:r>
              <w:rPr>
                <w:rFonts w:ascii="Times New Roman" w:hAnsi="Times New Roman" w:cs="Times New Roman"/>
                <w:sz w:val="18"/>
                <w:szCs w:val="18"/>
              </w:rPr>
              <w:t xml:space="preserve">Faol yashil devor</w:t>
            </w:r>
          </w:p>
        </w:tc>
        <w:tc>
          <w:tcPr>
            <w:tcW w:w="1300" w:type="dxa"/>
            <w:vAlign w:val="center"/>
          </w:tcPr>
          <w:p>
            <w:pPr>
              <w:spacing w:after="20" w:line="240" w:lineRule="auto"/>
              <w:jc w:val="center"/>
            </w:pPr>
            <w:r>
              <w:rPr>
                <w:rFonts w:ascii="Times New Roman" w:hAnsi="Times New Roman" w:cs="Times New Roman"/>
                <w:sz w:val="18"/>
                <w:szCs w:val="18"/>
              </w:rPr>
              <w:t xml:space="preserve">PM</w:t>
            </w:r>
          </w:p>
        </w:tc>
        <w:tc>
          <w:tcPr>
            <w:tcW w:w="1700" w:type="dxa"/>
            <w:vAlign w:val="center"/>
          </w:tcPr>
          <w:p>
            <w:pPr>
              <w:spacing w:after="20" w:line="240" w:lineRule="auto"/>
              <w:jc w:val="center"/>
            </w:pPr>
            <w:r>
              <w:rPr>
                <w:rFonts w:ascii="Times New Roman" w:hAnsi="Times New Roman" w:cs="Times New Roman"/>
                <w:sz w:val="18"/>
                <w:szCs w:val="18"/>
              </w:rPr>
              <w:t xml:space="preserve">65,4 gacha</w:t>
            </w:r>
          </w:p>
        </w:tc>
        <w:tc>
          <w:tcPr>
            <w:tcW w:w="1860" w:type="dxa"/>
            <w:vAlign w:val="center"/>
          </w:tcPr>
          <w:p>
            <w:pPr>
              <w:spacing w:after="20" w:line="240" w:lineRule="auto"/>
              <w:jc w:val="center"/>
            </w:pPr>
            <w:r>
              <w:rPr>
                <w:rFonts w:ascii="Times New Roman" w:hAnsi="Times New Roman" w:cs="Times New Roman"/>
                <w:sz w:val="18"/>
                <w:szCs w:val="18"/>
              </w:rPr>
              <w:t xml:space="preserve">Laboratoriya</w:t>
            </w:r>
          </w:p>
        </w:tc>
        <w:tc>
          <w:tcPr>
            <w:tcW w:w="1800" w:type="dxa"/>
            <w:vAlign w:val="center"/>
          </w:tcPr>
          <w:p>
            <w:pPr>
              <w:spacing w:after="20" w:line="240" w:lineRule="auto"/>
              <w:jc w:val="left"/>
            </w:pPr>
            <w:r>
              <w:rPr>
                <w:rFonts w:ascii="Times New Roman" w:hAnsi="Times New Roman" w:cs="Times New Roman"/>
                <w:sz w:val="18"/>
                <w:szCs w:val="18"/>
              </w:rPr>
              <w:t xml:space="preserve">Preprints review, 2024</w:t>
            </w:r>
          </w:p>
        </w:tc>
      </w:tr>
      <w:tr>
        <w:tc>
          <w:tcPr>
            <w:tcW w:w="2700" w:type="dxa"/>
            <w:vAlign w:val="center"/>
          </w:tcPr>
          <w:p>
            <w:pPr>
              <w:spacing w:after="20" w:line="240" w:lineRule="auto"/>
              <w:jc w:val="left"/>
            </w:pPr>
            <w:r>
              <w:rPr>
                <w:rFonts w:ascii="Times New Roman" w:hAnsi="Times New Roman" w:cs="Times New Roman"/>
                <w:sz w:val="18"/>
                <w:szCs w:val="18"/>
              </w:rPr>
              <w:t xml:space="preserve">Faol yashil devor</w:t>
            </w:r>
          </w:p>
        </w:tc>
        <w:tc>
          <w:tcPr>
            <w:tcW w:w="1300" w:type="dxa"/>
            <w:vAlign w:val="center"/>
          </w:tcPr>
          <w:p>
            <w:pPr>
              <w:spacing w:after="20" w:line="240" w:lineRule="auto"/>
              <w:jc w:val="center"/>
            </w:pPr>
            <w:r>
              <w:rPr>
                <w:rFonts w:ascii="Times New Roman" w:hAnsi="Times New Roman" w:cs="Times New Roman"/>
                <w:sz w:val="18"/>
                <w:szCs w:val="18"/>
              </w:rPr>
              <w:t xml:space="preserve">CO2</w:t>
            </w:r>
          </w:p>
        </w:tc>
        <w:tc>
          <w:tcPr>
            <w:tcW w:w="1700" w:type="dxa"/>
            <w:vAlign w:val="center"/>
          </w:tcPr>
          <w:p>
            <w:pPr>
              <w:spacing w:after="20" w:line="240" w:lineRule="auto"/>
              <w:jc w:val="center"/>
            </w:pPr>
            <w:r>
              <w:rPr>
                <w:rFonts w:ascii="Times New Roman" w:hAnsi="Times New Roman" w:cs="Times New Roman"/>
                <w:sz w:val="18"/>
                <w:szCs w:val="18"/>
              </w:rPr>
              <w:t xml:space="preserve">4,8 gacha</w:t>
            </w:r>
          </w:p>
        </w:tc>
        <w:tc>
          <w:tcPr>
            <w:tcW w:w="1860" w:type="dxa"/>
            <w:vAlign w:val="center"/>
          </w:tcPr>
          <w:p>
            <w:pPr>
              <w:spacing w:after="20" w:line="240" w:lineRule="auto"/>
              <w:jc w:val="center"/>
            </w:pPr>
            <w:r>
              <w:rPr>
                <w:rFonts w:ascii="Times New Roman" w:hAnsi="Times New Roman" w:cs="Times New Roman"/>
                <w:sz w:val="18"/>
                <w:szCs w:val="18"/>
              </w:rPr>
              <w:t xml:space="preserve">Laboratoriya</w:t>
            </w:r>
          </w:p>
        </w:tc>
        <w:tc>
          <w:tcPr>
            <w:tcW w:w="1800" w:type="dxa"/>
            <w:vAlign w:val="center"/>
          </w:tcPr>
          <w:p>
            <w:pPr>
              <w:spacing w:after="20" w:line="240" w:lineRule="auto"/>
              <w:jc w:val="left"/>
            </w:pPr>
            <w:r>
              <w:rPr>
                <w:rFonts w:ascii="Times New Roman" w:hAnsi="Times New Roman" w:cs="Times New Roman"/>
                <w:sz w:val="18"/>
                <w:szCs w:val="18"/>
              </w:rPr>
              <w:t xml:space="preserve">Preprints review, 2024</w:t>
            </w:r>
          </w:p>
        </w:tc>
      </w:tr>
    </w:tbl>
    <w:p>
      <w:pPr>
        <w:spacing w:after="60" w:line="276" w:lineRule="auto"/>
        <w:jc w:val="both"/>
      </w:pPr>
      <w:r>
        <w:rPr>
          <w:rFonts w:ascii="Times New Roman" w:hAnsi="Times New Roman" w:cs="Times New Roman"/>
          <w:sz w:val="8"/>
          <w:szCs w:val="8"/>
        </w:rPr>
        <w:t xml:space="preserve"/>
      </w:r>
    </w:p>
    <w:p>
      <w:pPr>
        <w:spacing w:after="160" w:line="276" w:lineRule="auto"/>
        <w:jc w:val="center"/>
      </w:pPr>
      <w:r>
        <w:rPr>
          <w:rFonts w:ascii="Times New Roman" w:hAnsi="Times New Roman" w:cs="Times New Roman"/>
          <w:i/>
          <w:sz w:val="20"/>
          <w:szCs w:val="20"/>
        </w:rPr>
        <w:t xml:space="preserve">2-jadval. Biologik/yashil tizimlarning ifloslantiruvchi moddalarni kamaytirish samaradorligi</w:t>
      </w:r>
    </w:p>
    <w:p>
      <w:pPr>
        <w:jc w:val="center"/>
        <w:spacing w:after="60"/>
      </w:pPr>
      <w:r>
        <w:drawing>
          <wp:inline distT="0" distB="0" distL="0" distR="0">
            <wp:extent cx="5486400" cy="341376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hart3.png"/>
                    <pic:cNvPicPr/>
                  </pic:nvPicPr>
                  <pic:blipFill>
                    <a:blip r:embed="rIdImg3"/>
                    <a:stretch>
                      <a:fillRect/>
                    </a:stretch>
                  </pic:blipFill>
                  <pic:spPr>
                    <a:xfrm>
                      <a:off x="0" y="0"/>
                      <a:ext cx="5486400" cy="3413760"/>
                    </a:xfrm>
                    <a:prstGeom prst="rect">
                      <a:avLst/>
                    </a:prstGeom>
                  </pic:spPr>
                </pic:pic>
              </a:graphicData>
            </a:graphic>
          </wp:inline>
        </w:drawing>
      </w:r>
    </w:p>
    <w:p>
      <w:pPr>
        <w:spacing w:after="160" w:line="276" w:lineRule="auto"/>
        <w:jc w:val="center"/>
      </w:pPr>
      <w:r>
        <w:rPr>
          <w:rFonts w:ascii="Times New Roman" w:hAnsi="Times New Roman" w:cs="Times New Roman"/>
          <w:i/>
          <w:sz w:val="20"/>
          <w:szCs w:val="20"/>
        </w:rPr>
        <w:t xml:space="preserve">3-rasm. Faol (ventilyatsiyali, botanik) yashil devorning maksimal kamaytirish samaradorligi: VOC 96,3%, PM 65,4%, CO2 4,8% (manba: Preprints, 2024 sharhi).</w:t>
      </w:r>
    </w:p>
    <w:p>
      <w:pPr>
        <w:spacing w:after="120" w:line="276" w:lineRule="auto"/>
        <w:ind w:firstLine="360"/>
        <w:jc w:val="both"/>
      </w:pPr>
      <w:r>
        <w:rPr>
          <w:rFonts w:ascii="Times New Roman" w:hAnsi="Times New Roman" w:cs="Times New Roman"/>
          <w:sz w:val="24"/>
          <w:szCs w:val="24"/>
        </w:rPr>
        <w:t xml:space="preserve">Tahlil natijalari uch muhim xulosani ko'rsatadi. Birinchidan, passiv tizimlar (an'anaviy yashil tomlar, jonli to'siqlar) ko'cha darajasida nisbatan kichik, ammo barqaror samara beradi. Ikkinchidan, faol tizimlar (IoT-li moxli biofiltrlar va ventilyatsiyali yashil devorlar) birlik yuzaga nisbatan ancha yuqori samaradorlikka ega, biroq energiya va texnik xizmatni talab qiladi. Uchinchidan, mikroalgali fasadlar birinchi navbatda CO2 ni biriktirish va energiya tejashda ustun bo'lsa-da, qattiq zarrachalarni bevosita ushlashda yetakchi emas. Real loyihalar ko'rsatkichlari 3-jadvalda jamlangan.</w:t>
      </w:r>
    </w:p>
    <w:tbl>
      <w:tblPr>
        <w:tblW w:w="9360" w:type="dxa"/>
        <w:jc w:val="center"/>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2700"/>
        <w:gridCol w:w="2660"/>
        <w:gridCol w:w="4000"/>
      </w:tblGrid>
      <w:tr>
        <w:trPr>
          <w:tblHeader/>
        </w:trPr>
        <w:tc>
          <w:tcPr>
            <w:tcW w:w="2700" w:type="dxa"/>
            <w:shd w:val="clear" w:color="auto" w:fill="D9E2D9"/>
            <w:vAlign w:val="center"/>
          </w:tcPr>
          <w:p>
            <w:pPr>
              <w:spacing w:after="20" w:line="240" w:lineRule="auto"/>
              <w:jc w:val="center"/>
            </w:pPr>
            <w:r>
              <w:rPr>
                <w:rFonts w:ascii="Times New Roman" w:hAnsi="Times New Roman" w:cs="Times New Roman"/>
                <w:b/>
                <w:sz w:val="19"/>
                <w:szCs w:val="19"/>
              </w:rPr>
              <w:t xml:space="preserve">Loyiha / tizim</w:t>
            </w:r>
          </w:p>
        </w:tc>
        <w:tc>
          <w:tcPr>
            <w:tcW w:w="2660" w:type="dxa"/>
            <w:shd w:val="clear" w:color="auto" w:fill="D9E2D9"/>
            <w:vAlign w:val="center"/>
          </w:tcPr>
          <w:p>
            <w:pPr>
              <w:spacing w:after="20" w:line="240" w:lineRule="auto"/>
              <w:jc w:val="center"/>
            </w:pPr>
            <w:r>
              <w:rPr>
                <w:rFonts w:ascii="Times New Roman" w:hAnsi="Times New Roman" w:cs="Times New Roman"/>
                <w:b/>
                <w:sz w:val="19"/>
                <w:szCs w:val="19"/>
              </w:rPr>
              <w:t xml:space="preserve">Joylashuv</w:t>
            </w:r>
          </w:p>
        </w:tc>
        <w:tc>
          <w:tcPr>
            <w:tcW w:w="4000" w:type="dxa"/>
            <w:shd w:val="clear" w:color="auto" w:fill="D9E2D9"/>
            <w:vAlign w:val="center"/>
          </w:tcPr>
          <w:p>
            <w:pPr>
              <w:spacing w:after="20" w:line="240" w:lineRule="auto"/>
              <w:jc w:val="center"/>
            </w:pPr>
            <w:r>
              <w:rPr>
                <w:rFonts w:ascii="Times New Roman" w:hAnsi="Times New Roman" w:cs="Times New Roman"/>
                <w:b/>
                <w:sz w:val="19"/>
                <w:szCs w:val="19"/>
              </w:rPr>
              <w:t xml:space="preserve">Asosiy ko'rsatkich</w:t>
            </w:r>
          </w:p>
        </w:tc>
      </w:tr>
      <w:tr>
        <w:tc>
          <w:tcPr>
            <w:tcW w:w="2700" w:type="dxa"/>
            <w:vAlign w:val="center"/>
          </w:tcPr>
          <w:p>
            <w:pPr>
              <w:spacing w:after="20" w:line="240" w:lineRule="auto"/>
              <w:jc w:val="left"/>
            </w:pPr>
            <w:r>
              <w:rPr>
                <w:rFonts w:ascii="Times New Roman" w:hAnsi="Times New Roman" w:cs="Times New Roman"/>
                <w:sz w:val="19"/>
                <w:szCs w:val="19"/>
              </w:rPr>
              <w:t xml:space="preserve">CityTree / MossTree</w:t>
            </w:r>
          </w:p>
        </w:tc>
        <w:tc>
          <w:tcPr>
            <w:tcW w:w="2660" w:type="dxa"/>
            <w:vAlign w:val="center"/>
          </w:tcPr>
          <w:p>
            <w:pPr>
              <w:spacing w:after="20" w:line="240" w:lineRule="auto"/>
              <w:jc w:val="left"/>
            </w:pPr>
            <w:r>
              <w:rPr>
                <w:rFonts w:ascii="Times New Roman" w:hAnsi="Times New Roman" w:cs="Times New Roman"/>
                <w:sz w:val="19"/>
                <w:szCs w:val="19"/>
              </w:rPr>
              <w:t xml:space="preserve">Yevropa shaharlari</w:t>
            </w:r>
          </w:p>
        </w:tc>
        <w:tc>
          <w:tcPr>
            <w:tcW w:w="4000" w:type="dxa"/>
            <w:vAlign w:val="center"/>
          </w:tcPr>
          <w:p>
            <w:pPr>
              <w:spacing w:after="20" w:line="240" w:lineRule="auto"/>
              <w:jc w:val="left"/>
            </w:pPr>
            <w:r>
              <w:rPr>
                <w:rFonts w:ascii="Times New Roman" w:hAnsi="Times New Roman" w:cs="Times New Roman"/>
                <w:sz w:val="19"/>
                <w:szCs w:val="19"/>
              </w:rPr>
              <w:t xml:space="preserve">IoT-li moxli biofiltr, mayda changni ushlash</w:t>
            </w:r>
          </w:p>
        </w:tc>
      </w:tr>
      <w:tr>
        <w:tc>
          <w:tcPr>
            <w:tcW w:w="2700" w:type="dxa"/>
            <w:vAlign w:val="center"/>
          </w:tcPr>
          <w:p>
            <w:pPr>
              <w:spacing w:after="20" w:line="240" w:lineRule="auto"/>
              <w:jc w:val="left"/>
            </w:pPr>
            <w:r>
              <w:rPr>
                <w:rFonts w:ascii="Times New Roman" w:hAnsi="Times New Roman" w:cs="Times New Roman"/>
                <w:sz w:val="19"/>
                <w:szCs w:val="19"/>
              </w:rPr>
              <w:t xml:space="preserve">BIQ House (SolarLeaf)</w:t>
            </w:r>
          </w:p>
        </w:tc>
        <w:tc>
          <w:tcPr>
            <w:tcW w:w="2660" w:type="dxa"/>
            <w:vAlign w:val="center"/>
          </w:tcPr>
          <w:p>
            <w:pPr>
              <w:spacing w:after="20" w:line="240" w:lineRule="auto"/>
              <w:jc w:val="left"/>
            </w:pPr>
            <w:r>
              <w:rPr>
                <w:rFonts w:ascii="Times New Roman" w:hAnsi="Times New Roman" w:cs="Times New Roman"/>
                <w:sz w:val="19"/>
                <w:szCs w:val="19"/>
              </w:rPr>
              <w:t xml:space="preserve">Gamburg, Germaniya</w:t>
            </w:r>
          </w:p>
        </w:tc>
        <w:tc>
          <w:tcPr>
            <w:tcW w:w="4000" w:type="dxa"/>
            <w:vAlign w:val="center"/>
          </w:tcPr>
          <w:p>
            <w:pPr>
              <w:spacing w:after="20" w:line="240" w:lineRule="auto"/>
              <w:jc w:val="left"/>
            </w:pPr>
            <w:r>
              <w:rPr>
                <w:rFonts w:ascii="Times New Roman" w:hAnsi="Times New Roman" w:cs="Times New Roman"/>
                <w:sz w:val="19"/>
                <w:szCs w:val="19"/>
              </w:rPr>
              <w:t xml:space="preserve">Birinchi mikroalgali fasadli bino (2013)</w:t>
            </w:r>
          </w:p>
        </w:tc>
      </w:tr>
      <w:tr>
        <w:tc>
          <w:tcPr>
            <w:tcW w:w="2700" w:type="dxa"/>
            <w:vAlign w:val="center"/>
          </w:tcPr>
          <w:p>
            <w:pPr>
              <w:spacing w:after="20" w:line="240" w:lineRule="auto"/>
              <w:jc w:val="left"/>
            </w:pPr>
            <w:r>
              <w:rPr>
                <w:rFonts w:ascii="Times New Roman" w:hAnsi="Times New Roman" w:cs="Times New Roman"/>
                <w:sz w:val="19"/>
                <w:szCs w:val="19"/>
              </w:rPr>
              <w:t xml:space="preserve">Mikroalgali fasad (UAH)</w:t>
            </w:r>
          </w:p>
        </w:tc>
        <w:tc>
          <w:tcPr>
            <w:tcW w:w="2660" w:type="dxa"/>
            <w:vAlign w:val="center"/>
          </w:tcPr>
          <w:p>
            <w:pPr>
              <w:spacing w:after="20" w:line="240" w:lineRule="auto"/>
              <w:jc w:val="center"/>
            </w:pPr>
            <w:r>
              <w:rPr>
                <w:rFonts w:ascii="Times New Roman" w:hAnsi="Times New Roman" w:cs="Times New Roman"/>
                <w:sz w:val="19"/>
                <w:szCs w:val="19"/>
              </w:rPr>
              <w:t xml:space="preserve">Ispaniya</w:t>
            </w:r>
          </w:p>
        </w:tc>
        <w:tc>
          <w:tcPr>
            <w:tcW w:w="4000" w:type="dxa"/>
            <w:vAlign w:val="center"/>
          </w:tcPr>
          <w:p>
            <w:pPr>
              <w:spacing w:after="20" w:line="240" w:lineRule="auto"/>
              <w:jc w:val="left"/>
            </w:pPr>
            <w:r>
              <w:rPr>
                <w:rFonts w:ascii="Times New Roman" w:hAnsi="Times New Roman" w:cs="Times New Roman"/>
                <w:sz w:val="19"/>
                <w:szCs w:val="19"/>
              </w:rPr>
              <w:t xml:space="preserve">~720 kg CO2/yil, ~400 kg biomassa/yil</w:t>
            </w:r>
          </w:p>
        </w:tc>
      </w:tr>
      <w:tr>
        <w:tc>
          <w:tcPr>
            <w:tcW w:w="2700" w:type="dxa"/>
            <w:vAlign w:val="center"/>
          </w:tcPr>
          <w:p>
            <w:pPr>
              <w:spacing w:after="20" w:line="240" w:lineRule="auto"/>
              <w:jc w:val="left"/>
            </w:pPr>
            <w:r>
              <w:rPr>
                <w:rFonts w:ascii="Times New Roman" w:hAnsi="Times New Roman" w:cs="Times New Roman"/>
                <w:sz w:val="19"/>
                <w:szCs w:val="19"/>
              </w:rPr>
              <w:t xml:space="preserve">Botanik biofiltratsiya</w:t>
            </w:r>
          </w:p>
        </w:tc>
        <w:tc>
          <w:tcPr>
            <w:tcW w:w="2660" w:type="dxa"/>
            <w:vAlign w:val="center"/>
          </w:tcPr>
          <w:p>
            <w:pPr>
              <w:spacing w:after="20" w:line="240" w:lineRule="auto"/>
              <w:jc w:val="left"/>
            </w:pPr>
            <w:r>
              <w:rPr>
                <w:rFonts w:ascii="Times New Roman" w:hAnsi="Times New Roman" w:cs="Times New Roman"/>
                <w:sz w:val="19"/>
                <w:szCs w:val="19"/>
              </w:rPr>
              <w:t xml:space="preserve">Yo'l yoqasi (dala)</w:t>
            </w:r>
          </w:p>
        </w:tc>
        <w:tc>
          <w:tcPr>
            <w:tcW w:w="4000" w:type="dxa"/>
            <w:vAlign w:val="center"/>
          </w:tcPr>
          <w:p>
            <w:pPr>
              <w:spacing w:after="20" w:line="240" w:lineRule="auto"/>
              <w:jc w:val="left"/>
            </w:pPr>
            <w:r>
              <w:rPr>
                <w:rFonts w:ascii="Times New Roman" w:hAnsi="Times New Roman" w:cs="Times New Roman"/>
                <w:sz w:val="19"/>
                <w:szCs w:val="19"/>
              </w:rPr>
              <w:t xml:space="preserve">Yo'l yoqasidagi ifloslanishni sezilarli kamaytirish</w:t>
            </w:r>
          </w:p>
        </w:tc>
      </w:tr>
      <w:tr>
        <w:tc>
          <w:tcPr>
            <w:tcW w:w="2700" w:type="dxa"/>
            <w:vAlign w:val="center"/>
          </w:tcPr>
          <w:p>
            <w:pPr>
              <w:spacing w:after="20" w:line="240" w:lineRule="auto"/>
              <w:jc w:val="left"/>
            </w:pPr>
            <w:r>
              <w:rPr>
                <w:rFonts w:ascii="Times New Roman" w:hAnsi="Times New Roman" w:cs="Times New Roman"/>
                <w:sz w:val="19"/>
                <w:szCs w:val="19"/>
              </w:rPr>
              <w:t xml:space="preserve">Lishaynik biomonitoringi</w:t>
            </w:r>
          </w:p>
        </w:tc>
        <w:tc>
          <w:tcPr>
            <w:tcW w:w="2660" w:type="dxa"/>
            <w:vAlign w:val="center"/>
          </w:tcPr>
          <w:p>
            <w:pPr>
              <w:spacing w:after="20" w:line="240" w:lineRule="auto"/>
              <w:jc w:val="left"/>
            </w:pPr>
            <w:r>
              <w:rPr>
                <w:rFonts w:ascii="Times New Roman" w:hAnsi="Times New Roman" w:cs="Times New Roman"/>
                <w:sz w:val="19"/>
                <w:szCs w:val="19"/>
              </w:rPr>
              <w:t xml:space="preserve">Shahar markazlari</w:t>
            </w:r>
          </w:p>
        </w:tc>
        <w:tc>
          <w:tcPr>
            <w:tcW w:w="4000" w:type="dxa"/>
            <w:vAlign w:val="center"/>
          </w:tcPr>
          <w:p>
            <w:pPr>
              <w:spacing w:after="20" w:line="240" w:lineRule="auto"/>
              <w:jc w:val="left"/>
            </w:pPr>
            <w:r>
              <w:rPr>
                <w:rFonts w:ascii="Times New Roman" w:hAnsi="Times New Roman" w:cs="Times New Roman"/>
                <w:sz w:val="19"/>
                <w:szCs w:val="19"/>
              </w:rPr>
              <w:t xml:space="preserve">Og'ir metall, N, S kartalashtirish</w:t>
            </w:r>
          </w:p>
        </w:tc>
      </w:tr>
    </w:tbl>
    <w:p>
      <w:pPr>
        <w:spacing w:after="60" w:line="276" w:lineRule="auto"/>
        <w:jc w:val="both"/>
      </w:pPr>
      <w:r>
        <w:rPr>
          <w:rFonts w:ascii="Times New Roman" w:hAnsi="Times New Roman" w:cs="Times New Roman"/>
          <w:sz w:val="8"/>
          <w:szCs w:val="8"/>
        </w:rPr>
        <w:t xml:space="preserve"/>
      </w:r>
    </w:p>
    <w:p>
      <w:pPr>
        <w:spacing w:after="160" w:line="276" w:lineRule="auto"/>
        <w:jc w:val="center"/>
      </w:pPr>
      <w:r>
        <w:rPr>
          <w:rFonts w:ascii="Times New Roman" w:hAnsi="Times New Roman" w:cs="Times New Roman"/>
          <w:i/>
          <w:sz w:val="20"/>
          <w:szCs w:val="20"/>
        </w:rPr>
        <w:t xml:space="preserve">3-jadval. Biologik qoplamalardan foydalangan real loyihalar va ularning ko'rsatkichlari</w:t>
      </w:r>
    </w:p>
    <w:p>
      <w:pPr>
        <w:keepNext/>
        <w:spacing w:after="120" w:line="276" w:lineRule="auto"/>
        <w:jc w:val="left"/>
      </w:pPr>
      <w:r>
        <w:rPr>
          <w:rFonts w:ascii="Times New Roman" w:hAnsi="Times New Roman" w:cs="Times New Roman"/>
          <w:b/>
          <w:sz w:val="26"/>
          <w:szCs w:val="26"/>
        </w:rPr>
        <w:t xml:space="preserve">5. Muhokama: O'zbekiston shaharlari uchun istiqbollar</w:t>
      </w:r>
    </w:p>
    <w:p>
      <w:pPr>
        <w:spacing w:after="120" w:line="276" w:lineRule="auto"/>
        <w:ind w:firstLine="360"/>
        <w:jc w:val="both"/>
      </w:pPr>
      <w:r>
        <w:rPr>
          <w:rFonts w:ascii="Times New Roman" w:hAnsi="Times New Roman" w:cs="Times New Roman"/>
          <w:sz w:val="24"/>
          <w:szCs w:val="24"/>
        </w:rPr>
        <w:t xml:space="preserve">O'zbekiston shaharlari, ayniqsa Toshkent, qishki mavsumda inversiya hodisalari, avtotransport zichligi va chang bo'ronlari tufayli yuqori PM2.5 va PM10 darajalari bilan ajralib turadi. Mintaqaning quruq va issiq iqlimi biologik qoplamalarni tanlashda suv resurslarini tejovchi yondashuvni taqozo etadi. Shu nuqtai nazardan moxli biofiltrlar va qurg'oqchilikka chidamli o'simliklarga asoslangan yashil devorlar eng istiqbolli yechim hisoblanadi, chunki ular kichik maydonda yuqori tozalash samarasini beradi va yopiq suv aylanma tizimi bilan jihozlanishi mumkin.</w:t>
      </w:r>
    </w:p>
    <w:p>
      <w:pPr>
        <w:spacing w:after="120" w:line="276" w:lineRule="auto"/>
        <w:ind w:firstLine="360"/>
        <w:jc w:val="both"/>
      </w:pPr>
      <w:r>
        <w:rPr>
          <w:rFonts w:ascii="Times New Roman" w:hAnsi="Times New Roman" w:cs="Times New Roman"/>
          <w:sz w:val="24"/>
          <w:szCs w:val="24"/>
        </w:rPr>
        <w:t xml:space="preserve">Amaliy joriy etishda quyidagi bosqichlar tavsiya etiladi: (1) eng ifloslangan kesishmalar va ko'chalarni lishaynik biomonitoringi yordamida aniqlash; (2) shu nuqtalarga moxli biofiltrlar yoki faol yashil devorlarni pilot tarzda o'rnatish; (3) mahalliy mox, suvo't va qurg'oqchilikka chidamli o'simlik turlarini sinovdan o'tkazish; (4) samaradorlikni avtomatik havo sifati sensorlari bilan uzluksiz baholash. Bunday bosqichli yondashuv investitsiyalarni eng katta ekologik foyda beradigan joylarga yo'naltirishga imkon beradi.</w:t>
      </w:r>
    </w:p>
    <w:p>
      <w:pPr>
        <w:spacing w:after="120" w:line="276" w:lineRule="auto"/>
        <w:ind w:firstLine="360"/>
        <w:jc w:val="both"/>
      </w:pPr>
      <w:r>
        <w:rPr>
          <w:rFonts w:ascii="Times New Roman" w:hAnsi="Times New Roman" w:cs="Times New Roman"/>
          <w:sz w:val="24"/>
          <w:szCs w:val="24"/>
        </w:rPr>
        <w:t xml:space="preserve">Shu bilan birga biologik qoplamalar ifloslanish manbasini bartaraf etmaydi va faqat to'ldiruvchi chora hisoblanadi. Eng yaxshi natija ularning transportni boshqarish, yashil energiyaga o'tish va shaharsozlik rejalashtirishi bilan birgalikda qo'llanilishida erishiladi.</w:t>
      </w:r>
    </w:p>
    <w:p>
      <w:pPr>
        <w:keepNext/>
        <w:spacing w:after="120" w:line="276" w:lineRule="auto"/>
        <w:jc w:val="left"/>
      </w:pPr>
      <w:r>
        <w:rPr>
          <w:rFonts w:ascii="Times New Roman" w:hAnsi="Times New Roman" w:cs="Times New Roman"/>
          <w:b/>
          <w:sz w:val="26"/>
          <w:szCs w:val="26"/>
        </w:rPr>
        <w:t xml:space="preserve">6. Xulosa</w:t>
      </w:r>
    </w:p>
    <w:p>
      <w:pPr>
        <w:spacing w:after="120" w:line="276" w:lineRule="auto"/>
        <w:ind w:firstLine="360"/>
        <w:jc w:val="both"/>
      </w:pPr>
      <w:r>
        <w:rPr>
          <w:rFonts w:ascii="Times New Roman" w:hAnsi="Times New Roman" w:cs="Times New Roman"/>
          <w:sz w:val="24"/>
          <w:szCs w:val="24"/>
        </w:rPr>
        <w:t xml:space="preserve">Tahlil shuni ko'rsatdiki, biologik qoplamalar shahar ekotizimlarida havo sifatini yaxshilashning iqtisodiy va ekologik jihatdan istiqbolli vositasidir. Shahar o'simliklari ifloslantiruvchi moddalarni o'rtacha 14-48% gacha kamaytiradi, faol yashil devorlar ayrim moddalar bo'yicha 90% dan ortiq samaradorlik beradi, moxli biofiltrlar esa kichik maydonda yuqori chang ushlash qobiliyatiga ega. Mikroalgali fasadlar CO2 ni biriktirish va energiya tejashda, lishayniklar esa havo sifatini monitoring qilishda alohida ahamiyatga ega. O'zbekiston sharoitida bu texnologiyalarni suv resurslarini tejovchi shaklda, bosqichli pilot loyihalar orqali joriy etish maqsadga muvofiqdir. Kelgusi tadqiqotlar mahalliy turlar tanlovi, uzoq muddatli samaradorlik va xarajat-foyda tahliliga qaratilishi lozim.</w:t>
      </w:r>
    </w:p>
    <w:p>
      <w:pPr>
        <w:keepNext/>
        <w:spacing w:after="120" w:line="276" w:lineRule="auto"/>
        <w:jc w:val="left"/>
      </w:pPr>
      <w:r>
        <w:rPr>
          <w:rFonts w:ascii="Times New Roman" w:hAnsi="Times New Roman" w:cs="Times New Roman"/>
          <w:b/>
          <w:sz w:val="26"/>
          <w:szCs w:val="26"/>
        </w:rPr>
        <w:t xml:space="preserve">Foydalanilgan adabiyotlar</w:t>
      </w:r>
    </w:p>
    <w:p>
      <w:pPr>
        <w:spacing w:after="80" w:line="276" w:lineRule="auto"/>
        <w:jc w:val="both"/>
      </w:pPr>
      <w:r>
        <w:rPr>
          <w:rFonts w:ascii="Times New Roman" w:hAnsi="Times New Roman" w:cs="Times New Roman"/>
          <w:sz w:val="20"/>
          <w:szCs w:val="20"/>
        </w:rPr>
        <w:t xml:space="preserve">1. Diener A., Mudu P. How can vegetation protect us from air pollution? Role of urban vegetation in air phytoremediation. npj Urban Sustainability / Nature, 2023. https://www.nature.com/articles/s42949-023-00105-0</w:t>
      </w:r>
    </w:p>
    <w:p>
      <w:pPr>
        <w:spacing w:after="80" w:line="276" w:lineRule="auto"/>
        <w:jc w:val="both"/>
      </w:pPr>
      <w:r>
        <w:rPr>
          <w:rFonts w:ascii="Times New Roman" w:hAnsi="Times New Roman" w:cs="Times New Roman"/>
          <w:sz w:val="20"/>
          <w:szCs w:val="20"/>
        </w:rPr>
        <w:t xml:space="preserve">2. Mitigating Built Environment Air Pollution by Green Systems: An In-Depth Review. Preprints.org, 2024. https://www.preprints.org/manuscript/202406.1855/v1</w:t>
      </w:r>
    </w:p>
    <w:p>
      <w:pPr>
        <w:spacing w:after="80" w:line="276" w:lineRule="auto"/>
        <w:jc w:val="both"/>
      </w:pPr>
      <w:r>
        <w:rPr>
          <w:rFonts w:ascii="Times New Roman" w:hAnsi="Times New Roman" w:cs="Times New Roman"/>
          <w:sz w:val="20"/>
          <w:szCs w:val="20"/>
        </w:rPr>
        <w:t xml:space="preserve">3. Reducing Outdoor Air Pollutants through a Moss-Based Biotechnological Purification Filter in Kazakhstan. Urban Science, 2023, 7(4), 104. https://www.mdpi.com/2413-8851/7/4/104</w:t>
      </w:r>
    </w:p>
    <w:p>
      <w:pPr>
        <w:spacing w:after="80" w:line="276" w:lineRule="auto"/>
        <w:jc w:val="both"/>
      </w:pPr>
      <w:r>
        <w:rPr>
          <w:rFonts w:ascii="Times New Roman" w:hAnsi="Times New Roman" w:cs="Times New Roman"/>
          <w:sz w:val="20"/>
          <w:szCs w:val="20"/>
        </w:rPr>
        <w:t xml:space="preserve">4. MossTree: A new urban green infrastructure to actively reduce air pollution in urban hotspots. EU Horizon 2020, CORDIS, project 847744. https://cordis.europa.eu/project/id/847744</w:t>
      </w:r>
    </w:p>
    <w:p>
      <w:pPr>
        <w:spacing w:after="80" w:line="276" w:lineRule="auto"/>
        <w:jc w:val="both"/>
      </w:pPr>
      <w:r>
        <w:rPr>
          <w:rFonts w:ascii="Times New Roman" w:hAnsi="Times New Roman" w:cs="Times New Roman"/>
          <w:sz w:val="20"/>
          <w:szCs w:val="20"/>
        </w:rPr>
        <w:t xml:space="preserve">5. An Assessment of the Suitability of Active Green Walls for NO2 Reduction in Green Buildings Using a Closed-Loop Flow Reactor. Atmosphere, 2019, 10(12), 801. https://www.mdpi.com/2073-4433/10/12/801</w:t>
      </w:r>
    </w:p>
    <w:p>
      <w:pPr>
        <w:spacing w:after="80" w:line="276" w:lineRule="auto"/>
        <w:jc w:val="both"/>
      </w:pPr>
      <w:r>
        <w:rPr>
          <w:rFonts w:ascii="Times New Roman" w:hAnsi="Times New Roman" w:cs="Times New Roman"/>
          <w:sz w:val="20"/>
          <w:szCs w:val="20"/>
        </w:rPr>
        <w:t xml:space="preserve">6. Can Green Walls Reduce Outdoor Ambient Particulate Matter, Noise Pollution and Temperature? IJERPH, 2020, 17(14), 5084. https://www.mdpi.com/1660-4601/17/14/5084</w:t>
      </w:r>
    </w:p>
    <w:p>
      <w:pPr>
        <w:spacing w:after="80" w:line="276" w:lineRule="auto"/>
        <w:jc w:val="both"/>
      </w:pPr>
      <w:r>
        <w:rPr>
          <w:rFonts w:ascii="Times New Roman" w:hAnsi="Times New Roman" w:cs="Times New Roman"/>
          <w:sz w:val="20"/>
          <w:szCs w:val="20"/>
        </w:rPr>
        <w:t xml:space="preserve">7. Integrating Microalgae into Sustainable Architecture for CO2 Capture and Urban Efficiency. Buildings, 2024, 14(12), 4045. https://www.mdpi.com/2075-5309/14/12/4045</w:t>
      </w:r>
    </w:p>
    <w:p>
      <w:pPr>
        <w:spacing w:after="80" w:line="276" w:lineRule="auto"/>
        <w:jc w:val="both"/>
      </w:pPr>
      <w:r>
        <w:rPr>
          <w:rFonts w:ascii="Times New Roman" w:hAnsi="Times New Roman" w:cs="Times New Roman"/>
          <w:sz w:val="20"/>
          <w:szCs w:val="20"/>
        </w:rPr>
        <w:t xml:space="preserve">8. High spatial resolution assessment of air quality in urban centres using lichen carbon, nitrogen and sulfur contents. Environ. Sci. Pollut. Res., 2023. https://doi.org/10.1007/s11356-023-26652-8</w:t>
      </w:r>
    </w:p>
    <w:p>
      <w:pPr>
        <w:spacing w:after="80" w:line="276" w:lineRule="auto"/>
        <w:jc w:val="both"/>
      </w:pPr>
      <w:r>
        <w:rPr>
          <w:rFonts w:ascii="Times New Roman" w:hAnsi="Times New Roman" w:cs="Times New Roman"/>
          <w:sz w:val="20"/>
          <w:szCs w:val="20"/>
        </w:rPr>
        <w:t xml:space="preserve">9. Low-Cost Monitoring of Airborne Heavy Metals Using Lichen Bioindicators. Atmosphere, 2025, 16(5), 576. https://www.mdpi.com/2073-4433/16/5/576</w:t>
      </w:r>
    </w:p>
    <w:p>
      <w:pPr>
        <w:spacing w:after="80" w:line="276" w:lineRule="auto"/>
        <w:jc w:val="both"/>
      </w:pPr>
      <w:r>
        <w:rPr>
          <w:rFonts w:ascii="Times New Roman" w:hAnsi="Times New Roman" w:cs="Times New Roman"/>
          <w:sz w:val="20"/>
          <w:szCs w:val="20"/>
        </w:rPr>
        <w:t xml:space="preserve">10. Effective reduction of roadside air pollution with botanical biofiltration. Environmental Pollution, 2021. https://pubmed.ncbi.nlm.nih.gov/33684812/</w:t>
      </w:r>
    </w:p>
    <w:p>
      <w:pPr>
        <w:spacing w:after="80" w:line="276" w:lineRule="auto"/>
        <w:jc w:val="both"/>
      </w:pPr>
      <w:r>
        <w:rPr>
          <w:rFonts w:ascii="Times New Roman" w:hAnsi="Times New Roman" w:cs="Times New Roman"/>
          <w:sz w:val="20"/>
          <w:szCs w:val="20"/>
        </w:rPr>
        <w:t xml:space="preserve">11. World Health Organization. Ambient (outdoor) air pollution. Fact sheet, 2024. https://www.who.int/news-room/fact-sheets/detail/ambient-(outdoor)-air-quality-and-health</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docDefaults>
  <w:style w:type="paragraph" w:default="1" w:styleId="Normal">
    <w:name w:val="Normal"/>
    <w:rPr>
      <w:rFonts w:ascii="Times New Roman" w:hAnsi="Times New Roman" w:cs="Times New Roman"/>
      <w:sz w:val="24"/>
      <w:szCs w:val="24"/>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chart1.png"/><Relationship Id="rIdImg2" Type="http://schemas.openxmlformats.org/officeDocument/2006/relationships/image" Target="media/chart2.png"/><Relationship Id="rIdImg3" Type="http://schemas.openxmlformats.org/officeDocument/2006/relationships/image" Target="media/chart3.png"/></Relationships>
</file>