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left"/>
        <w:spacing w:before="160" w:after="120" w:line="360" w:lineRule="auto"/>
        <w:keepNext/>
      </w:pPr>
      <w:r>
        <w:rPr>
          <w:rFonts w:ascii="Times New Roman" w:hAnsi="Times New Roman" w:cs="Times New Roman"/>
          <w:b/>
          <w:sz w:val="28"/>
          <w:szCs w:val="28"/>
        </w:rPr>
        <w:t xml:space="preserve">2.2. Kesish jarayonini boshqarish tizimining vaqt va chastotaviy xarakteristikalarini aniqlash</w:t>
      </w:r>
    </w:p>
    <w:p>
      <w:pPr>
        <w:jc w:val="both"/>
        <w:ind w:firstLine="709"/>
        <w:spacing w:before="0" w:after="120" w:line="360" w:lineRule="auto"/>
      </w:pPr>
      <w:r>
        <w:rPr>
          <w:rFonts w:ascii="Times New Roman" w:hAnsi="Times New Roman" w:cs="Times New Roman"/>
          <w:sz w:val="28"/>
          <w:szCs w:val="28"/>
        </w:rPr>
        <w:t xml:space="preserve">2.1-bo‘limda tuzilgan statik matematik model kesish rejimlari va kuchlari orasidagi bog‘lanishni beradi, lekin avtomatik boshqaruv tizimini loyihalash uchun jarayonning dinamik (vaqt bo‘yicha) xulqini ham bilish zarur. Shu maqsadda boshqaruv obyektining uzatish funksiyasi tuziladi hamda tizimning o‘tish h(t), impuls g(t) va chastotaviy (Bode) xarakteristikalari aniqlanadi.</w:t>
      </w:r>
    </w:p>
    <w:p>
      <w:pPr>
        <w:jc w:val="left"/>
        <w:spacing w:before="120" w:after="80" w:line="360" w:lineRule="auto"/>
        <w:keepNext/>
      </w:pPr>
      <w:r>
        <w:rPr>
          <w:rFonts w:ascii="Times New Roman" w:hAnsi="Times New Roman" w:cs="Times New Roman"/>
          <w:b/>
          <w:i/>
          <w:sz w:val="28"/>
          <w:szCs w:val="28"/>
        </w:rPr>
        <w:t xml:space="preserve">2.2.1. Boshqaruv obyektining uzatish funksiyasini tuzish</w:t>
      </w:r>
    </w:p>
    <w:p>
      <w:pPr>
        <w:jc w:val="both"/>
        <w:ind w:firstLine="709"/>
        <w:spacing w:before="0" w:after="120" w:line="360" w:lineRule="auto"/>
      </w:pPr>
      <w:r>
        <w:rPr>
          <w:rFonts w:ascii="Times New Roman" w:hAnsi="Times New Roman" w:cs="Times New Roman"/>
          <w:sz w:val="28"/>
          <w:szCs w:val="28"/>
        </w:rPr>
        <w:t xml:space="preserve">Kesish kuchini barqaror ushlab turuvchi boshqaruv konturi quyidagi bo‘g‘inlardan iborat: surilish yuritmasi (servoyuritma) va kesish jarayonining o‘zi. Surilish yuritmasi holat (siljish) bo‘yicha integrallovchi xususiyatga ega bo‘lib, elektromexanik kechikish doimiysi T₁ bilan, kesish jarayoni esa qirindi hosil bo‘lishi inersiyasini ifodalovchi T₂ doimiysi bilan birinchi tartibli aperiodik bo‘g‘in sifatida tavsiflanadi. Natijada ochiq (uzilgan) tizimning uzatish funksiyasi quyidagi ko‘rinishni oladi: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W</w:t>
      </w:r>
      <w:r>
        <w:rPr>
          <w:rFonts w:ascii="Times New Roman" w:hAnsi="Times New Roman" w:cs="Times New Roman"/>
          <w:sz w:val="28"/>
          <w:szCs w:val="28"/>
        </w:rPr>
        <w:t xml:space="preserve">(</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sz w:val="28"/>
          <w:szCs w:val="28"/>
        </w:rPr>
        <w:t xml:space="preserve"> / [ </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1</w:t>
      </w:r>
      <w:r>
        <w:rPr>
          <w:rFonts w:ascii="Times New Roman" w:hAnsi="Times New Roman" w:cs="Times New Roman"/>
          <w:sz w:val="28"/>
          <w:szCs w:val="28"/>
        </w:rPr>
        <w:t xml:space="preserve"> </w:t>
      </w:r>
      <w:r>
        <w:rPr>
          <w:rFonts w:ascii="Times New Roman" w:hAnsi="Times New Roman" w:cs="Times New Roman"/>
          <w:i/>
          <w:sz w:val="28"/>
          <w:szCs w:val="28"/>
        </w:rPr>
        <w:t xml:space="preserve">s</w:t>
      </w:r>
      <w:r>
        <w:rPr>
          <w:rFonts w:ascii="Times New Roman" w:hAnsi="Times New Roman" w:cs="Times New Roman"/>
          <w:sz w:val="28"/>
          <w:szCs w:val="28"/>
        </w:rPr>
        <w:t xml:space="preserve"> + 1 )(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 </w:t>
      </w:r>
      <w:r>
        <w:rPr>
          <w:rFonts w:ascii="Times New Roman" w:hAnsi="Times New Roman" w:cs="Times New Roman"/>
          <w:i/>
          <w:sz w:val="28"/>
          <w:szCs w:val="28"/>
        </w:rPr>
        <w:t xml:space="preserve">s</w:t>
      </w:r>
      <w:r>
        <w:rPr>
          <w:rFonts w:ascii="Times New Roman" w:hAnsi="Times New Roman" w:cs="Times New Roman"/>
          <w:sz w:val="28"/>
          <w:szCs w:val="28"/>
        </w:rPr>
        <w:t xml:space="preserve"> + 1 ) ]</w:t>
      </w:r>
      <w:r>
        <w:tab/>
      </w:r>
      <w:r>
        <w:rPr>
          <w:rFonts w:ascii="Times New Roman" w:hAnsi="Times New Roman" w:cs="Times New Roman"/>
          <w:sz w:val="28"/>
          <w:szCs w:val="28"/>
        </w:rPr>
        <w:t xml:space="preserve">(2.11)</w:t>
      </w:r>
    </w:p>
    <w:p>
      <w:pPr>
        <w:jc w:val="both"/>
        <w:spacing w:before="0" w:after="120" w:line="360" w:lineRule="auto"/>
      </w:pPr>
      <w:r>
        <w:rPr>
          <w:rFonts w:ascii="Times New Roman" w:hAnsi="Times New Roman" w:cs="Times New Roman"/>
          <w:sz w:val="28"/>
          <w:szCs w:val="28"/>
        </w:rPr>
        <w:t xml:space="preserve">bu yerda </w:t>
      </w:r>
      <w:r>
        <w:rPr>
          <w:rFonts w:ascii="Times New Roman" w:hAnsi="Times New Roman" w:cs="Times New Roman"/>
          <w:i/>
          <w:sz w:val="28"/>
          <w:szCs w:val="28"/>
        </w:rPr>
        <w:t xml:space="preserve">K</w:t>
      </w:r>
      <w:r>
        <w:rPr>
          <w:rFonts w:ascii="Times New Roman" w:hAnsi="Times New Roman" w:cs="Times New Roman"/>
          <w:sz w:val="28"/>
          <w:szCs w:val="28"/>
        </w:rPr>
        <w:t xml:space="preserve"> — tizimning kuchaytirish (dobrotnost) koeffitsiyenti;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1</w:t>
      </w:r>
      <w:r>
        <w:rPr>
          <w:rFonts w:ascii="Times New Roman" w:hAnsi="Times New Roman" w:cs="Times New Roman"/>
          <w:sz w:val="28"/>
          <w:szCs w:val="28"/>
        </w:rPr>
        <w:t xml:space="preserve"> — surilish yuritmasining,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 — kesish jarayonining vaqt doimiylari. 2.1-bo‘limdagi ish nuqtasi va HT-250 yuritmasi parametrlaridan kelib chiqib quyidagi qiymatlar qabul qilinadi: </w:t>
      </w:r>
      <w:r>
        <w:rPr>
          <w:rFonts w:ascii="Times New Roman" w:hAnsi="Times New Roman" w:cs="Times New Roman"/>
          <w:i/>
          <w:sz w:val="28"/>
          <w:szCs w:val="28"/>
        </w:rPr>
        <w:t xml:space="preserve">K</w:t>
      </w:r>
      <w:r>
        <w:rPr>
          <w:rFonts w:ascii="Times New Roman" w:hAnsi="Times New Roman" w:cs="Times New Roman"/>
          <w:sz w:val="28"/>
          <w:szCs w:val="28"/>
        </w:rPr>
        <w:t xml:space="preserve"> = 18 1/s;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1</w:t>
      </w:r>
      <w:r>
        <w:rPr>
          <w:rFonts w:ascii="Times New Roman" w:hAnsi="Times New Roman" w:cs="Times New Roman"/>
          <w:sz w:val="28"/>
          <w:szCs w:val="28"/>
        </w:rPr>
        <w:t xml:space="preserve"> = 0,05 s;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 = 0,02 s.</w:t>
      </w:r>
    </w:p>
    <w:p>
      <w:pPr>
        <w:jc w:val="both"/>
        <w:ind w:firstLine="709"/>
        <w:spacing w:before="0" w:after="120" w:line="360" w:lineRule="auto"/>
      </w:pPr>
      <w:r>
        <w:rPr>
          <w:rFonts w:ascii="Times New Roman" w:hAnsi="Times New Roman" w:cs="Times New Roman"/>
          <w:sz w:val="28"/>
          <w:szCs w:val="28"/>
        </w:rPr>
        <w:t xml:space="preserve">Boshqaruv tizimi birlik teskari aloqa bilan yopilganda, yopiq tizimning uzatish funksiyasi: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Φ</w:t>
      </w:r>
      <w:r>
        <w:rPr>
          <w:rFonts w:ascii="Times New Roman" w:hAnsi="Times New Roman" w:cs="Times New Roman"/>
          <w:sz w:val="28"/>
          <w:szCs w:val="28"/>
        </w:rPr>
        <w:t xml:space="preserve">(</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W</w:t>
      </w:r>
      <w:r>
        <w:rPr>
          <w:rFonts w:ascii="Times New Roman" w:hAnsi="Times New Roman" w:cs="Times New Roman"/>
          <w:sz w:val="28"/>
          <w:szCs w:val="28"/>
        </w:rPr>
        <w:t xml:space="preserve">(</w:t>
      </w:r>
      <w:r>
        <w:rPr>
          <w:rFonts w:ascii="Times New Roman" w:hAnsi="Times New Roman" w:cs="Times New Roman"/>
          <w:i/>
          <w:sz w:val="28"/>
          <w:szCs w:val="28"/>
        </w:rPr>
        <w:t xml:space="preserve">s</w:t>
      </w:r>
      <w:r>
        <w:rPr>
          <w:rFonts w:ascii="Times New Roman" w:hAnsi="Times New Roman" w:cs="Times New Roman"/>
          <w:sz w:val="28"/>
          <w:szCs w:val="28"/>
        </w:rPr>
        <w:t xml:space="preserve">) / [1 + </w:t>
      </w:r>
      <w:r>
        <w:rPr>
          <w:rFonts w:ascii="Times New Roman" w:hAnsi="Times New Roman" w:cs="Times New Roman"/>
          <w:i/>
          <w:sz w:val="28"/>
          <w:szCs w:val="28"/>
        </w:rPr>
        <w:t xml:space="preserve">W</w:t>
      </w:r>
      <w:r>
        <w:rPr>
          <w:rFonts w:ascii="Times New Roman" w:hAnsi="Times New Roman" w:cs="Times New Roman"/>
          <w:sz w:val="28"/>
          <w:szCs w:val="28"/>
        </w:rPr>
        <w:t xml:space="preserve">(</w:t>
      </w:r>
      <w:r>
        <w:rPr>
          <w:rFonts w:ascii="Times New Roman" w:hAnsi="Times New Roman" w:cs="Times New Roman"/>
          <w:i/>
          <w:sz w:val="28"/>
          <w:szCs w:val="28"/>
        </w:rPr>
        <w:t xml:space="preserve">s</w:t>
      </w:r>
      <w:r>
        <w:rPr>
          <w:rFonts w:ascii="Times New Roman" w:hAnsi="Times New Roman" w:cs="Times New Roman"/>
          <w:sz w:val="28"/>
          <w:szCs w:val="28"/>
        </w:rPr>
        <w:t xml:space="preserve">)]</w:t>
      </w:r>
      <w:r>
        <w:tab/>
      </w:r>
      <w:r>
        <w:rPr>
          <w:rFonts w:ascii="Times New Roman" w:hAnsi="Times New Roman" w:cs="Times New Roman"/>
          <w:sz w:val="28"/>
          <w:szCs w:val="28"/>
        </w:rPr>
        <w:t xml:space="preserve">(2.12)</w:t>
      </w:r>
    </w:p>
    <w:p>
      <w:pPr>
        <w:jc w:val="both"/>
        <w:ind w:firstLine="709"/>
        <w:spacing w:before="0" w:after="120" w:line="360" w:lineRule="auto"/>
      </w:pPr>
      <w:r>
        <w:rPr>
          <w:rFonts w:ascii="Times New Roman" w:hAnsi="Times New Roman" w:cs="Times New Roman"/>
          <w:sz w:val="28"/>
          <w:szCs w:val="28"/>
        </w:rPr>
        <w:t xml:space="preserve">(2.11) ni (2.12) ga qo‘yib, maxrajni soddalashtirgach, yopiq tizimning xarakteristik tenglamasi uchinchi tartibli ko‘rinishga keladi: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1</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 </w:t>
      </w:r>
      <w:r>
        <w:rPr>
          <w:rFonts w:ascii="Times New Roman" w:hAnsi="Times New Roman" w:cs="Times New Roman"/>
          <w:i/>
          <w:sz w:val="28"/>
          <w:szCs w:val="28"/>
        </w:rPr>
        <w:t xml:space="preserve">s</w:t>
      </w:r>
      <w:r>
        <w:rPr>
          <w:rFonts w:ascii="Times New Roman" w:hAnsi="Times New Roman" w:cs="Times New Roman"/>
          <w:vertAlign w:val="superscript"/>
          <w:sz w:val="28"/>
          <w:szCs w:val="28"/>
        </w:rPr>
        <w:t xml:space="preserve">3</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1</w:t>
      </w:r>
      <w:r>
        <w:rPr>
          <w:rFonts w:ascii="Times New Roman" w:hAnsi="Times New Roman" w:cs="Times New Roman"/>
          <w:sz w:val="28"/>
          <w:szCs w:val="28"/>
        </w:rPr>
        <w:t xml:space="preserve">+</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 </w:t>
      </w:r>
      <w:r>
        <w:rPr>
          <w:rFonts w:ascii="Times New Roman" w:hAnsi="Times New Roman" w:cs="Times New Roman"/>
          <w:i/>
          <w:sz w:val="28"/>
          <w:szCs w:val="28"/>
        </w:rPr>
        <w:t xml:space="preserve">s</w:t>
      </w:r>
      <w:r>
        <w:rPr>
          <w:rFonts w:ascii="Times New Roman" w:hAnsi="Times New Roman" w:cs="Times New Roman"/>
          <w:vertAlign w:val="superscript"/>
          <w:sz w:val="28"/>
          <w:szCs w:val="28"/>
        </w:rPr>
        <w:t xml:space="preserve">2</w:t>
      </w:r>
      <w:r>
        <w:rPr>
          <w:rFonts w:ascii="Times New Roman" w:hAnsi="Times New Roman" w:cs="Times New Roman"/>
          <w:sz w:val="28"/>
          <w:szCs w:val="28"/>
        </w:rPr>
        <w:t xml:space="preserve"> + </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sz w:val="28"/>
          <w:szCs w:val="28"/>
        </w:rPr>
        <w:t xml:space="preserve"> = 0</w:t>
      </w:r>
      <w:r>
        <w:tab/>
      </w:r>
      <w:r>
        <w:rPr>
          <w:rFonts w:ascii="Times New Roman" w:hAnsi="Times New Roman" w:cs="Times New Roman"/>
          <w:sz w:val="28"/>
          <w:szCs w:val="28"/>
        </w:rPr>
        <w:t xml:space="preserve">(2.13)</w:t>
      </w:r>
    </w:p>
    <w:p>
      <w:pPr>
        <w:jc w:val="both"/>
        <w:spacing w:before="0" w:after="120" w:line="360" w:lineRule="auto"/>
      </w:pPr>
      <w:r>
        <w:rPr>
          <w:rFonts w:ascii="Times New Roman" w:hAnsi="Times New Roman" w:cs="Times New Roman"/>
          <w:sz w:val="28"/>
          <w:szCs w:val="28"/>
        </w:rPr>
        <w:t xml:space="preserve">Qiymatlarni qo‘yganda xarakteristik ko‘phad </w:t>
      </w:r>
      <w:r>
        <w:rPr>
          <w:rFonts w:ascii="Times New Roman" w:hAnsi="Times New Roman" w:cs="Times New Roman"/>
          <w:i/>
          <w:sz w:val="28"/>
          <w:szCs w:val="28"/>
        </w:rPr>
        <w:t xml:space="preserve">0,001·s³ + 0,07·s² + s + 18 = 0</w:t>
      </w:r>
      <w:r>
        <w:rPr>
          <w:rFonts w:ascii="Times New Roman" w:hAnsi="Times New Roman" w:cs="Times New Roman"/>
          <w:sz w:val="28"/>
          <w:szCs w:val="28"/>
        </w:rPr>
        <w:t xml:space="preserve"> ko‘rinishini oladi. Raus–Gurvits mezoni bo‘yicha barcha koeffitsiyentlar musbat va Raus jadvalining birinchi ustuni ishorasini saqlaydi (742,9 &gt; 0), demak yopiq tizim turg‘un.</w:t>
      </w:r>
    </w:p>
    <w:p>
      <w:pPr>
        <w:jc w:val="left"/>
        <w:spacing w:before="120" w:after="80" w:line="360" w:lineRule="auto"/>
        <w:keepNext/>
      </w:pPr>
      <w:r>
        <w:rPr>
          <w:rFonts w:ascii="Times New Roman" w:hAnsi="Times New Roman" w:cs="Times New Roman"/>
          <w:b/>
          <w:i/>
          <w:sz w:val="28"/>
          <w:szCs w:val="28"/>
        </w:rPr>
        <w:t xml:space="preserve">2.2.2. Vaqt xarakteristikalari: o‘tish h(t) va impuls g(t)</w:t>
      </w:r>
    </w:p>
    <w:p>
      <w:pPr>
        <w:jc w:val="both"/>
        <w:ind w:firstLine="709"/>
        <w:spacing w:before="0" w:after="120" w:line="360" w:lineRule="auto"/>
      </w:pPr>
      <w:r>
        <w:rPr>
          <w:rFonts w:ascii="Times New Roman" w:hAnsi="Times New Roman" w:cs="Times New Roman"/>
          <w:sz w:val="28"/>
          <w:szCs w:val="28"/>
        </w:rPr>
        <w:t xml:space="preserve">Yopiq tizimning uzatish funksiyasi (2.12) holat fazosi shakliga keltirilib, differensial tenglamalar tizimi Runge–Kutta (4-tartib) usuli bilan integrallandi. Birlik sakrash (1(t)) ta’siriga tizim javobi — o‘tish xarakteristikasi h(t) — 2.1-rasmda, birlik impuls ta’siriga javob — impuls (vazn) funksiyasi g(t) — 2.2-rasmda keltirilgan.</w:t>
      </w:r>
    </w:p>
    <w:p>
      <w:pPr>
        <w:jc w:val="center"/>
        <w:spacing w:before="60" w:after="40" w:line="240" w:lineRule="auto"/>
        <w:ind w:firstLine="0"/>
      </w:pPr>
      <w:r>
        <w:drawing>
          <wp:inline xmlns:wp="http://schemas.openxmlformats.org/drawingml/2006/wordprocessingDrawing" distT="0" distB="0" distL="0" distR="0">
            <wp:extent cx="5400000" cy="3095121"/>
            <wp:effectExtent l="0" t="0" r="0" b="0"/>
            <wp:docPr id="101" name="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t)"/>
                    <pic:cNvPicPr/>
                  </pic:nvPicPr>
                  <pic:blipFill>
                    <a:blip r:embed="rId2"/>
                    <a:stretch>
                      <a:fillRect/>
                    </a:stretch>
                  </pic:blipFill>
                  <pic:spPr>
                    <a:xfrm>
                      <a:off x="0" y="0"/>
                      <a:ext cx="5400000" cy="3095121"/>
                    </a:xfrm>
                    <a:prstGeom prst="rect">
                      <a:avLst/>
                    </a:prstGeom>
                  </pic:spPr>
                </pic:pic>
              </a:graphicData>
            </a:graphic>
          </wp:inline>
        </w:drawing>
      </w:r>
    </w:p>
    <w:p>
      <w:pPr>
        <w:jc w:val="center"/>
        <w:spacing w:before="40" w:after="60" w:line="360" w:lineRule="auto"/>
      </w:pPr>
      <w:r>
        <w:rPr>
          <w:rFonts w:ascii="Times New Roman" w:hAnsi="Times New Roman" w:cs="Times New Roman"/>
          <w:i/>
          <w:sz w:val="24"/>
          <w:szCs w:val="24"/>
        </w:rPr>
        <w:t xml:space="preserve">2.1-rasm. Boshqaruv tizimining o‘tish xarakteristikasi h(t)</w:t>
      </w:r>
    </w:p>
    <w:p>
      <w:pPr>
        <w:jc w:val="center"/>
        <w:spacing w:before="60" w:after="40" w:line="240" w:lineRule="auto"/>
        <w:ind w:firstLine="0"/>
      </w:pPr>
      <w:r>
        <w:drawing>
          <wp:inline xmlns:wp="http://schemas.openxmlformats.org/drawingml/2006/wordprocessingDrawing" distT="0" distB="0" distL="0" distR="0">
            <wp:extent cx="5400000" cy="3095121"/>
            <wp:effectExtent l="0" t="0" r="0" b="0"/>
            <wp:docPr id="102" nam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t)"/>
                    <pic:cNvPicPr/>
                  </pic:nvPicPr>
                  <pic:blipFill>
                    <a:blip r:embed="rId3"/>
                    <a:stretch>
                      <a:fillRect/>
                    </a:stretch>
                  </pic:blipFill>
                  <pic:spPr>
                    <a:xfrm>
                      <a:off x="0" y="0"/>
                      <a:ext cx="5400000" cy="3095121"/>
                    </a:xfrm>
                    <a:prstGeom prst="rect">
                      <a:avLst/>
                    </a:prstGeom>
                  </pic:spPr>
                </pic:pic>
              </a:graphicData>
            </a:graphic>
          </wp:inline>
        </w:drawing>
      </w:r>
    </w:p>
    <w:p>
      <w:pPr>
        <w:jc w:val="center"/>
        <w:spacing w:before="40" w:after="60" w:line="360" w:lineRule="auto"/>
      </w:pPr>
      <w:r>
        <w:rPr>
          <w:rFonts w:ascii="Times New Roman" w:hAnsi="Times New Roman" w:cs="Times New Roman"/>
          <w:i/>
          <w:sz w:val="24"/>
          <w:szCs w:val="24"/>
        </w:rPr>
        <w:t xml:space="preserve">2.2-rasm. Boshqaruv tizimining impuls xarakteristikasi g(t)</w:t>
      </w:r>
    </w:p>
    <w:p>
      <w:pPr>
        <w:jc w:val="both"/>
        <w:ind w:firstLine="709"/>
        <w:spacing w:before="0" w:after="120" w:line="360" w:lineRule="auto"/>
      </w:pPr>
      <w:r>
        <w:rPr>
          <w:rFonts w:ascii="Times New Roman" w:hAnsi="Times New Roman" w:cs="Times New Roman"/>
          <w:sz w:val="28"/>
          <w:szCs w:val="28"/>
        </w:rPr>
        <w:t xml:space="preserve">O‘tish xarakteristikasidan olingan asosiy sifat ko‘rsatkichlari 2.4-jadvalda berilgan.</w:t>
      </w:r>
    </w:p>
    <w:p>
      <w:pPr>
        <w:jc w:val="center"/>
        <w:spacing w:before="40" w:after="60" w:line="360" w:lineRule="auto"/>
      </w:pPr>
      <w:r>
        <w:rPr>
          <w:rFonts w:ascii="Times New Roman" w:hAnsi="Times New Roman" w:cs="Times New Roman"/>
          <w:i/>
          <w:sz w:val="24"/>
          <w:szCs w:val="24"/>
        </w:rPr>
        <w:t xml:space="preserve">2.4-jadval. O‘tish jarayonining sifat ko‘rsatkichlari</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0"/>
        <w:gridCol w:w="1800"/>
        <w:gridCol w:w="2555"/>
      </w:tblGrid>
      <w:tr>
        <w:tc>
          <w:tcPr>
            <w:tcW w:w="5000"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Ko‘rsatkich</w:t>
            </w:r>
          </w:p>
        </w:tc>
        <w:tc>
          <w:tcPr>
            <w:tcW w:w="18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Belgisi</w:t>
            </w:r>
          </w:p>
        </w:tc>
        <w:tc>
          <w:tcPr>
            <w:tcW w:w="255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Qiymati</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Turg‘unlashgan qiymat</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h(∞)</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1,00</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Maksimal qiymat</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hmax</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1,31</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O‘tib ketish (overshoot)</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σ, %</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30,8</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Maksimumga chiqish vaqti</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tp, s</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0,208</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Ko‘tarilish vaqti (0,1–0,9)</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tk, s</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0,083</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O‘rnashish vaqti (±5%)</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tt, s</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0,466</w:t>
            </w:r>
          </w:p>
        </w:tc>
      </w:tr>
    </w:tbl>
    <w:p>
      <w:pPr>
        <w:spacing w:after="80" w:line="240" w:lineRule="auto"/>
      </w:pPr>
    </w:p>
    <w:p>
      <w:pPr>
        <w:jc w:val="both"/>
        <w:spacing w:before="0" w:after="120" w:line="360" w:lineRule="auto"/>
      </w:pPr>
      <w:r>
        <w:rPr>
          <w:rFonts w:ascii="Times New Roman" w:hAnsi="Times New Roman" w:cs="Times New Roman"/>
          <w:sz w:val="28"/>
          <w:szCs w:val="28"/>
        </w:rPr>
        <w:t xml:space="preserve">Grafiklardan ko‘rinadiki, o‘tish xarakteristikasi h(t) so‘nuvchi tebranish ko‘rinishida bo‘lib, taxminan </w:t>
      </w:r>
      <w:r>
        <w:rPr>
          <w:rFonts w:ascii="Times New Roman" w:hAnsi="Times New Roman" w:cs="Times New Roman"/>
          <w:i/>
          <w:sz w:val="28"/>
          <w:szCs w:val="28"/>
        </w:rPr>
        <w:t xml:space="preserve">0,47 s</w:t>
      </w:r>
      <w:r>
        <w:rPr>
          <w:rFonts w:ascii="Times New Roman" w:hAnsi="Times New Roman" w:cs="Times New Roman"/>
          <w:sz w:val="28"/>
          <w:szCs w:val="28"/>
        </w:rPr>
        <w:t xml:space="preserve"> da turg‘un qiymatga (birlikka) o‘rnashadi; o‘tib ketish </w:t>
      </w:r>
      <w:r>
        <w:rPr>
          <w:rFonts w:ascii="Times New Roman" w:hAnsi="Times New Roman" w:cs="Times New Roman"/>
          <w:i/>
          <w:sz w:val="28"/>
          <w:szCs w:val="28"/>
        </w:rPr>
        <w:t xml:space="preserve">31%</w:t>
      </w:r>
      <w:r>
        <w:rPr>
          <w:rFonts w:ascii="Times New Roman" w:hAnsi="Times New Roman" w:cs="Times New Roman"/>
          <w:sz w:val="28"/>
          <w:szCs w:val="28"/>
        </w:rPr>
        <w:t xml:space="preserve"> ni tashkil etadi, bu sanoat boshqaruv tizimlari uchun maqbul (odatda 30% gacha) hisoblanadi. Impuls xarakteristikasi g(t) o‘tish xarakteristikasining hosilasi bo‘lib (g(t)=dh/dt), uning musbat va manfiy qiymatlari h(t) dagi tebranishlarga mos keladi va vaqt o‘tishi bilan nolga intiladi — bu ham tizim turg‘unligini tasdiqlaydi.</w:t>
      </w:r>
    </w:p>
    <w:p>
      <w:pPr>
        <w:jc w:val="left"/>
        <w:spacing w:before="120" w:after="80" w:line="360" w:lineRule="auto"/>
        <w:keepNext/>
      </w:pPr>
      <w:r>
        <w:rPr>
          <w:rFonts w:ascii="Times New Roman" w:hAnsi="Times New Roman" w:cs="Times New Roman"/>
          <w:b/>
          <w:i/>
          <w:sz w:val="28"/>
          <w:szCs w:val="28"/>
        </w:rPr>
        <w:t xml:space="preserve">2.2.3. Chastotaviy xarakteristika va turg‘unlik zapaslari (Bode diagrammasi)</w:t>
      </w:r>
    </w:p>
    <w:p>
      <w:pPr>
        <w:jc w:val="both"/>
        <w:ind w:firstLine="709"/>
        <w:spacing w:before="0" w:after="120" w:line="360" w:lineRule="auto"/>
      </w:pPr>
      <w:r>
        <w:rPr>
          <w:rFonts w:ascii="Times New Roman" w:hAnsi="Times New Roman" w:cs="Times New Roman"/>
          <w:sz w:val="28"/>
          <w:szCs w:val="28"/>
        </w:rPr>
        <w:t xml:space="preserve">Ochiq tizimning (2.11) chastotaviy xususiyatlarini baholash uchun Bode diagrammasi qurildi: logarifmik amplituda-chastota (LACHX) va faza-chastota (FCHX) xarakteristikalari. Diagramma turg‘unlik zapaslarini — amplituda bo‘yicha zapas (Gain Margin, GM) va faza bo‘yicha zapas (Phase Margin, PM) ni aniqlash imkonini beradi.</w:t>
      </w:r>
    </w:p>
    <w:p>
      <w:pPr>
        <w:jc w:val="center"/>
        <w:spacing w:before="60" w:after="40" w:line="240" w:lineRule="auto"/>
        <w:ind w:firstLine="0"/>
      </w:pPr>
      <w:r>
        <w:drawing>
          <wp:inline xmlns:wp="http://schemas.openxmlformats.org/drawingml/2006/wordprocessingDrawing" distT="0" distB="0" distL="0" distR="0">
            <wp:extent cx="5400000" cy="4346341"/>
            <wp:effectExtent l="0" t="0" r="0" b="0"/>
            <wp:docPr id="103" name="B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ode"/>
                    <pic:cNvPicPr/>
                  </pic:nvPicPr>
                  <pic:blipFill>
                    <a:blip r:embed="rId4"/>
                    <a:stretch>
                      <a:fillRect/>
                    </a:stretch>
                  </pic:blipFill>
                  <pic:spPr>
                    <a:xfrm>
                      <a:off x="0" y="0"/>
                      <a:ext cx="5400000" cy="4346341"/>
                    </a:xfrm>
                    <a:prstGeom prst="rect">
                      <a:avLst/>
                    </a:prstGeom>
                  </pic:spPr>
                </pic:pic>
              </a:graphicData>
            </a:graphic>
          </wp:inline>
        </w:drawing>
      </w:r>
    </w:p>
    <w:p>
      <w:pPr>
        <w:jc w:val="center"/>
        <w:spacing w:before="40" w:after="60" w:line="360" w:lineRule="auto"/>
      </w:pPr>
      <w:r>
        <w:rPr>
          <w:rFonts w:ascii="Times New Roman" w:hAnsi="Times New Roman" w:cs="Times New Roman"/>
          <w:i/>
          <w:sz w:val="24"/>
          <w:szCs w:val="24"/>
        </w:rPr>
        <w:t xml:space="preserve">2.3-rasm. Ochiq tizimning Bode diagrammasi va turg‘unlik zapaslari (GM, PM)</w:t>
      </w:r>
    </w:p>
    <w:p>
      <w:pPr>
        <w:jc w:val="center"/>
        <w:spacing w:before="40" w:after="60" w:line="360" w:lineRule="auto"/>
      </w:pPr>
      <w:r>
        <w:rPr>
          <w:rFonts w:ascii="Times New Roman" w:hAnsi="Times New Roman" w:cs="Times New Roman"/>
          <w:i/>
          <w:sz w:val="24"/>
          <w:szCs w:val="24"/>
        </w:rPr>
        <w:t xml:space="preserve">2.5-jadval. Chastotaviy xarakteristikaning ko‘rsatkichlari</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0"/>
        <w:gridCol w:w="1800"/>
        <w:gridCol w:w="2555"/>
      </w:tblGrid>
      <w:tr>
        <w:tc>
          <w:tcPr>
            <w:tcW w:w="5000"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Ko‘rsatkich</w:t>
            </w:r>
          </w:p>
        </w:tc>
        <w:tc>
          <w:tcPr>
            <w:tcW w:w="18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Belgisi</w:t>
            </w:r>
          </w:p>
        </w:tc>
        <w:tc>
          <w:tcPr>
            <w:tcW w:w="255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Qiymati</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Kuchaytirish kesishish chastotasi</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ωc, rad/s</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14,1</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Faza kesishish chastotasi</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ωπ, rad/s</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31,6</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Faza bo‘yicha zapas</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PM, deg</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39</w:t>
            </w:r>
          </w:p>
        </w:tc>
      </w:tr>
      <w:tr>
        <w:tc>
          <w:tcPr>
            <w:tcW w:w="5000" w:type="dxa"/>
            <w:vAlign w:val="center"/>
          </w:tcPr>
          <w:p>
            <w:pPr>
              <w:jc w:val="left"/>
              <w:spacing w:before="20" w:after="20" w:line="240" w:lineRule="auto"/>
              <w:ind w:firstLine="0"/>
            </w:pPr>
            <w:r>
              <w:rPr>
                <w:rFonts w:ascii="Times New Roman" w:hAnsi="Times New Roman" w:cs="Times New Roman"/>
                <w:sz w:val="26"/>
                <w:szCs w:val="26"/>
              </w:rPr>
              <w:t xml:space="preserve">Amplituda bo‘yicha zapas</w:t>
            </w:r>
          </w:p>
        </w:tc>
        <w:tc>
          <w:tcPr>
            <w:tcW w:w="1800" w:type="dxa"/>
            <w:vAlign w:val="center"/>
          </w:tcPr>
          <w:p>
            <w:pPr>
              <w:jc w:val="center"/>
              <w:spacing w:before="20" w:after="20" w:line="240" w:lineRule="auto"/>
              <w:ind w:firstLine="0"/>
            </w:pPr>
            <w:r>
              <w:rPr>
                <w:rFonts w:ascii="Times New Roman" w:hAnsi="Times New Roman" w:cs="Times New Roman"/>
                <w:sz w:val="26"/>
                <w:szCs w:val="26"/>
              </w:rPr>
              <w:t xml:space="preserve">GM, dB</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11,8</w:t>
            </w:r>
          </w:p>
        </w:tc>
      </w:tr>
    </w:tbl>
    <w:p>
      <w:pPr>
        <w:spacing w:after="80" w:line="240" w:lineRule="auto"/>
      </w:pPr>
    </w:p>
    <w:p>
      <w:pPr>
        <w:jc w:val="both"/>
        <w:spacing w:before="0" w:after="120" w:line="360" w:lineRule="auto"/>
      </w:pPr>
      <w:r>
        <w:rPr>
          <w:rFonts w:ascii="Times New Roman" w:hAnsi="Times New Roman" w:cs="Times New Roman"/>
          <w:sz w:val="28"/>
          <w:szCs w:val="28"/>
        </w:rPr>
        <w:t xml:space="preserve">Bode diagrammasidan olingan natijalar: kuchaytirish kesishish chastotasi ωc ≈ 14,1 rad/s, unga mos faza zapasi PM ≈ 39°; faza kesishish chastotasi ωπ ≈ 31,6 rad/s da amplituda zapasi GM ≈ 11,8 dB. </w:t>
      </w:r>
      <w:r>
        <w:rPr>
          <w:rFonts w:ascii="Times New Roman" w:hAnsi="Times New Roman" w:cs="Times New Roman"/>
          <w:sz w:val="28"/>
          <w:szCs w:val="28"/>
        </w:rPr>
        <w:t xml:space="preserve">Ikkala zapas ham musbat bo‘lganligi sababli (Naykvist–Bode mezoni bo‘yicha) yopiq tizim turg‘un. </w:t>
      </w:r>
      <w:r>
        <w:rPr>
          <w:rFonts w:ascii="Times New Roman" w:hAnsi="Times New Roman" w:cs="Times New Roman"/>
          <w:sz w:val="28"/>
          <w:szCs w:val="28"/>
        </w:rPr>
        <w:t xml:space="preserve">Bundan tashqari, PM ≈ 39° qiymati 30–60° tavsiya etilgan oraliqda yotadi, GM ≈ 11,8 dB esa 6 dB dan katta — bu tizim yetarli barqarorlik zapasiga ega ekanini va parametrlar o‘zgarishiga (masalan, material qattiqligi yoki kesish kuchining tebranishiga) chidamli ekanini ko‘rsatadi.</w:t>
      </w:r>
    </w:p>
    <w:p>
      <w:pPr>
        <w:jc w:val="left"/>
        <w:spacing w:before="120" w:after="80" w:line="360" w:lineRule="auto"/>
        <w:keepNext/>
      </w:pPr>
      <w:r>
        <w:rPr>
          <w:rFonts w:ascii="Times New Roman" w:hAnsi="Times New Roman" w:cs="Times New Roman"/>
          <w:b/>
          <w:i/>
          <w:sz w:val="28"/>
          <w:szCs w:val="28"/>
        </w:rPr>
        <w:t xml:space="preserve">2.2.4. Xulosa</w:t>
      </w:r>
    </w:p>
    <w:p>
      <w:pPr>
        <w:jc w:val="both"/>
        <w:ind w:firstLine="709"/>
        <w:spacing w:before="0" w:after="120" w:line="360" w:lineRule="auto"/>
      </w:pPr>
      <w:r>
        <w:rPr>
          <w:rFonts w:ascii="Times New Roman" w:hAnsi="Times New Roman" w:cs="Times New Roman"/>
          <w:sz w:val="28"/>
          <w:szCs w:val="28"/>
        </w:rPr>
        <w:t xml:space="preserve">Ushbu bo‘limda kesish jarayonini boshqarish tizimining matematik modeli asosida uzatish funksiyasi (2.11) tuzildi va uning vaqt hamda chastotaviy xarakteristikalari aniqlandi. O‘tish xarakteristikasi h(t) tizim turg‘unligini va maqbul sifat ko‘rsatkichlarini (σ ≈ 31%, tt ≈ 0,47 s), Bode diagrammasi esa yetarli turg‘unlik zapaslarini (PM ≈ 39°, GM ≈ 11,8 dB) ko‘rsatdi. Olingan natijalar boshqaruv tizimi to‘g‘ri loyihalanganini tasdiqlaydi va 2.3-bo‘limda tizim turg‘unligini hamda o‘tkinchi jarayonlarni chuqurroq tahlil qilish va rostlagichni sozlash uchun asos bo‘ladi.</w:t>
      </w:r>
    </w:p>
    <w:sectPr>
      <w:pgSz w:w="11906" w:h="16838"/>
      <w:pgMar w:top="1134" w:right="850" w:bottom="1134" w:left="1701" w:header="708" w:footer="708" w:gutter="0"/>
      <w:pgNumType w:start="27"/>
    </w:sectPr>
  </w:body>
</w:document>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8"/>
        <w:szCs w:val="28"/>
        <w:lang w:val="uz-Latn-UZ"/>
      </w:rPr>
    </w:r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s>
</file>

<file path=docProps/app.xml><?xml version="1.0" encoding="utf-8"?>
<Properties xmlns="http://schemas.openxmlformats.org/officeDocument/2006/extended-properties">
  <Application>Kiro OOXML Generator</Application>
</Properties>
</file>

<file path=docProps/core.xml><?xml version="1.0" encoding="utf-8"?>
<cp:coreProperties xmlns:cp="http://schemas.openxmlformats.org/package/2006/metadata/core-properties" xmlns:dc="http://purl.org/dc/elements/1.1/">
  <dc:title>2.2 Vaqt va chastotaviy xarakteristikalar</dc:title>
  <dc:creator>Bakalavr dissertatsiyasi</dc:creator>
  <cp:lastModifiedBy>Kiro</cp:lastModifiedBy>
</cp:coreProperties>
</file>