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40"/>
        <w:jc w:val="center"/>
      </w:pPr>
      <w:r>
        <w:rPr>
          <w:rFonts w:ascii="宋体" w:hAnsi="宋体" w:eastAsia="宋体"/>
          <w:b/>
          <w:color w:val="0F172A"/>
          <w:sz w:val="40"/>
        </w:rPr>
        <w:t>第八届中国研究生人工智能创新大赛</w:t>
      </w:r>
    </w:p>
    <w:p>
      <w:pPr>
        <w:spacing w:before="1440"/>
        <w:jc w:val="center"/>
      </w:pPr>
      <w:r>
        <w:rPr>
          <w:rFonts w:ascii="宋体" w:hAnsi="宋体" w:eastAsia="宋体"/>
          <w:b/>
          <w:color w:val="2F6BFF"/>
          <w:sz w:val="64"/>
        </w:rPr>
        <w:t>错题帮</w:t>
      </w:r>
    </w:p>
    <w:p>
      <w:pPr>
        <w:spacing w:before="280"/>
        <w:ind w:left="737" w:right="737"/>
        <w:jc w:val="center"/>
      </w:pPr>
      <w:r>
        <w:rPr>
          <w:rFonts w:ascii="宋体" w:hAnsi="宋体" w:eastAsia="宋体"/>
          <w:b/>
          <w:color w:val="0F172A"/>
          <w:sz w:val="32"/>
        </w:rPr>
        <w:t>具有长期认知记忆、动态工具调用与可验证决策轨迹的多模态教学智能体</w:t>
      </w:r>
    </w:p>
    <w:p>
      <w:pPr>
        <w:spacing w:before="960"/>
        <w:jc w:val="center"/>
      </w:pPr>
      <w:r>
        <w:rPr>
          <w:rFonts w:ascii="宋体" w:hAnsi="宋体" w:eastAsia="宋体"/>
          <w:b/>
          <w:color w:val="0F172A"/>
          <w:sz w:val="44"/>
        </w:rPr>
        <w:t>项 目 文 档</w:t>
      </w:r>
    </w:p>
    <w:p>
      <w:pPr>
        <w:spacing w:before="240"/>
        <w:jc w:val="center"/>
      </w:pPr>
      <w:r>
        <w:rPr>
          <w:rFonts w:ascii="宋体" w:hAnsi="宋体" w:eastAsia="宋体"/>
          <w:color w:val="222222"/>
          <w:sz w:val="23"/>
        </w:rPr>
        <w:t>团队名称：题醐灌顶队</w:t>
      </w:r>
    </w:p>
    <w:p>
      <w:pPr>
        <w:spacing w:before="240"/>
        <w:jc w:val="center"/>
      </w:pPr>
      <w:r>
        <w:rPr>
          <w:rFonts w:ascii="宋体" w:hAnsi="宋体" w:eastAsia="宋体"/>
          <w:color w:val="222222"/>
          <w:sz w:val="23"/>
        </w:rPr>
        <w:t>参赛赛题：赛题一——生成式大语言模型与智能体</w:t>
      </w:r>
    </w:p>
    <w:p>
      <w:pPr>
        <w:spacing w:before="240"/>
        <w:jc w:val="center"/>
      </w:pPr>
      <w:r>
        <w:rPr>
          <w:rFonts w:ascii="宋体" w:hAnsi="宋体" w:eastAsia="宋体"/>
          <w:color w:val="222222"/>
          <w:sz w:val="23"/>
        </w:rPr>
        <w:t>编制日期：2026 年 8 月</w:t>
      </w:r>
    </w:p>
    <w:p>
      <w:r>
        <w:br w:type="page"/>
      </w:r>
    </w:p>
    <w:p>
      <w:pPr>
        <w:pStyle w:val="2"/>
        <w:spacing w:before="0"/>
        <w:jc w:val="center"/>
      </w:pPr>
      <w:r>
        <w:t>目录</w:t>
      </w:r>
    </w:p>
    <w:p>
      <w:r>
        <w:fldChar w:fldCharType="begin"/>
        <w:instrText xml:space="preserve">TOC \o "1-3" \h \z \u</w:instrText>
        <w:fldChar w:fldCharType="separate"/>
        <w:fldChar w:fldCharType="end"/>
      </w:r>
    </w:p>
    <w:p>
      <w:pPr>
        <w:jc w:val="center"/>
      </w:pPr>
      <w:r>
        <w:rPr>
          <w:rFonts w:ascii="宋体" w:hAnsi="宋体" w:eastAsia="宋体"/>
          <w:color w:val="64748B"/>
          <w:sz w:val="18"/>
        </w:rPr>
        <w:t>提示：首次打开文档后，在目录区域选择“更新整个目录”，即可显示最终页码。</w:t>
      </w:r>
    </w:p>
    <w:p>
      <w:r>
        <w:br w:type="page"/>
      </w:r>
    </w:p>
    <w:p>
      <w:pPr>
        <w:pStyle w:val="2"/>
        <w:spacing w:before="0"/>
      </w:pPr>
      <w:r>
        <w:t>记录更改历史</w:t>
      </w:r>
    </w:p>
    <w:tbl>
      <w:tblPr>
        <w:tblW w:type="auto" w:w="0"/>
        <w:jc w:val="center"/>
        <w:tblLayout w:type="autofit"/>
        <w:tblLook w:firstColumn="1" w:firstRow="1" w:lastColumn="0" w:lastRow="0" w:noHBand="0" w:noVBand="1" w:val="04A0"/>
      </w:tblPr>
      <w:tblGrid>
        <w:gridCol w:w="1559"/>
        <w:gridCol w:w="1559"/>
        <w:gridCol w:w="1559"/>
        <w:gridCol w:w="1559"/>
        <w:gridCol w:w="1559"/>
        <w:gridCol w:w="1559"/>
      </w:tblGrid>
      <w:tr>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序号</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更改原因</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版本</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作者</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更改日期</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shd w:fill="EEF4FF"/>
          </w:tcPr>
          <w:p>
            <w:pPr>
              <w:jc w:val="center"/>
            </w:pPr>
            <w:r>
              <w:rPr>
                <w:rFonts w:ascii="宋体" w:hAnsi="宋体" w:eastAsia="宋体"/>
                <w:b/>
                <w:color w:val="0F172A"/>
                <w:sz w:val="19"/>
              </w:rPr>
              <w:t>备注</w:t>
            </w:r>
          </w:p>
        </w:tc>
      </w:tr>
      <w:tr>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1</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依据官方模板重构，补全竞赛论证、技术实现、评测与插图说明</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v3.0</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项目组</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2026 年 8 月</w:t>
            </w:r>
          </w:p>
        </w:tc>
        <w:tc>
          <w:tcPr>
            <w:tcW w:type="dxa" w:w="1559"/>
            <w:vAlign w:val="center"/>
            <w:tcMar>
              <w:top w:w="120" w:type="dxa"/>
              <w:start w:w="120" w:type="dxa"/>
              <w:bottom w:w="120" w:type="dxa"/>
              <w:end w:w="120" w:type="dxa"/>
            </w:tcMar>
            <w:tcBorders>
              <w:top w:val="single" w:sz="8" w:color="CBD5E1"/>
              <w:left w:val="single" w:sz="8" w:color="CBD5E1"/>
              <w:bottom w:val="single" w:sz="8" w:color="CBD5E1"/>
              <w:right w:val="single" w:sz="8" w:color="CBD5E1"/>
            </w:tcBorders>
          </w:tcPr>
          <w:p>
            <w:pPr>
              <w:jc w:val="center"/>
            </w:pPr>
            <w:r>
              <w:rPr>
                <w:rFonts w:ascii="宋体" w:hAnsi="宋体" w:eastAsia="宋体"/>
                <w:b w:val="0"/>
                <w:color w:val="222222"/>
                <w:sz w:val="19"/>
              </w:rPr>
              <w:t>匿名参赛版</w:t>
            </w:r>
          </w:p>
        </w:tc>
      </w:tr>
    </w:tbl>
    <w:p>
      <w:pPr>
        <w:spacing w:before="360"/>
        <w:ind w:firstLine="440"/>
        <w:jc w:val="both"/>
      </w:pPr>
      <w:r>
        <w:t>说明：本文档严格保持官方四章框架。所有插图位置均已标注图号、内容、风格和源码依据，团队可在定稿阶段直接用自绘架构图或真实系统截图替换。</w:t>
      </w:r>
    </w:p>
    <w:p>
      <w:r>
        <w:br w:type="page"/>
      </w:r>
    </w:p>
    <w:p>
      <w:pPr>
        <w:pStyle w:val="2"/>
        <w:spacing w:before="0"/>
      </w:pPr>
      <w:r>
        <w:t>1 项目概况</w:t>
      </w:r>
    </w:p>
    <w:p>
      <w:pPr>
        <w:pStyle w:val="4"/>
      </w:pPr>
      <w:r>
        <w:t>1.1 背景和基础</w:t>
      </w:r>
    </w:p>
    <w:p>
      <w:pPr>
        <w:pStyle w:val="5"/>
      </w:pPr>
      <w:r>
        <w:t>1.1.1 项目起因与现实问题</w:t>
      </w:r>
    </w:p>
    <w:p>
      <w:pPr>
        <w:ind w:firstLine="440"/>
        <w:jc w:val="both"/>
      </w:pPr>
      <w:r>
        <w:rPr>
          <w:rFonts w:ascii="宋体" w:hAnsi="宋体" w:eastAsia="宋体"/>
          <w:color w:val="222222"/>
          <w:sz w:val="22"/>
        </w:rPr>
        <w:t>随着国家教育数字化战略持续推进，人工智能正在进一步融入教育教学全过程。《教育强国建设规划纲要（2024—2035年）》提出实施国家教育数字化战略，探索数字赋能大规模因材施教和创新性教学的有效途径。2026年，教育部等五部门进一步印发《“人工智能+教育”行动计划》，提出推动智能技术与教育全要素融合、全过程贯通、全场景覆盖，促进规模教育与个性培养相统一。生成式人工智能、多模态大模型与智能体技术的发展，为人工智能从提供学习资源、回答问题进一步走向理解学习过程和提供个性化教学支持创造了新的条件。</w:t>
      </w:r>
    </w:p>
    <w:p>
      <w:pPr>
        <w:ind w:firstLine="440"/>
        <w:jc w:val="both"/>
      </w:pPr>
      <w:r>
        <w:rPr>
          <w:rFonts w:ascii="宋体" w:hAnsi="宋体" w:eastAsia="宋体"/>
          <w:color w:val="222222"/>
          <w:sz w:val="22"/>
        </w:rPr>
        <w:t>在中学生日常学习过程中，错题是最能够直接反映个体知识薄弱点和思维偏差的学习材料之一。当前无论是传统纸质错题本，还是拍照搜题、数字错题管理等工具，主要解决的仍是记录题目、获得答案、查看解析等问题。学生真正发生错误时留下的手写步骤、最终答案、题目图形和教师批改等信息没有被充分利用。一道题最终做错，可能源于概念理解偏差、公式适用条件遗漏、符号错误、推理关系中断等不同原因；后续多个错误还可能只是受到前面某一步错误的连续影响。因此，学生真正需要解决的问题已经不仅是当前问题应该解决，还应包括错误产生的原因、如何才能真正学会，以及以后怎样减少同类错误。</w:t>
      </w:r>
    </w:p>
    <w:p>
      <w:r>
        <w:br w:type="page"/>
      </w:r>
    </w:p>
    <w:p>
      <w:pPr>
        <w:ind w:firstLine="440"/>
        <w:jc w:val="both"/>
      </w:pPr>
      <w:r>
        <w:rPr>
          <w:rFonts w:ascii="宋体" w:hAnsi="宋体" w:eastAsia="宋体"/>
          <w:color w:val="222222"/>
          <w:sz w:val="22"/>
        </w:rPr>
        <w:t>基于这一真实学习需求，本项目提出面向初一至高三学生的多模态错题认知诊断与自适应教学系统——错题帮。项目将错题进一步视为学生认知过程的学习证据，通过分析题目内容与学生真实作答过程，围绕理解问题、学会问题、不再犯错三个目标，探索人工智能在错题学习场景中的深度应用。系统整体围绕看懂作答—定位错误—分析根因—针对教学—新题验证—更新认知—主动复习形成一个连续学习过程，使人工智能从单次提供答案进一步参与学生的诊断、教学、验证和长期学习支持。</w:t>
      </w:r>
    </w:p>
    <w:p>
      <w:pPr>
        <w:ind w:firstLine="440"/>
        <w:jc w:val="both"/>
      </w:pPr>
      <w:r>
        <w:rPr>
          <w:rFonts w:ascii="宋体" w:hAnsi="宋体" w:eastAsia="宋体"/>
          <w:color w:val="222222"/>
          <w:sz w:val="22"/>
        </w:rPr>
        <w:t>本项目的灵感来自一个被现有产品反复简化的问题：学生面对错题时，真正需要的通常不是再次获得标准答案，而是知道自己的判断从何处开始偏离、偏离为何发生、如何用新的证据把原有认知修正回来。错题帮因此把题目、学生作答、书写步骤、批改痕迹和后续训练看作同一学习事件中的连续证据，并用智能体把诊断、教学、验证和复习组织成可执行闭环。</w:t>
      </w:r>
    </w:p>
    <w:p>
      <w:pPr>
        <w:ind w:firstLine="440"/>
        <w:jc w:val="both"/>
      </w:pPr>
      <w:r>
        <w:rPr>
          <w:rFonts w:ascii="宋体" w:hAnsi="宋体" w:eastAsia="宋体"/>
          <w:color w:val="222222"/>
          <w:sz w:val="22"/>
        </w:rPr>
        <w:t>学习中的错题具有很强的过程性。同一份错误答案可能来自读题遗漏、概念混淆、公式调用错误、符号处理错误、条件遗漏、计算失误或书写表达不完整。若系统只给出正确答案或通用解析，学生常能“看懂”，却难以定位自己第一次偏离正确路径的位置；当下一道题改变情境时，原有错因又会再次出现。错题帮将“错误出现之前发生了什么、错误之后如何修正、修正后能否迁移”视为同等重要的问题。</w:t>
      </w:r>
    </w:p>
    <w:p>
      <w:pPr>
        <w:ind w:firstLine="440"/>
        <w:jc w:val="both"/>
      </w:pPr>
      <w:r>
        <w:rPr>
          <w:rFonts w:ascii="宋体" w:hAnsi="宋体" w:eastAsia="宋体"/>
          <w:color w:val="222222"/>
          <w:sz w:val="22"/>
        </w:rPr>
        <w:t>从用户操作看，需求可归纳为四层。第一，学生需要低摩擦记录：用一张题图开始，尽可能保留题干、草稿、批注和原始书写。第二，学生需要可解释诊断：不是只显示标签，而是给出参考路径、学生路径、首错步骤、传播影响和可修正证据。第三，学生需要可行动教学：提示、图示、教回和变式练习应随诊断变化，不应把长篇讲解当作学习完成。第四，教师和家长需要聚合视图：能够看到掌握变化、重复错因、待复习任务和干预理由，但不替代对学生过程的判断。</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需求主体</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典型问题</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错题帮对应机制</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可追溯证据</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学生</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不知道错在何处，复习只会重做</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首错点、错因、局部提示、教回与迁移</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学生步骤、诊断、对话、作答</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学生</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题图有涂改、批注或复杂版式</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原图保留、派生图、区域识别和人工确认</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图片哈希、资源类型、确认记录</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教师</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难以快速了解不同学生的共性困难</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掌握度、错因、近期更新、复习计划聚合</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认知更新、计划、班级聚合</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家长</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只看到分数，缺少过程反馈</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学习记录与阶段性报告</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错题、会话、复习记录</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项目维护者</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模型结果不稳定或不可安全渲染</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轮询、结构化校验、白名单图示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Provider 状态、Schema、交互记录</w:t>
            </w:r>
          </w:p>
        </w:tc>
      </w:tr>
    </w:tbl>
    <w:p>
      <w:pPr>
        <w:spacing w:after="20"/>
      </w:pP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1-1 待替换】教育数字化背景下的错题学习需求链</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围绕“教育数字化背景下的错题学习需求链”只表达正文已经论证的关系，节点文案简短，避免机器人、芯片、大脑、3D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8.2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国家教育数字化背景；中学生错题学习场景</w:t>
            </w:r>
          </w:p>
        </w:tc>
      </w:tr>
    </w:tbl>
    <w:p>
      <w:pPr>
        <w:spacing w:after="160"/>
        <w:jc w:val="center"/>
      </w:pPr>
      <w:r>
        <w:rPr>
          <w:rFonts w:ascii="宋体" w:hAnsi="宋体" w:eastAsia="宋体"/>
          <w:color w:val="64748B"/>
          <w:sz w:val="20"/>
        </w:rPr>
        <w:t>图 1-1  教育数字化背景下的错题学习需求链（定稿时替换上方说明框）</w:t>
      </w:r>
    </w:p>
    <w:p>
      <w:pPr>
        <w:pStyle w:val="5"/>
      </w:pPr>
      <w:r>
        <w:t>1.1.2 项目目标</w:t>
      </w:r>
    </w:p>
    <w:p>
      <w:r>
        <w:br w:type="page"/>
      </w:r>
    </w:p>
    <w:p>
      <w:pPr>
        <w:ind w:firstLine="440"/>
        <w:jc w:val="both"/>
      </w:pPr>
      <w:r>
        <w:rPr>
          <w:rFonts w:ascii="宋体" w:hAnsi="宋体" w:eastAsia="宋体"/>
          <w:color w:val="222222"/>
          <w:sz w:val="22"/>
        </w:rPr>
        <w:t>错题帮的目标不是替学生直接完成题目，而是建立可复核的学习支架：以多模态错题为输入，以经人工确认的过程信息为依据，以首错点为诊断锚点，以教学与迁移结果为后验反馈，以掌握度和复习任务为长期记录。系统目标分为功能目标、可信目标与发展目标。</w:t>
      </w:r>
    </w:p>
    <w:tbl>
      <w:tblPr>
        <w:tblW w:type="auto" w:w="0"/>
        <w:jc w:val="center"/>
        <w:tblLayout w:type="autofit"/>
        <w:tblLook w:firstColumn="1" w:firstRow="1" w:lastColumn="0" w:lastRow="0" w:noHBand="0" w:noVBand="1" w:val="04A0"/>
      </w:tblPr>
      <w:tblGrid>
        <w:gridCol w:w="3118"/>
        <w:gridCol w:w="3118"/>
        <w:gridCol w:w="3118"/>
      </w:tblGrid>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目标类别</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目标表述</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本期边界</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功能目标</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实现从拍题、确认、诊断到教学、迁移、复习的链路</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以本地单用户功能正确为优先</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可信目标</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保留原图，结构化输出校验，关键数学结论尽量校验</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不把模型文本直接视为事实</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教学目标</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让每次学习产生可解释、可追踪的认知证据</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不宣称替代教师判断</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数据目标</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以 MySQL 保存业务状态，避免页面演示数据冒充真实记录</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演示种子数据单独标识</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发展目标</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为后续正式评测提供可复现指标和实验接口</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不以原型结果推断长期效果</w:t>
            </w:r>
          </w:p>
        </w:tc>
      </w:tr>
    </w:tbl>
    <w:p>
      <w:pPr>
        <w:spacing w:after="20"/>
      </w:pPr>
    </w:p>
    <w:p>
      <w:pPr>
        <w:pStyle w:val="5"/>
      </w:pPr>
      <w:r>
        <w:t>1.1.3 服务对象与使用边界</w:t>
      </w:r>
    </w:p>
    <w:p>
      <w:pPr>
        <w:ind w:firstLine="440"/>
        <w:jc w:val="both"/>
      </w:pPr>
      <w:r>
        <w:rPr>
          <w:rFonts w:ascii="宋体" w:hAnsi="宋体" w:eastAsia="宋体"/>
          <w:color w:val="222222"/>
          <w:sz w:val="22"/>
        </w:rPr>
        <w:t>项目面向初中至高中阶段的学习者及其教学支持者，尤其适用于有书写过程、需要分步解释的题目。系统支持数学、物理、历史等不同学科的固定验证案例，也具备面向多个学科的知识卡、检索和页面入口。不同学科的“首错点”呈现形式会不同：数理类常表现为等式变形、单位、图形关系或计算；文科类可能表现为材料证据、时序、概念边界和因果关系。因此，系统将统一的证据流程与可配置的学科内容分开处理。</w:t>
      </w:r>
    </w:p>
    <w:p>
      <w:r>
        <w:br w:type="page"/>
      </w:r>
    </w:p>
    <w:p>
      <w:pPr>
        <w:ind w:firstLine="440"/>
        <w:jc w:val="both"/>
      </w:pPr>
      <w:r>
        <w:rPr>
          <w:rFonts w:ascii="宋体" w:hAnsi="宋体" w:eastAsia="宋体"/>
          <w:color w:val="222222"/>
          <w:sz w:val="22"/>
        </w:rPr>
        <w:t>本期属于本地功能原型，不以高并发、生产级权限隔离、安全审计或大规模性能压测为交付目标。模型、检索服务和语音能力的可用性依赖相应运行环境；当外部能力不可用时，系统应呈现明确状态，而非编造结果。对高风险结论、开放性论述或人工书写真实性，系统保留人工确认接口。</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1-2 待替换】中学生错题学习痛点与重复犯错原因链</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围绕“中学生错题学习痛点与重复犯错原因链”只表达正文已经论证的关系，节点文案简短，避免机器人、芯片、大脑、3D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8.6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学生错题学习痛点；认知偏差传播</w:t>
            </w:r>
          </w:p>
        </w:tc>
      </w:tr>
    </w:tbl>
    <w:p>
      <w:pPr>
        <w:spacing w:after="160"/>
        <w:jc w:val="center"/>
      </w:pPr>
      <w:r>
        <w:rPr>
          <w:rFonts w:ascii="宋体" w:hAnsi="宋体" w:eastAsia="宋体"/>
          <w:color w:val="64748B"/>
          <w:sz w:val="20"/>
        </w:rPr>
        <w:t>图 1-2  中学生错题学习痛点与重复犯错原因链（定稿时替换上方说明框）</w:t>
      </w:r>
    </w:p>
    <w:p>
      <w:pPr>
        <w:pStyle w:val="4"/>
      </w:pPr>
      <w:r>
        <w:t>1.2 场景和价值</w:t>
      </w:r>
    </w:p>
    <w:p>
      <w:pPr>
        <w:pStyle w:val="5"/>
      </w:pPr>
      <w:r>
        <w:t>1.2.1 三类核心应用场景</w:t>
      </w:r>
    </w:p>
    <w:p>
      <w:pPr>
        <w:ind w:firstLine="440"/>
        <w:jc w:val="both"/>
      </w:pPr>
      <w:r>
        <w:rPr>
          <w:rFonts w:ascii="宋体" w:hAnsi="宋体" w:eastAsia="宋体"/>
          <w:color w:val="222222"/>
          <w:sz w:val="22"/>
        </w:rPr>
        <w:t>错题帮主要面向初一至高三学生在作业、练习、考试订正及阶段复习过程中产生的真实错题学习需求。与单纯记录错题或获取标准答案不同，项目关注学生从发现错误到真正掌握知识点之间的完整学习过程，重点覆盖错题诊断、即时教学和长期复习三个典型场景。</w:t>
      </w:r>
    </w:p>
    <w:p>
      <w:r>
        <w:br w:type="page"/>
      </w:r>
    </w:p>
    <w:p>
      <w:pPr>
        <w:ind w:firstLine="440"/>
        <w:jc w:val="both"/>
      </w:pPr>
      <w:r>
        <w:rPr>
          <w:rFonts w:ascii="宋体" w:hAnsi="宋体" w:eastAsia="宋体"/>
          <w:color w:val="222222"/>
          <w:sz w:val="22"/>
        </w:rPr>
        <w:t>真实手写作答进一步增加了这一问题的难度。AIED 2026 的 ScratchMath 工作针对中国学生真实手写数学过程开展多模态错误分析，指出当前多模态大模型通常更擅长以解题者的方式获得正确答案，而在理解学生真实草稿并解释其错误原因方面仍与人工专家存在明显差距。因此，错题帮将学生真实作答的过程作为核心学习证据，希望让人工智能分析的对象从一道孤立的题目进一步延伸到学生解决这道题时实际经历的思维过程。</w:t>
      </w:r>
    </w:p>
    <w:p>
      <w:pPr>
        <w:ind w:firstLine="440"/>
        <w:jc w:val="both"/>
      </w:pPr>
      <w:r>
        <w:rPr>
          <w:rFonts w:ascii="宋体" w:hAnsi="宋体" w:eastAsia="宋体"/>
          <w:color w:val="222222"/>
          <w:sz w:val="22"/>
        </w:rPr>
        <w:t>第二类场景是错题订正后的即时个性化教学。知道错误位置并不意味着学生已经理解错误原因。相同的错误结果可能来自概念理解偏差、公式适用条件遗漏、符号错误、推理关系中断、审题遗漏等不同问题，其适合的教学方式也不同。针对这一场景，系统构建错因驱动的自适应教学智能体，将前一阶段得到的首错位置、根本错因、知识缺口以及学生历史认知状态作为教学决策条件，动态选择概念补偿、针对讲解、反例对比、互动演示、Teach-back、提示和练习等不同教学策略。</w:t>
      </w:r>
    </w:p>
    <w:p>
      <w:pPr>
        <w:ind w:firstLine="440"/>
        <w:jc w:val="both"/>
      </w:pPr>
      <w:r>
        <w:rPr>
          <w:rFonts w:ascii="宋体" w:hAnsi="宋体" w:eastAsia="宋体"/>
          <w:color w:val="222222"/>
          <w:sz w:val="22"/>
        </w:rPr>
        <w:t>这一设计也与当前人工智能教学研究的发展方向相吻合。BEA 2025 AI Tutor 教学能力评测将错误的识别、错误的精确定位，以及教学引导和反馈可执行性作为 AI 教学能力的重要维度，结果显示，即便当前先进模型已经能够提供较自然的教学对话，在上述能力上仍存在明显改进空间。因此，错题帮关注的重点并非生成更长的答案解析，而是让教学过程能够明确依据学生已经发生的错误进行调整。</w:t>
      </w:r>
    </w:p>
    <w:p>
      <w:pPr>
        <w:ind w:firstLine="440"/>
        <w:jc w:val="both"/>
      </w:pPr>
      <w:r>
        <w:rPr>
          <w:rFonts w:ascii="宋体" w:hAnsi="宋体" w:eastAsia="宋体"/>
          <w:color w:val="222222"/>
          <w:sz w:val="22"/>
        </w:rPr>
        <w:t>第三类场景是学习后的验证与长期主动复习。学生听懂一份解析或在提示下完成一道题，并不能充分说明相关知识已经掌握。错题帮在教学结束后继续安排新的练习进行验证：先通过知识点、题型和解题结构相近的题目检查学生能否再次使用刚刚学习的方法，再通过改变题型、表达方式或应用场景的迁移题，观察学生是否能够将所学方法应用到新的问题中。系统通过自主设计的学习状态安全门与长期认知更新模型综合规则判定、数学等价验证、模型判断以及学生作答过程，只有达到可信条件的学习证据才进入长期认知状态。</w:t>
      </w:r>
    </w:p>
    <w:p>
      <w:r>
        <w:br w:type="page"/>
      </w:r>
    </w:p>
    <w:p>
      <w:pPr>
        <w:ind w:firstLine="440"/>
        <w:jc w:val="both"/>
      </w:pPr>
      <w:r>
        <w:rPr>
          <w:rFonts w:ascii="宋体" w:hAnsi="宋体" w:eastAsia="宋体"/>
          <w:color w:val="222222"/>
          <w:sz w:val="22"/>
        </w:rPr>
        <w:t>随着使用时间增加，系统持续积累学生在不同知识点上的答题结果、重复错因、提示依赖、相似题表现、迁移表现和复习结果，将大量分散的错题逐渐归纳为更稳定的个人学习问题。例如，多道不同题目中反复发生的“忽略取值范围”“遗漏限定条件”等现象，可以进一步形成长期错误模式。知识追踪研究表明，根据学生连续学习交互对知识状态进行动态建模，是实现个性化学习的重要技术方向；间隔学习和检索练习的大量研究也表明，基于学习表现安排后续检索与复习有利于知识的长期保持和迁移。因此，错题帮的长期复习不只依据固定时间间隔，还综合学生当前掌握状态、错因复发情况、迁移表现和提示依赖情况动态调整复习优先级。</w:t>
      </w:r>
    </w:p>
    <w:p>
      <w:pPr>
        <w:pStyle w:val="5"/>
      </w:pPr>
      <w:r>
        <w:t>1.2.2 目标用户与协同角色</w:t>
      </w:r>
    </w:p>
    <w:p>
      <w:pPr>
        <w:ind w:firstLine="440"/>
        <w:jc w:val="both"/>
      </w:pPr>
      <w:r>
        <w:rPr>
          <w:rFonts w:ascii="宋体" w:hAnsi="宋体" w:eastAsia="宋体"/>
          <w:color w:val="222222"/>
          <w:sz w:val="22"/>
        </w:rPr>
        <w:t>错题帮的核心用户为初一至高三学生。这一阶段学科数量增加，数学、物理、化学等学科中连续推导和综合问题逐渐增多，学生的错误也更容易从简单计算失误扩展到条件理解、概念选择、推理路径和知识迁移等层面。同时，随着学习内容持续累积，学生需要处理的历史错题数量快速增加，仅依靠人工整理和简单分类越来越难以准确发现长期重复出现的问题。</w:t>
      </w:r>
    </w:p>
    <w:p>
      <w:pPr>
        <w:ind w:firstLine="440"/>
        <w:jc w:val="both"/>
      </w:pPr>
      <w:r>
        <w:rPr>
          <w:rFonts w:ascii="宋体" w:hAnsi="宋体" w:eastAsia="宋体"/>
          <w:color w:val="222222"/>
          <w:sz w:val="22"/>
        </w:rPr>
        <w:t>项目重点服务三类具有代表性的学生需求。对于“知道自己做错，却不知道具体错在哪里”的学生，系统通过真实作答过程进行错误定位和原因分析；对于“看过答案仍然不会”的学生，系统根据具体错因重新组织讲解、互动和练习；对于“当时会了，但过一段时间又犯同类错误”的学生，系统通过长期认知状态和错因记录安排后续复习。三类需求分别对应错题帮的认知诊断、自适应教学和长期主动防错三项重要的人工智能能力。</w:t>
      </w:r>
    </w:p>
    <w:p>
      <w:r>
        <w:br w:type="page"/>
      </w:r>
    </w:p>
    <w:p>
      <w:pPr>
        <w:ind w:firstLine="440"/>
        <w:jc w:val="both"/>
      </w:pPr>
      <w:r>
        <w:rPr>
          <w:rFonts w:ascii="宋体" w:hAnsi="宋体" w:eastAsia="宋体"/>
          <w:color w:val="222222"/>
          <w:sz w:val="22"/>
        </w:rPr>
        <w:t>教师是系统学习闭环中的重要参与者。系统在学生长期积累的错题、作答记录、知识掌握情况和重复错误模式基础上，形成班级及个体维度的学情分析，帮助教师识别集中薄弱知识点、典型错因和需要重点关注的学生。对于人工智能无法可靠判定或存在证据冲突的作答，教师可结合原题、学生解题过程、OCR 结果及模型判定依据进行人工复核，并对学生的学习计划、复习任务和针对性练习进行调整。同时，教师可以录入和布置题目，跟踪完成情况与学习效果。教师端与学生端共用统一的数据、判题和学习更新逻辑，在保持学生自主学习主线的基础上，通过可信的人工干预提升判题准确性和个性化学习效果。</w:t>
      </w:r>
    </w:p>
    <w:p>
      <w:pPr>
        <w:ind w:firstLine="440"/>
        <w:jc w:val="both"/>
      </w:pPr>
      <w:r>
        <w:rPr>
          <w:rFonts w:ascii="宋体" w:hAnsi="宋体" w:eastAsia="宋体"/>
          <w:color w:val="222222"/>
          <w:sz w:val="22"/>
        </w:rPr>
        <w:t>家长和管理员是辅助角色。家长侧只呈现孩子近期进步、薄弱点和复习进度，避免把复杂技术指标直接交给家庭；管理员侧定位为电脑端只读工作台，用于查看服务状态、长期认知档案和智能体决策轨迹，不参与修改学生答案、诊断或学习状态。四类角色共享同一套后端事实来源，但界面所呈现的信息密度与行动权限不同。</w:t>
      </w:r>
    </w:p>
    <w:p>
      <w:pPr>
        <w:pStyle w:val="5"/>
      </w:pPr>
      <w:r>
        <w:t>1.2.3 市场调研与对比分析</w:t>
      </w:r>
    </w:p>
    <w:p>
      <w:pPr>
        <w:ind w:firstLine="440"/>
        <w:jc w:val="both"/>
      </w:pPr>
      <w:r>
        <w:rPr>
          <w:rFonts w:ascii="宋体" w:hAnsi="宋体" w:eastAsia="宋体"/>
          <w:color w:val="222222"/>
          <w:sz w:val="22"/>
        </w:rPr>
        <w:t>随着生成式人工智能和教育大模型快速发展，国内智能学习产品已经从早期的拍照搜题逐渐发展到题库练习、AI答疑、学习诊断和个性化学习等多种形态。现有市场已形成较为成熟的教育资源和用户基础，也说明学生和家庭对于人工智能辅助学习具有较强的现实需求。</w:t>
      </w:r>
    </w:p>
    <w:p>
      <w:pPr>
        <w:ind w:firstLine="440"/>
        <w:jc w:val="both"/>
      </w:pPr>
      <w:r>
        <w:rPr>
          <w:rFonts w:ascii="宋体" w:hAnsi="宋体" w:eastAsia="宋体"/>
          <w:color w:val="222222"/>
          <w:sz w:val="22"/>
        </w:rPr>
        <w:t>以拍照作业与题库类产品为例，小猿AI目前已经整合原小猿口算和小猿搜题能力，公开定位为面向中小学生的全学科、全学段作业辅导、全科学习和AI智能陪伴平台，其背后的猿辅导体系公开拥有大规模题库、试卷和教学资源；作业帮目前也提供全学科作业辅导、题目解析、错题记录等学习服务。这类产品在题目资源规模、快速检索、作业辅助和基础错题管理方面已经具有较成熟的产品能力。</w:t>
      </w:r>
    </w:p>
    <w:p>
      <w:r>
        <w:br w:type="page"/>
      </w:r>
    </w:p>
    <w:p>
      <w:pPr>
        <w:ind w:firstLine="440"/>
        <w:jc w:val="both"/>
      </w:pPr>
      <w:r>
        <w:rPr>
          <w:rFonts w:ascii="宋体" w:hAnsi="宋体" w:eastAsia="宋体"/>
          <w:color w:val="222222"/>
          <w:sz w:val="22"/>
        </w:rPr>
        <w:t>另一方面，以AI学习机和自适应学习平台为代表的产品已经进一步进入个性化学习阶段。科大讯飞AI学习机公开提供诊断、规划、推荐的学习路线，并在部分学段和学科提供错因分析、知识溯源、个性化讲解和精准练习等功能。因此，当前教育AI市场的竞争已经不能简单概括为传统产品只会拍照搜题，人工智能也同样正在逐渐进入诊断、答疑和个性化学习过程。</w:t>
      </w:r>
    </w:p>
    <w:p>
      <w:pPr>
        <w:ind w:firstLine="440"/>
        <w:jc w:val="both"/>
      </w:pPr>
      <w:r>
        <w:rPr>
          <w:rFonts w:ascii="宋体" w:hAnsi="宋体" w:eastAsia="宋体"/>
          <w:color w:val="222222"/>
          <w:sz w:val="22"/>
        </w:rPr>
        <w:t>因此，本项目的差异化重点集中在以学生真实作答作为证据来驱动整个后续学习过程。系统通过自主构建的认知诊断与教学链路，从真实作答中定位首错和错误传播，进一步验证潜在根因，再将诊断结果直接用于教学策略选择和新题验证，最终把可靠学习证据沉淀为长期认知状态，形成感知—诊断—教学—验证—建模—干预的连续人工智能闭环。</w:t>
      </w:r>
    </w:p>
    <w:p>
      <w:pPr>
        <w:ind w:firstLine="440"/>
        <w:jc w:val="both"/>
      </w:pPr>
      <w:r>
        <w:rPr>
          <w:rFonts w:ascii="宋体" w:hAnsi="宋体" w:eastAsia="宋体"/>
          <w:color w:val="222222"/>
          <w:sz w:val="22"/>
        </w:rPr>
        <w:t>现有产品各有明确优势：纸质错题本低成本、可自由书写；题库与拍照搜题产品具有丰富内容资源和快速解析能力；学习机与自适应系统能够形成练习推荐；通用大模型具备灵活对话和内容生成能力。错题帮不回避这些成熟能力，而是选择以“学生真实作答证据驱动的长期认知修复”为差异化焦点，把首错定位、根因验证、工具调用、迁移验证和长期状态安全门连接起来。</w:t>
      </w:r>
    </w:p>
    <w:p>
      <w:pPr>
        <w:pStyle w:val="5"/>
      </w:pPr>
      <w:r>
        <w:t>1.2.4 项目价值与可信边界</w:t>
      </w:r>
    </w:p>
    <w:p>
      <w:pPr>
        <w:ind w:firstLine="440"/>
        <w:jc w:val="both"/>
      </w:pPr>
      <w:r>
        <w:rPr>
          <w:rFonts w:ascii="宋体" w:hAnsi="宋体" w:eastAsia="宋体"/>
          <w:color w:val="222222"/>
          <w:sz w:val="22"/>
        </w:rPr>
        <w:t>从学生学习价值来看，错题帮希望减少学习过程中记录了很多错题，却没有真正解决错误的现象。系统将学生原有的错题数据进一步转化为错误位置、错误原因、知识薄弱点和掌握变化等可利用的学习证据，使学生能够把更多时间投入到理解错误和重新验证上。对于长期积累的大量错题，系统进一步从重复题目中提取相对稳定的错误模式，使复习重点从单纯地复习错题转向真正了解知识漏洞。</w:t>
      </w:r>
    </w:p>
    <w:p>
      <w:r>
        <w:br w:type="page"/>
      </w:r>
    </w:p>
    <w:p>
      <w:pPr>
        <w:ind w:firstLine="440"/>
        <w:jc w:val="both"/>
      </w:pPr>
      <w:r>
        <w:rPr>
          <w:rFonts w:ascii="宋体" w:hAnsi="宋体" w:eastAsia="宋体"/>
          <w:color w:val="222222"/>
          <w:sz w:val="22"/>
        </w:rPr>
        <w:t>从个性化学习价值来看，系统把一次错题的诊断结果与后续教学、练习及长期状态连续连接，使同一道知识点对于不同学生能够产生不同的学习路径。学生已经掌握的内容可以减少重复训练，仍然存在问题的内容则通过新的练习继续验证。这与知识追踪研究中依据连续学习行为估计知识状态的基本思想相一致[6]。也符合间隔学习和检索练习强调通过持续提取与再次学习提高长期保持效果的研究结论[7]。</w:t>
      </w:r>
    </w:p>
    <w:p>
      <w:pPr>
        <w:ind w:firstLine="440"/>
        <w:jc w:val="both"/>
      </w:pPr>
      <w:r>
        <w:rPr>
          <w:rFonts w:ascii="宋体" w:hAnsi="宋体" w:eastAsia="宋体"/>
          <w:color w:val="222222"/>
          <w:sz w:val="22"/>
        </w:rPr>
        <w:t>从教师教学价值来看，系统长期记录的错因和掌握状态可以为传统的正确率统计增加过程层信息。例如，两名学生可能在同一道题上均作答错误，但一个源于概念理解偏差，另一个只是运算失误；这类差异对于后续教学具有不同意义。经过聚合后的班级薄弱知识和高频错误模式可以作为教师调整讲解重点、组织针对性练习和开展个别辅导的辅助依据。</w:t>
      </w:r>
    </w:p>
    <w:p>
      <w:pPr>
        <w:ind w:firstLine="440"/>
        <w:jc w:val="both"/>
      </w:pPr>
      <w:r>
        <w:rPr>
          <w:rFonts w:ascii="宋体" w:hAnsi="宋体" w:eastAsia="宋体"/>
          <w:color w:val="222222"/>
          <w:sz w:val="22"/>
        </w:rPr>
        <w:t>同时，教育场景中的人工智能需要保持可控和可信。UNESCO关于生成式人工智能教育应用的指导强调，应以学习者利益和人的主体性为中心，对人工智能工具进行教学适用性和伦理验证。因此，本项目在设计中保留学生对识别和诊断结果的修正能力，并通过多来源判定和学习状态安全门减少不可靠AI结果对长期学习画像的影响，通过可修正的多模态输入、工具验证和学习状态安全门，使人工智能诊断结果能够被检查、被追溯并在证据不足时拒绝进入长期学习状态。</w:t>
      </w:r>
    </w:p>
    <w:p>
      <w:pPr>
        <w:ind w:firstLine="440"/>
        <w:jc w:val="both"/>
      </w:pPr>
      <w:r>
        <w:rPr>
          <w:rFonts w:ascii="宋体" w:hAnsi="宋体" w:eastAsia="宋体"/>
          <w:color w:val="222222"/>
          <w:sz w:val="22"/>
        </w:rPr>
        <w:t>项目价值不以替代教师为前提。智能体负责在高频错题场景中完成结构化整理、候选诊断、针对教学和证据留痕；当图像质量不足、模型与规则冲突或主观题证据不充分时，系统允许拒判、学生修正和教师复核。这样的边界既提高产品可信度，也使后续正式评测能够区分模型能力、工具能力和人工判断的贡献。</w:t>
      </w:r>
    </w:p>
    <w:p>
      <w:pPr>
        <w:pStyle w:val="5"/>
      </w:pPr>
      <w:r>
        <w:t>1.2.5 一个核心智能体：错因驱动的长期认知记忆教学智能体</w:t>
      </w:r>
    </w:p>
    <w:p>
      <w:r>
        <w:br w:type="page"/>
      </w:r>
    </w:p>
    <w:p>
      <w:pPr>
        <w:ind w:firstLine="440"/>
        <w:jc w:val="both"/>
      </w:pPr>
      <w:r>
        <w:rPr>
          <w:rFonts w:ascii="宋体" w:hAnsi="宋体" w:eastAsia="宋体"/>
          <w:color w:val="222222"/>
          <w:sz w:val="22"/>
        </w:rPr>
        <w:t>核心智能体以错因为教学锚点，并把单题证据写入可追溯的长期认知记忆。它不把图片、题目文本、学生步骤、诊断、教学会话和复习记录分散为孤立页面，而是把它们用题目 ID、会话 ID、证据记录和时间戳连接起来。题目从上传开始即有原始资源；裁剪、清洁、区域识别、人工确认形成可用的题面与过程描述；分析与诊断形成可解释判断；教学、迁移与复习再向认知状态写入新证据。</w:t>
      </w:r>
    </w:p>
    <w:p>
      <w:pPr>
        <w:ind w:firstLine="440"/>
        <w:jc w:val="both"/>
      </w:pPr>
      <w:r>
        <w:rPr>
          <w:rFonts w:ascii="宋体" w:hAnsi="宋体" w:eastAsia="宋体"/>
          <w:color w:val="222222"/>
          <w:sz w:val="22"/>
        </w:rPr>
        <w:t>错题学习体解决两个常见断裂：一是“看图识题”与“实际书写过程”断裂，二是“诊断报告”与“下一步行动”断裂。前者通过原图、派生图和人工确认共同处理，后者通过状态化教学、教回、变式题和复习计划共同处理。任何一步不确定时，均应保留不确定性和证据来源，而不是用看似完整的语言掩盖缺口。</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1-3 待替换】传统错题工具与错题帮认知修复流程对比</w:t>
            </w:r>
          </w:p>
          <w:p>
            <w:pPr>
              <w:pStyle w:val="FigureNote"/>
              <w:ind w:left="142" w:right="142"/>
            </w:pPr>
            <w:r>
              <w:rPr>
                <w:rFonts w:ascii="宋体" w:hAnsi="宋体" w:eastAsia="宋体"/>
                <w:b/>
                <w:color w:val="0F172A"/>
                <w:sz w:val="18"/>
              </w:rPr>
              <w:t>建议形式：</w:t>
            </w:r>
            <w:r>
              <w:rPr>
                <w:rFonts w:ascii="宋体" w:hAnsi="宋体" w:eastAsia="宋体"/>
                <w:color w:val="64748B"/>
                <w:sz w:val="18"/>
              </w:rPr>
              <w:t>左右对比图；两条流程等宽排列，突出能力差异，不使用装饰性素材</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围绕“传统错题工具与错题帮认知修复流程对比”只表达正文已经论证的关系，节点文案简短，避免机器人、芯片、大脑、3D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传统错题本；拍照搜题；错题帮</w:t>
            </w:r>
          </w:p>
        </w:tc>
      </w:tr>
    </w:tbl>
    <w:p>
      <w:pPr>
        <w:spacing w:after="160"/>
        <w:jc w:val="center"/>
      </w:pPr>
      <w:r>
        <w:rPr>
          <w:rFonts w:ascii="宋体" w:hAnsi="宋体" w:eastAsia="宋体"/>
          <w:color w:val="64748B"/>
          <w:sz w:val="20"/>
        </w:rPr>
        <w:t>图 1-3  传统错题工具与错题帮认知修复流程对比（定稿时替换上方说明框）</w:t>
      </w:r>
    </w:p>
    <w:p>
      <w:pPr>
        <w:pStyle w:val="5"/>
      </w:pPr>
      <w:r>
        <w:t>1.2.6 两个闭环：单题认知修复闭环与长期主动防错闭环</w:t>
      </w:r>
    </w:p>
    <w:p>
      <w:pPr>
        <w:ind w:firstLine="440"/>
        <w:jc w:val="both"/>
      </w:pPr>
      <w:r>
        <w:rPr>
          <w:rFonts w:ascii="宋体" w:hAnsi="宋体" w:eastAsia="宋体"/>
          <w:color w:val="222222"/>
          <w:sz w:val="22"/>
        </w:rPr>
        <w:t>第一环是单题认知修复闭环：上传与确认后，系统生成或补充参考路径，比较学生步骤，定位首错点；随后根据会话状态给出局部提示、解释、图示或策略切换；学生通过教回、近迁移和远迁移提交新作答，进入复习安排。该环强调单次学习过程的完成度。</w:t>
      </w:r>
    </w:p>
    <w:p>
      <w:r>
        <w:br w:type="page"/>
      </w:r>
    </w:p>
    <w:p>
      <w:pPr>
        <w:ind w:firstLine="440"/>
        <w:jc w:val="both"/>
      </w:pPr>
      <w:r>
        <w:rPr>
          <w:rFonts w:ascii="宋体" w:hAnsi="宋体" w:eastAsia="宋体"/>
          <w:color w:val="222222"/>
          <w:sz w:val="22"/>
        </w:rPr>
        <w:t>第二环是长期主动防错闭环：系统将本次首错点、错因、提示等级、教回与迁移结果转换为掌握度、错因概率、遗忘风险和复习任务的更新；后续题目又以这些状态作为检索、教学和提醒的输入。认知状态不是给学生贴永久标签，而是随证据改变的估计。当前实现将分数约束在 0 到 1 之间，并保存旧值、新值、理由和原始证据。</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1-4 待替换】四类用户应用场景与价值关系</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围绕“四类用户应用场景与价值关系”只表达正文已经论证的关系，节点文案简短，避免机器人、芯片、大脑、3D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学生端；教师端；家长端；管理员只读工作台</w:t>
            </w:r>
          </w:p>
        </w:tc>
      </w:tr>
    </w:tbl>
    <w:p>
      <w:pPr>
        <w:spacing w:after="160"/>
        <w:jc w:val="center"/>
      </w:pPr>
      <w:r>
        <w:rPr>
          <w:rFonts w:ascii="宋体" w:hAnsi="宋体" w:eastAsia="宋体"/>
          <w:color w:val="64748B"/>
          <w:sz w:val="20"/>
        </w:rPr>
        <w:t>图 1-4  四类用户应用场景与价值关系（定稿时替换上方说明框）</w:t>
      </w:r>
    </w:p>
    <w:p>
      <w:pPr>
        <w:pStyle w:val="5"/>
      </w:pPr>
      <w:r>
        <w:t>1.2.7 三个引擎：可信诊断、工具执行与主动干预</w:t>
      </w:r>
    </w:p>
    <w:p>
      <w:pPr>
        <w:ind w:firstLine="440"/>
        <w:jc w:val="both"/>
      </w:pPr>
      <w:r>
        <w:rPr>
          <w:rFonts w:ascii="宋体" w:hAnsi="宋体" w:eastAsia="宋体"/>
          <w:color w:val="222222"/>
          <w:sz w:val="22"/>
        </w:rPr>
        <w:t>三个引擎不是三个彼此独立的模型，而是三个可审计的能力层。多模态学习证据与可信诊断引擎把题图、区域与文本转换为结构化对象、交由人工确认，并把参考路径和学生路径对齐以寻找首错点；动态教学决策与工具执行引擎根据会话阶段、错因和前序反馈选择教学动作、图示类型与变式练习；证据门控的长期认知记忆与主动干预引擎根据掌握状态、迁移与复习证据更新风险和计划。三者通过明确的 Pydantic 数据结构传递，不以自由文本作为唯一接口[4]。</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引擎</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核心输入</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核心输出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约束</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多模态学习证据与可信诊断</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原图、裁剪图、图像派生物、参考与学生步骤</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题干、步骤、区域、首错点、根因、传播证据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结构化输出校验，允许人工修改，数学结论尽量经 SymPy 验证</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动态教学决策与工具执行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诊断、会话状态、练习结果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提示、教回、图示、迁移、复习动作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状态机、工具记录和受控图示</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证据门控的长期认知记忆与主动干预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掌握状态、错因、迁移与复习证据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风险、认知更新、主动干预与复习计划</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保存旧值、新值、理由和证据</w:t>
            </w:r>
          </w:p>
        </w:tc>
      </w:tr>
    </w:tbl>
    <w:p>
      <w:pPr>
        <w:spacing w:after="20"/>
      </w:pP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1-5 待替换】错题帮主要功能界面总览</w:t>
            </w:r>
          </w:p>
          <w:p>
            <w:pPr>
              <w:pStyle w:val="FigureNote"/>
              <w:ind w:left="142" w:right="142"/>
            </w:pPr>
            <w:r>
              <w:rPr>
                <w:rFonts w:ascii="宋体" w:hAnsi="宋体" w:eastAsia="宋体"/>
                <w:b/>
                <w:color w:val="0F172A"/>
                <w:sz w:val="18"/>
              </w:rPr>
              <w:t>建议形式：</w:t>
            </w:r>
            <w:r>
              <w:rPr>
                <w:rFonts w:ascii="宋体" w:hAnsi="宋体" w:eastAsia="宋体"/>
                <w:color w:val="64748B"/>
                <w:sz w:val="18"/>
              </w:rPr>
              <w:t>真实系统截图组；使用同一测试记录、统一裁切比例和简洁设备框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选取能直接证明“错题帮主要功能界面总览”的核心状态，不展示空页面、重复菜单或与正文无关的列表。</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10.2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frontend/src/pages/index/index.vue；frontend/src/pages/capture/capture.vue；frontend/src/pages/diagnosis/diagnosis.vue；frontend/src/pages/tutor/tutor.vue；frontend/src/pages/analysis/analysis.vue；frontend/src/pages/admin/workbench.vue</w:t>
            </w:r>
          </w:p>
        </w:tc>
      </w:tr>
    </w:tbl>
    <w:p>
      <w:pPr>
        <w:spacing w:after="160"/>
        <w:jc w:val="center"/>
      </w:pPr>
      <w:r>
        <w:rPr>
          <w:rFonts w:ascii="宋体" w:hAnsi="宋体" w:eastAsia="宋体"/>
          <w:color w:val="64748B"/>
          <w:sz w:val="20"/>
        </w:rPr>
        <w:t>图 1-5  错题帮主要功能界面总览（定稿时替换上方说明框）</w:t>
      </w:r>
    </w:p>
    <w:p>
      <w:pPr>
        <w:pStyle w:val="4"/>
      </w:pPr>
      <w:r>
        <w:t>1.3 所需支持</w:t>
      </w:r>
    </w:p>
    <w:p>
      <w:pPr>
        <w:ind w:firstLine="440"/>
        <w:jc w:val="both"/>
      </w:pPr>
      <w:r>
        <w:rPr>
          <w:rFonts w:ascii="宋体" w:hAnsi="宋体" w:eastAsia="宋体"/>
          <w:color w:val="222222"/>
          <w:sz w:val="22"/>
        </w:rPr>
        <w:t>错题帮需要持续获得三类支持：一是经授权、可追溯的题目与学习过程数据，用于完善不同学科和题型的覆盖；二是教学专家参与的标注、盲评和干预设计，用于检验首错诊断和教学策略；三是稳定的本地运行、检索和模型服务环境，用于复现实验。任何对外数据接入都应先完成许可、用途、保存期限和访问范围核验。</w:t>
      </w:r>
    </w:p>
    <w:p>
      <w:pPr>
        <w:pStyle w:val="5"/>
      </w:pPr>
      <w:r>
        <w:t>1.3.1 支持清单与保障路径</w:t>
      </w:r>
    </w:p>
    <w:p>
      <w:r>
        <w:br w:type="page"/>
      </w:r>
    </w:p>
    <w:p>
      <w:pPr>
        <w:ind w:firstLine="440"/>
        <w:jc w:val="both"/>
      </w:pPr>
      <w:r>
        <w:rPr>
          <w:rFonts w:ascii="宋体" w:hAnsi="宋体" w:eastAsia="宋体"/>
          <w:color w:val="222222"/>
          <w:sz w:val="22"/>
        </w:rPr>
        <w:t>算力方面，系统把需要大模型完成的视觉理解、语言理解与教学生成通过 API 池提交给远端 Qwen3.6-35B-A3B；本地环境不依赖 NVIDIA GPU，主要承担 FastAPI 业务服务、MySQL 事务、图片方向修正与基础处理、SymPy 数学验证以及前端资源服务。这样的部署方式能够在现有硬件条件下维持完整演示，同时把模型提供方波动纳入线路轮询、失败跳过和状态展示。参赛期间需要保证模型 API 的稳定额度，并准备可复现的固定案例以应对临时网络波动。</w:t>
      </w:r>
    </w:p>
    <w:p>
      <w:pPr>
        <w:ind w:firstLine="440"/>
        <w:jc w:val="both"/>
      </w:pPr>
      <w:r>
        <w:rPr>
          <w:rFonts w:ascii="宋体" w:hAnsi="宋体" w:eastAsia="宋体"/>
          <w:color w:val="222222"/>
          <w:sz w:val="22"/>
        </w:rPr>
        <w:t>数据方面，公开题库能够支持检索链路和基础题型覆盖，却不能替代真实学习过程。正式评测仍需要获得经过授权和脱敏的学生作答样本，样本至少应包含原题、最终答案、可辨认的步骤或草稿、人工标注的首错位置以及错因判断。对于没有过程的选择题和填空题，应把任务定义为“答案差异解释”或“题目解析”，不得虚构学生思维步骤。对于证据冲突或书写模糊的样本，应保留“不足以判断”的标签。</w:t>
      </w:r>
    </w:p>
    <w:p>
      <w:pPr>
        <w:ind w:firstLine="440"/>
        <w:jc w:val="both"/>
      </w:pPr>
      <w:r>
        <w:rPr>
          <w:rFonts w:ascii="宋体" w:hAnsi="宋体" w:eastAsia="宋体"/>
          <w:color w:val="222222"/>
          <w:sz w:val="22"/>
        </w:rPr>
        <w:t>行业知识方面，需要数学、物理、化学及文史类教学人员共同制定标注规范、争议裁决规则和解释质量量表。标注不只记录答案是否正确，还应区分概念理解、条件遗漏、关系建模、规则调用、符号运算、计算执行和表达不完整等层次。针对同一错误，评审者还需判断系统给出的教学动作是否真正对应首错，而不是重新讲完整题目。上述工作将直接影响根因 Macro-F1、教师一致性和教学可行动性等核心指标。</w:t>
      </w:r>
    </w:p>
    <w:p>
      <w:pPr>
        <w:ind w:firstLine="440"/>
        <w:jc w:val="both"/>
      </w:pPr>
      <w:r>
        <w:rPr>
          <w:rFonts w:ascii="宋体" w:hAnsi="宋体" w:eastAsia="宋体"/>
          <w:color w:val="222222"/>
          <w:sz w:val="22"/>
        </w:rPr>
        <w:t>工程与合规方面，需要持续完善上传内容的最小化保存、访问权限、日志脱敏、撤回机制和备份策略。项目展示使用的题图和学生画像必须经过脱敏，管理员工作台只读展示公开行动计划、工具结果和证据引用，不展示模型内部思维链、密钥或原始敏感字段。后续若进入更大规模试用，还需要补充未成年人授权、数据影响评估、教师复核流程和异常内容处理规范。</w:t>
      </w:r>
    </w:p>
    <w:p>
      <w:pPr>
        <w:pStyle w:val="5"/>
      </w:pPr>
      <w:r>
        <w:t>1.3.2 教学价值</w:t>
      </w:r>
    </w:p>
    <w:p>
      <w:r>
        <w:br w:type="page"/>
      </w:r>
    </w:p>
    <w:p>
      <w:pPr>
        <w:ind w:firstLine="440"/>
        <w:jc w:val="both"/>
      </w:pPr>
      <w:r>
        <w:rPr>
          <w:rFonts w:ascii="宋体" w:hAnsi="宋体" w:eastAsia="宋体"/>
          <w:color w:val="222222"/>
          <w:sz w:val="22"/>
        </w:rPr>
        <w:t>项目将“错题”从静态收藏转为动态证据单元。对学生而言，首错点与局部提示减少了“整份解析都看完却不知道哪里需要改”的负担；教回和迁移把“看懂”转换为可观察的输出。对教学支持者而言，掌握度与错因状态附带证据和更新时间，便于理解变化来自哪一次学习，而不是只看到一个孤立分数。对后续研究而言，系统沉淀了“输入—诊断—干预—结果”链路，能够支持更加严谨的评测设计。</w:t>
      </w:r>
    </w:p>
    <w:p>
      <w:pPr>
        <w:pStyle w:val="5"/>
      </w:pPr>
      <w:r>
        <w:t>1.3.3 技术可行性</w:t>
      </w:r>
    </w:p>
    <w:p>
      <w:pPr>
        <w:ind w:firstLine="440"/>
        <w:jc w:val="both"/>
      </w:pPr>
      <w:r>
        <w:rPr>
          <w:rFonts w:ascii="宋体" w:hAnsi="宋体" w:eastAsia="宋体"/>
          <w:color w:val="222222"/>
          <w:sz w:val="22"/>
        </w:rPr>
        <w:t>当前代码已形成 Vue 3 + uni-app／uni-ui 前端、FastAPI 后端和 MySQL 数据持久化的本地架构[11-14]。后端使用 SQLAlchemy 与 Alembic 管理数据模型；图像处理使用 OpenCV；结构化模型输出使用 Pydantic；受控图示在前端通过本地白名单校验函数与 Canvas 渲染。模型请求经 ApiPoolProvider 管理条目选择、失败跳过与状态记录，逻辑模型固定为 Qwen3.6-35B-A3B。检索部分支持 BGE-M3 向量、稀疏词权重、Qdrant RRF 融合及 BGE 重排[15-18]。上述选择优先服务于可运行、可验证和可追踪，而非追求概念堆叠。</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1-6 待替换】云端大模型与本地业务服务协同部署</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围绕“云端大模型与本地业务服务协同部署”只表达正文已经论证的关系，节点文案简短，避免机器人、芯片、大脑、3D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8.8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Qwen3.6-35B-A3B API 池；FastAPI；MySQL；Qdrant；SymPy</w:t>
            </w:r>
          </w:p>
        </w:tc>
      </w:tr>
    </w:tbl>
    <w:p>
      <w:pPr>
        <w:spacing w:after="160"/>
        <w:jc w:val="center"/>
      </w:pPr>
      <w:r>
        <w:rPr>
          <w:rFonts w:ascii="宋体" w:hAnsi="宋体" w:eastAsia="宋体"/>
          <w:color w:val="64748B"/>
          <w:sz w:val="20"/>
        </w:rPr>
        <w:t>图 1-6  云端大模型与本地业务服务协同部署（定稿时替换上方说明框）</w:t>
      </w:r>
    </w:p>
    <w:p>
      <w:r>
        <w:br w:type="page"/>
      </w:r>
    </w:p>
    <w:p>
      <w:pPr>
        <w:pStyle w:val="5"/>
      </w:pPr>
      <w:r>
        <w:t>1.3.4 数据与伦理边界</w:t>
      </w:r>
    </w:p>
    <w:p>
      <w:pPr>
        <w:ind w:firstLine="440"/>
        <w:jc w:val="both"/>
      </w:pPr>
      <w:r>
        <w:rPr>
          <w:rFonts w:ascii="宋体" w:hAnsi="宋体" w:eastAsia="宋体"/>
          <w:color w:val="222222"/>
          <w:sz w:val="22"/>
        </w:rPr>
        <w:t>题图、书写过程和学习状态具有敏感性。项目坚持最小化使用原则：原图用于当前学习链路，派生图服务于识别和解释，交互记录服务于回溯与更新；业务页面数据应来自后端与 MySQL，演示种子数据不得混淆为真实学习结论。外部题库只在许可与用途范围内使用。CMM-Math、CMMU 与 M3KE 的许可均未在当前材料中完成可靠核验，其中 M3KE 的许可状态明确为未声明；三者在完成来源和许可核验前均不得对外展示、再分发或作为竞赛材料的数据有效性依据[15]。</w:t>
      </w:r>
    </w:p>
    <w:p>
      <w:pPr>
        <w:pStyle w:val="5"/>
      </w:pPr>
      <w:r>
        <w:t>1.3.5 原型验证定位</w:t>
      </w:r>
    </w:p>
    <w:p>
      <w:pPr>
        <w:ind w:firstLine="440"/>
        <w:jc w:val="both"/>
      </w:pPr>
      <w:r>
        <w:rPr>
          <w:rFonts w:ascii="宋体" w:hAnsi="宋体" w:eastAsia="宋体"/>
          <w:color w:val="222222"/>
          <w:sz w:val="22"/>
        </w:rPr>
        <w:t>现有验证对“是否跑通”提供了正向证据：固定图片能够完成处理，固定诊断案例能够返回预期步骤和类型，教学状态分支、端到端流程与受控图示均有记录。但这些样本是为功能回归构造或筛选的，数量有限，部分公共题还采用模拟批注；它们不能代表真实学生群体、不同设备、不同书写质量和长期学习周期。因此，本文将现有数值统一标注为小规模原型验证，并在第三章提出需要样本划分、盲评、置信区间和对照组的正式实验方案。</w:t>
      </w:r>
    </w:p>
    <w:p>
      <w:pPr>
        <w:pStyle w:val="5"/>
      </w:pPr>
      <w:r>
        <w:t>1.3.6 本章小结</w:t>
      </w:r>
    </w:p>
    <w:p>
      <w:pPr>
        <w:ind w:firstLine="440"/>
        <w:jc w:val="both"/>
      </w:pPr>
      <w:r>
        <w:rPr>
          <w:rFonts w:ascii="宋体" w:hAnsi="宋体" w:eastAsia="宋体"/>
          <w:color w:val="222222"/>
          <w:sz w:val="22"/>
        </w:rPr>
        <w:t>错题帮以过程证据而非单一正误作为核心单位，通过一体双环三引擎把拍题、确认、诊断、教学、迁移和复习连接起来。第一章明确了项目的用户价值、功能边界、技术基础和证据立场。下一章将展开总体架构、数据流、三引擎实现与安全约束。</w:t>
      </w:r>
    </w:p>
    <w:p>
      <w:r>
        <w:br w:type="page"/>
      </w:r>
    </w:p>
    <w:p>
      <w:pPr>
        <w:pStyle w:val="2"/>
        <w:spacing w:before="0"/>
      </w:pPr>
      <w:r>
        <w:t>2 项目规划</w:t>
      </w:r>
    </w:p>
    <w:p>
      <w:pPr>
        <w:pStyle w:val="4"/>
      </w:pPr>
      <w:r>
        <w:t>2.1 整体目标</w:t>
      </w:r>
    </w:p>
    <w:p>
      <w:pPr>
        <w:ind w:firstLine="440"/>
        <w:jc w:val="both"/>
      </w:pPr>
      <w:r>
        <w:rPr>
          <w:rFonts w:ascii="宋体" w:hAnsi="宋体" w:eastAsia="宋体"/>
          <w:color w:val="222222"/>
          <w:sz w:val="22"/>
        </w:rPr>
        <w:t>项目整体目标是建立一个以过程证据为核心的错题学习体：让一题从上传到复习形成连续记录，让诊断能落到首错步骤，让教学决策能因教回和迁移结果而调整，让长期认知状态有来源可查。交付上以本地单用户功能正确、数据可追溯、模型输出可校验、页面只消费受控数据为优先；评测上以区分原型链路验证和正式教育效果验证为底线。</w:t>
      </w:r>
    </w:p>
    <w:p>
      <w:pPr>
        <w:ind w:firstLine="440"/>
        <w:jc w:val="both"/>
      </w:pPr>
      <w:r>
        <w:rPr>
          <w:rFonts w:ascii="宋体" w:hAnsi="宋体" w:eastAsia="宋体"/>
          <w:color w:val="222222"/>
          <w:sz w:val="22"/>
        </w:rPr>
        <w:t>参赛期间的产品目标是形成一套可连续演示、可由评委真实操作的学生端原型，并提供教师、家长和管理员辅助视图。学生能够从拍摄一道真实错题开始，完成框选、识别确认、作答补充、错因诊断、针对教学、互动演示、相似或迁移练习以及后续复习。界面强调学生当前最需要完成的动作，技术证据则通过折叠信息和管理员只读轨迹提供，不把复杂 JSON、模型术语或开发者字段直接暴露给普通学生。</w:t>
      </w:r>
    </w:p>
    <w:p>
      <w:pPr>
        <w:ind w:firstLine="440"/>
        <w:jc w:val="both"/>
      </w:pPr>
      <w:r>
        <w:rPr>
          <w:rFonts w:ascii="宋体" w:hAnsi="宋体" w:eastAsia="宋体"/>
          <w:color w:val="222222"/>
          <w:sz w:val="22"/>
        </w:rPr>
        <w:t>智能体能力目标是把赛题要求中的“环境感知、任务规划、自主决策、工具调用和行为验证”落实到教学场景。环境由当前题目、学生真实作答、诊断证据、教学阶段、历史掌握度和误区状态共同构成；智能体生成不超过四步的公开行动计划，并从知识检索、步骤对齐、受控可视化、重新诊断、答案展示和答案检查六类白名单工具中选择动作。工具结果必须返回约定证据，运行结果区分 verified、partial 与 rejected，无法形成足够证据时不得强行更新长期认知状态。</w:t>
      </w:r>
    </w:p>
    <w:p>
      <w:r>
        <w:br w:type="page"/>
      </w:r>
    </w:p>
    <w:p>
      <w:pPr>
        <w:ind w:firstLine="440"/>
        <w:jc w:val="both"/>
      </w:pPr>
      <w:r>
        <w:rPr>
          <w:rFonts w:ascii="宋体" w:hAnsi="宋体" w:eastAsia="宋体"/>
          <w:color w:val="222222"/>
          <w:sz w:val="22"/>
        </w:rPr>
        <w:t>AI Inference 目标分为输入理解、诊断推理、工具执行、可信判定、检索质量和端到端完成六个层次。正式评测计划报告多模态结构化字段准确率、首错 Top-1 准确率、根因分类 Macro-F1、工具选择准确率、工具执行成功率、证据契约完整率、可信判定精确率与主动拒判率、Recall@10、nDCG@10、任务完成率以及 P50/P95 推理延迟。当前固定样例只用于证明链路可运行，后续目标数值保留为可替换表格，并要求同时填写样本规模、数据划分和置信区间。</w:t>
      </w:r>
    </w:p>
    <w:p>
      <w:pPr>
        <w:ind w:firstLine="440"/>
        <w:jc w:val="both"/>
      </w:pPr>
      <w:r>
        <w:rPr>
          <w:rFonts w:ascii="宋体" w:hAnsi="宋体" w:eastAsia="宋体"/>
          <w:color w:val="222222"/>
          <w:sz w:val="22"/>
        </w:rPr>
        <w:t>教育验证目标是回答“学生是否只是看懂，还是能够独立迁移”。系统先通过一句关键理解检查或 Teach-back 获取学生对方法的表达，再用知识点和解题结构接近的新题测试近迁移，最后通过改变题型、叙述或应用场景测试远迁移。复习阶段继续观察延迟保持和提示依赖。对照实验将比较普通答案解析、静态针对讲解和完整智能体教学三种条件，避免把模型语言流畅度误当成学习效果。</w:t>
      </w:r>
    </w:p>
    <w:p>
      <w:pPr>
        <w:ind w:firstLine="440"/>
        <w:jc w:val="both"/>
      </w:pPr>
      <w:r>
        <w:rPr>
          <w:rFonts w:ascii="宋体" w:hAnsi="宋体" w:eastAsia="宋体"/>
          <w:color w:val="222222"/>
          <w:sz w:val="22"/>
        </w:rPr>
        <w:t>工程和可信目标是让每个关键结论都可追溯到输入与执行记录。原始上传图不得被清洁图覆盖；模型结构化输出必须通过 Pydantic 校验；可形式化的数学结论尽量交由 SymPy 复核；前端只消费本地白名单验证后的 VisualizationSpec JSON，不执行模型生成的 JavaScript；业务状态只写入 MySQL；模型请求统一经过 ApiPoolProvider。通过这些约束，项目能够清楚说明大模型负责什么、规则和工具负责什么、人工在何处确认。</w:t>
      </w:r>
    </w:p>
    <w:p>
      <w:pPr>
        <w:pStyle w:val="5"/>
      </w:pPr>
      <w:r>
        <w:t>2.1.1 总体架构与设计原则</w:t>
      </w:r>
    </w:p>
    <w:p>
      <w:pPr>
        <w:ind w:firstLine="440"/>
        <w:jc w:val="both"/>
      </w:pPr>
      <w:r>
        <w:rPr>
          <w:rFonts w:ascii="宋体" w:hAnsi="宋体" w:eastAsia="宋体"/>
          <w:color w:val="222222"/>
          <w:sz w:val="22"/>
        </w:rPr>
        <w:t>系统采用“前端交互层—业务服务层—证据与状态层—智能能力层”的分层结构。前端承担上传、确认、学习对话、图示交互、分析查看与聚合报告；业务服务层负责鉴权、流程编排、领域规则与接口封装；证据与状态层由 MySQL、文件存储及可选检索索引共同组成；智能能力层提供经约束的多模态识别、文本生成、数学验证、向量检索与语音能力。分层的目的不是追求形式上的复杂，而是让每一个学习结论可以追到相应的数据和服务。</w:t>
      </w:r>
    </w:p>
    <w:p>
      <w:r>
        <w:br w:type="page"/>
      </w:r>
    </w:p>
    <w:p>
      <w:pPr>
        <w:ind w:firstLine="440"/>
        <w:jc w:val="both"/>
      </w:pPr>
      <w:r>
        <w:rPr>
          <w:rFonts w:ascii="宋体" w:hAnsi="宋体" w:eastAsia="宋体"/>
          <w:color w:val="222222"/>
          <w:sz w:val="22"/>
        </w:rPr>
        <w:t>设计遵循五项原则。其一，原始优先：原始上传图始终独立保存。其二，人机协作：模型识别后的题干、公式、步骤与批注均可确认和修订。其三，结构化优先：跨服务传递的关键结果使用 Pydantic 模型校验。其四，证据优先：掌握度变化、诊断与复习都保存理由和上下文。其五，最小执行面：模型生成的内容不获得浏览器脚本执行权，前端只消费可验证的图示规格。</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2-1 待替换】项目整体目标与可量化指标层次</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围绕“项目整体目标与可量化指标层次”只表达正文已经论证的关系，节点文案简短，避免机器人、芯片、大脑、3D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产品原型目标；智能体能力目标；AI Inference 目标；可信工程目标</w:t>
            </w:r>
          </w:p>
        </w:tc>
      </w:tr>
    </w:tbl>
    <w:p>
      <w:pPr>
        <w:spacing w:after="160"/>
        <w:jc w:val="center"/>
      </w:pPr>
      <w:r>
        <w:rPr>
          <w:rFonts w:ascii="宋体" w:hAnsi="宋体" w:eastAsia="宋体"/>
          <w:color w:val="64748B"/>
          <w:sz w:val="20"/>
        </w:rPr>
        <w:t>图 2-1  项目整体目标与可量化指标层次（定稿时替换上方说明框）</w:t>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层级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主要组件</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职责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关键约束</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交互层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Vue 3、uni-app／uni-ui、Canvas</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表单、学习流程、图示、报告</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页面数据来自后端与 MySQL</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业务服务层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FastAPI、领域服务、状态编排</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接口、规则、异步图片处理、教学流程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输入输出按 Schema 校验</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证据状态层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MySQL、文件资源、Alembic</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对象关系、时间线、审计与聚合</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不采用 SQLite 回退</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智能能力层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ApiPoolProvider、SymPy、检索、语音</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受约束推理、校验、候选召回与转写</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模型池轮询，模型名固定</w:t>
            </w:r>
          </w:p>
        </w:tc>
      </w:tr>
    </w:tbl>
    <w:p>
      <w:pPr>
        <w:spacing w:after="20"/>
      </w:pPr>
    </w:p>
    <w:p>
      <w:pPr>
        <w:pStyle w:val="4"/>
      </w:pPr>
      <w:r>
        <w:t>2.2 技术创新点</w:t>
      </w:r>
    </w:p>
    <w:p>
      <w:r>
        <w:br w:type="page"/>
      </w:r>
    </w:p>
    <w:p>
      <w:pPr>
        <w:ind w:firstLine="440"/>
        <w:jc w:val="both"/>
      </w:pPr>
      <w:r>
        <w:rPr>
          <w:rFonts w:ascii="宋体" w:hAnsi="宋体" w:eastAsia="宋体"/>
          <w:color w:val="222222"/>
          <w:sz w:val="22"/>
        </w:rPr>
        <w:t>技术创新不以堆叠组件为目标，而在于将多模态学习证据与可信诊断、动态教学决策与工具执行、证据门控的长期认知记忆与主动干预组织为同一条可验证的证据链。以下从数据流、三引擎、检索图示和可追溯性说明其实现。</w:t>
      </w:r>
    </w:p>
    <w:p>
      <w:pPr>
        <w:ind w:firstLine="440"/>
        <w:jc w:val="both"/>
      </w:pPr>
      <w:r>
        <w:rPr>
          <w:rFonts w:ascii="宋体" w:hAnsi="宋体" w:eastAsia="宋体"/>
          <w:color w:val="222222"/>
          <w:sz w:val="22"/>
        </w:rPr>
        <w:t>第一项创新是多模态学习证据驱动的首错定位与反事实式根因验证。传统拍照搜题通常把图像转成题目文本后即进入标准解题，学生作答只作为一个最终答案字段；错题帮则将题干、选项、公式、题图、学生最终答案、书写步骤、草图和教师批注分别结构化，并保留它们与原图区域的关系。系统将学生步骤与参考路径对齐，区分正确步骤、首个错误、传播错误、独立错误和漏步。诊断后只修改被怀疑为根因的第一处错误，尽量保持学生后续路径不变，再检查推导是否恢复；该机制被审慎地称为“反事实式根因验证”，不夸大为严格因果推断。</w:t>
      </w:r>
    </w:p>
    <w:p>
      <w:pPr>
        <w:ind w:firstLine="440"/>
        <w:jc w:val="both"/>
      </w:pPr>
      <w:r>
        <w:rPr>
          <w:rFonts w:ascii="宋体" w:hAnsi="宋体" w:eastAsia="宋体"/>
          <w:color w:val="222222"/>
          <w:sz w:val="22"/>
        </w:rPr>
        <w:t>第二项创新是长期认知记忆驱动的动态规划和受限工具调用。多数对话式教学产品只根据当前一句话生成下一句回复，难以记住学生长期出现的误区，也无法说明为何选择某种教学动作。错题帮在每轮决策前读取 MasteryState、MisconceptionState、CognitiveUpdate 和 ReviewPlan 形成记忆快照，再结合当前题目和交互状态生成公开计划。工具只从白名单注册表中选择，答案展示还必须满足学生明确意图约束。即使模型规划失败，系统也会采用确定性降级计划，以保证教学流程仍可继续并且行为边界可审计。</w:t>
      </w:r>
    </w:p>
    <w:p>
      <w:pPr>
        <w:ind w:firstLine="440"/>
        <w:jc w:val="both"/>
      </w:pPr>
      <w:r>
        <w:rPr>
          <w:rFonts w:ascii="宋体" w:hAnsi="宋体" w:eastAsia="宋体"/>
          <w:color w:val="222222"/>
          <w:sz w:val="22"/>
        </w:rPr>
        <w:t>第三项创新是规则、SymPy 与大模型交叉验证的学习状态安全门。系统不把“模型说学生答对了”直接等同于掌握度上升，而是按题型选择验证器：选择题进行选项集合精确比较，数学题进行表达式归一化与 SymPy 等价验证，数值题检查数值和单位，证明题与主观题检查关键步骤和结论。规则、工具与模型结论一致时才能形成高置信证据；冲突时结果进入可能正确或需要复核状态，并阻止长期状态更新。该机制把教育产品中的风险从“偶尔回答错误”进一步扩展到“错误判断污染长期画像”，对应采取更严格的门控措施。</w:t>
      </w:r>
    </w:p>
    <w:p>
      <w:r>
        <w:br w:type="page"/>
      </w:r>
    </w:p>
    <w:p>
      <w:pPr>
        <w:ind w:firstLine="440"/>
        <w:jc w:val="both"/>
      </w:pPr>
      <w:r>
        <w:rPr>
          <w:rFonts w:ascii="宋体" w:hAnsi="宋体" w:eastAsia="宋体"/>
          <w:color w:val="222222"/>
          <w:sz w:val="22"/>
        </w:rPr>
        <w:t>第四项创新是真实题库近迁移—远迁移验证与受控交互可视化。教学完成后，系统不立即宣布学生掌握，而是用 BGE-M3 稠密与稀疏表示、Qdrant 混合召回、RRF 融合、BGE reranker 精排、题型过滤和原题去重寻找新题。近迁移保持题型和解题结构接近，远迁移则改变表达、题型或应用场景。对于函数、几何、运动、受力、压强、浮力和历史时间线等抽象内容，模型只生成受控 VisualizationSpec，前端用预置 Canvas 渲染器展示并记录交互，避免执行任意脚本。</w:t>
      </w:r>
    </w:p>
    <w:p>
      <w:pPr>
        <w:pStyle w:val="5"/>
      </w:pPr>
      <w:r>
        <w:t>2.2.1 端到端数据流与状态机</w:t>
      </w:r>
    </w:p>
    <w:p>
      <w:pPr>
        <w:ind w:firstLine="440"/>
        <w:jc w:val="both"/>
      </w:pPr>
      <w:r>
        <w:rPr>
          <w:rFonts w:ascii="宋体" w:hAnsi="宋体" w:eastAsia="宋体"/>
          <w:color w:val="222222"/>
          <w:sz w:val="22"/>
        </w:rPr>
        <w:t>一题的端到端链路可分为九步：上传、资源派生、裁剪、结构化识别、人工确认、分析与诊断、教学会话、迁移作答、复习与认知更新。每一步均产生可定位的对象。上传产生题目和原始资源；派生处理产生清洁图、掩码和叠加图；确认将模型候选转为可用学习对象；诊断将参考路径与学生步骤链接；会话、迁移和复习使单题行为成为跨题状态的输入。</w:t>
      </w:r>
    </w:p>
    <w:p>
      <w:pPr>
        <w:ind w:firstLine="440"/>
        <w:jc w:val="both"/>
      </w:pPr>
      <w:r>
        <w:rPr>
          <w:rFonts w:ascii="宋体" w:hAnsi="宋体" w:eastAsia="宋体"/>
          <w:color w:val="222222"/>
          <w:sz w:val="22"/>
        </w:rPr>
        <w:t>在异常处理上，系统不应把“模型未返回”“图片不能读取”“结构不符合 Schema”伪装成学习结论。图片格式、裁剪边界、归一化区域、数据字段及模型输出均有校验点。模型池中单个条目失败时由 Provider 尝试同类后续条目；所有可用条目均需符合固定逻辑模型要求。这样可以将“能力不可用”与“学生答错”清晰区分。</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2-2 待替换】一体双环三引擎总体架构</w:t>
            </w:r>
          </w:p>
          <w:p>
            <w:pPr>
              <w:pStyle w:val="FigureNote"/>
              <w:ind w:left="142" w:right="142"/>
            </w:pPr>
            <w:r>
              <w:rPr>
                <w:rFonts w:ascii="宋体" w:hAnsi="宋体" w:eastAsia="宋体"/>
                <w:b/>
                <w:color w:val="0F172A"/>
                <w:sz w:val="18"/>
              </w:rPr>
              <w:t>建议形式：</w:t>
            </w:r>
            <w:r>
              <w:rPr>
                <w:rFonts w:ascii="宋体" w:hAnsi="宋体" w:eastAsia="宋体"/>
                <w:color w:val="64748B"/>
                <w:sz w:val="18"/>
              </w:rPr>
              <w:t>分层架构图；自上而下或自左向右，组件边界与数据流方向明确</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围绕“一体双环三引擎总体架构”只表达正文已经论证的关系，节点文案简短，避免机器人、芯片、大脑、3D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10.2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一个核心智能体；两个学习闭环；三个能力引擎</w:t>
            </w:r>
          </w:p>
        </w:tc>
      </w:tr>
    </w:tbl>
    <w:p>
      <w:pPr>
        <w:spacing w:after="160"/>
        <w:jc w:val="center"/>
      </w:pPr>
      <w:r>
        <w:rPr>
          <w:rFonts w:ascii="宋体" w:hAnsi="宋体" w:eastAsia="宋体"/>
          <w:color w:val="64748B"/>
          <w:sz w:val="20"/>
        </w:rPr>
        <w:t>图 2-2  一体双环三引擎总体架构（定稿时替换上方说明框）</w:t>
      </w:r>
    </w:p>
    <w:p>
      <w:pPr>
        <w:pStyle w:val="6"/>
      </w:pPr>
      <w:r>
        <w:t>2.2.1.1 原图与派生资源</w:t>
      </w:r>
    </w:p>
    <w:p>
      <w:pPr>
        <w:ind w:firstLine="440"/>
        <w:jc w:val="both"/>
      </w:pPr>
      <w:r>
        <w:rPr>
          <w:rFonts w:ascii="宋体" w:hAnsi="宋体" w:eastAsia="宋体"/>
          <w:color w:val="222222"/>
          <w:sz w:val="22"/>
        </w:rPr>
        <w:t>图像服务首先检查 JPEG、PNG、WEBP 等允许格式，对图像进行方向纠正并保存为独立的 JPEG 原始资源，同时计算 SHA-256 哈希。后续用于识别的处理只针对副本：通过 CLAHE 提升亮度通道，基于 HSV 区间提取红色墨迹掩码，经形态学开闭运算后生成清洁图与标记叠加图。原图、清洁图、掩码图、叠加图在不同资源类型下保存，任何清洁操作均不覆盖原图。</w:t>
      </w:r>
    </w:p>
    <w:p>
      <w:pPr>
        <w:ind w:firstLine="440"/>
        <w:jc w:val="both"/>
      </w:pPr>
      <w:r>
        <w:rPr>
          <w:rFonts w:ascii="宋体" w:hAnsi="宋体" w:eastAsia="宋体"/>
          <w:color w:val="222222"/>
          <w:sz w:val="22"/>
        </w:rPr>
        <w:t>该设计有两个教育意义。首先，教师批注、学生书写和题面印刷内容可能混杂，保留原始证据有助于回看。其次，图像处理只是一种辅助，不应被误当作真实书写语义；红色像素比例可用于拒绝明显不符合颜色证据的批注候选，但不能独立证明批注者身份或书写真实性。</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2-3 待替换】单题认知修复闭环</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横向闭环流程图；步骤不超过八个，关键验证点使用加粗边框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围绕“单题认知修复闭环”只表达正文已经论证的关系，节点文案简短，避免机器人、芯片、大脑、3D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7.8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拍题；确认；诊断；教学；迁移验证；可信判定</w:t>
            </w:r>
          </w:p>
        </w:tc>
      </w:tr>
    </w:tbl>
    <w:p>
      <w:pPr>
        <w:spacing w:after="160"/>
        <w:jc w:val="center"/>
      </w:pPr>
      <w:r>
        <w:rPr>
          <w:rFonts w:ascii="宋体" w:hAnsi="宋体" w:eastAsia="宋体"/>
          <w:color w:val="64748B"/>
          <w:sz w:val="20"/>
        </w:rPr>
        <w:t>图 2-3  单题认知修复闭环（定稿时替换上方说明框）</w:t>
      </w:r>
    </w:p>
    <w:p>
      <w:pPr>
        <w:pStyle w:val="6"/>
      </w:pPr>
      <w:r>
        <w:t>2.2.1.2 裁剪、区域与人工确认</w:t>
      </w:r>
    </w:p>
    <w:p>
      <w:pPr>
        <w:ind w:firstLine="440"/>
        <w:jc w:val="both"/>
      </w:pPr>
      <w:r>
        <w:rPr>
          <w:rFonts w:ascii="宋体" w:hAnsi="宋体" w:eastAsia="宋体"/>
          <w:color w:val="222222"/>
          <w:sz w:val="22"/>
        </w:rPr>
        <w:t>裁剪接口接收归一化位置和大小，校验边界后从原始资源裁出目标区域。当裁剪区域过大时，系统仅缩小识别副本到适合处理的边长，而保留源裁剪的几何信息。多模态识别可将题图内区域区分为题目图、学生工作图和批注区域，并把每个区域的归一化边界、角色、描述、资源路径和哈希独立保存。</w:t>
      </w:r>
    </w:p>
    <w:p>
      <w:pPr>
        <w:ind w:firstLine="440"/>
        <w:jc w:val="both"/>
      </w:pPr>
      <w:r>
        <w:rPr>
          <w:rFonts w:ascii="宋体" w:hAnsi="宋体" w:eastAsia="宋体"/>
          <w:color w:val="222222"/>
          <w:sz w:val="22"/>
        </w:rPr>
        <w:t>自动识别输出不直接决定后续教学。确认页面允许修改题干、公式、学生步骤和批注；修改后的信息作为诊断输入。人机协作在这里不是“人工兜底”的附属功能，而是证据质量的必要组成：尤其面对潦草书写、遮挡、复杂图形或开放性材料时，确认行为应被视为有价值的数据治理步骤。</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2-4 待替换】长期主动防错闭环</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横向闭环流程图；步骤不超过八个，关键验证点使用加粗边框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围绕“长期主动防错闭环”只表达正文已经论证的关系，节点文案简短，避免机器人、芯片、大脑、3D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7.8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学习证据；状态安全门；认知记忆；风险判断；主动复习</w:t>
            </w:r>
          </w:p>
        </w:tc>
      </w:tr>
    </w:tbl>
    <w:p>
      <w:pPr>
        <w:spacing w:after="160"/>
        <w:jc w:val="center"/>
      </w:pPr>
      <w:r>
        <w:rPr>
          <w:rFonts w:ascii="宋体" w:hAnsi="宋体" w:eastAsia="宋体"/>
          <w:color w:val="64748B"/>
          <w:sz w:val="20"/>
        </w:rPr>
        <w:t>图 2-4  长期主动防错闭环（定稿时替换上方说明框）</w:t>
      </w:r>
    </w:p>
    <w:p>
      <w:pPr>
        <w:pStyle w:val="5"/>
      </w:pPr>
      <w:r>
        <w:t>2.2.2 多模态学习证据与可信诊断引擎</w:t>
      </w:r>
    </w:p>
    <w:p>
      <w:pPr>
        <w:ind w:firstLine="440"/>
        <w:jc w:val="both"/>
      </w:pPr>
      <w:r>
        <w:rPr>
          <w:rFonts w:ascii="宋体" w:hAnsi="宋体" w:eastAsia="宋体"/>
          <w:color w:val="222222"/>
          <w:sz w:val="22"/>
        </w:rPr>
        <w:t>多模态学习证据与可信诊断引擎围绕“看见什么、能确定什么、仍不确定什么”组织。模型调用使用 ApiPoolProvider，不直接依赖单一条目。Provider 读取池配置后只保留符合规则的条目；请求时按文本或视觉能力选择候选、轮询尝试，并对限流设置冷却。系统不在日志、异常或文档中输出池内凭据。所有模型逻辑名称固定为 Qwen3.6-35B-A3B，以避免不同模型混入造成结果难以追溯。</w:t>
      </w:r>
    </w:p>
    <w:p>
      <w:pPr>
        <w:ind w:firstLine="440"/>
        <w:jc w:val="both"/>
      </w:pPr>
      <w:r>
        <w:rPr>
          <w:rFonts w:ascii="宋体" w:hAnsi="宋体" w:eastAsia="宋体"/>
          <w:color w:val="222222"/>
          <w:sz w:val="22"/>
        </w:rPr>
        <w:t>模型生成的结构化识别结果通过 Pydantic 进行 JSON 校验。对于多模态任务，提示中附带 Schema，使模型返回题目、答案、学生步骤、区域等字段；清理代码块包装后再反序列化。校验失败被视为能力失败而非有效结果。该机制不能保证模型内容天然正确，但能减少“字段缺失、类型错误、格式漂移”直接流入业务逻辑的风险。</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输入或输出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结构要求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失败处置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证据字段</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上传图</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格式、可读性、方向</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拒绝并说明原因</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哈希、尺寸、资源类型</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裁剪框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4 个归一化数值与有效边界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拒绝非法边界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裁剪几何信息</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识别结果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Pydantic JSON Schema</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标记结构化失败，允许重试或确认</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OCR 运行与确认记录</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区域候选</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0—1 合法坐标、区域角色</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丢弃非法区域</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区域资源与哈希</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教学图示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VisualizationSpec 白名单</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不渲染未知类型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spec 与交互记录</w:t>
            </w:r>
          </w:p>
        </w:tc>
      </w:tr>
    </w:tbl>
    <w:p>
      <w:pPr>
        <w:spacing w:after="20"/>
      </w:pPr>
    </w:p>
    <w:p>
      <w:pPr>
        <w:pStyle w:val="6"/>
      </w:pPr>
      <w:r>
        <w:t>2.2.2.1 首错点诊断机制</w:t>
      </w:r>
    </w:p>
    <w:p>
      <w:pPr>
        <w:ind w:firstLine="440"/>
        <w:jc w:val="both"/>
      </w:pPr>
      <w:r>
        <w:rPr>
          <w:rFonts w:ascii="宋体" w:hAnsi="宋体" w:eastAsia="宋体"/>
          <w:color w:val="222222"/>
          <w:sz w:val="22"/>
        </w:rPr>
        <w:t>可信诊断的核心不是判定“对或错”，而是把学生路径与参考路径对齐。参考步骤描述一种可验证的解题路径；学生步骤来自人工确认后的书写或输入；二者对齐后，系统寻找最早不一致且影响后续推理的关键步骤，并给出错误类型、根因候选、传播情况与修正建议。错误类型可以涵盖符号、公式、运算、条件遗漏、非法变形、单位、概念、因果与缺步骤等维度，实际标签以当前 Schema 和案例为准。</w:t>
      </w:r>
    </w:p>
    <w:p>
      <w:pPr>
        <w:ind w:firstLine="440"/>
        <w:jc w:val="both"/>
      </w:pPr>
      <w:r>
        <w:rPr>
          <w:rFonts w:ascii="宋体" w:hAnsi="宋体" w:eastAsia="宋体"/>
          <w:color w:val="222222"/>
          <w:sz w:val="22"/>
        </w:rPr>
        <w:t>数学表达的可靠性是诊断的重要边界。系统在能够转化为符号表达时使用 SymPy 对参考或修复候选进行校验；若模型提出修复路径，服务会记录采用模型建议还是参考修复，以及验证方法。无法形式化的材料题、语义推理题或图形论证不能被强行转换为代数结论，系统应明确其依赖的证据和人工确认需求。</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2-5 待替换】多模态证据、首错定位与反事实式根因验证</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围绕“多模态证据、首错定位与反事实式根因验证”只表达正文已经论证的关系，节点文案简短，避免机器人、芯片、大脑、3D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多模态学习证据；步骤对齐；反事实式根因验证</w:t>
            </w:r>
          </w:p>
        </w:tc>
      </w:tr>
    </w:tbl>
    <w:p>
      <w:pPr>
        <w:spacing w:after="160"/>
        <w:jc w:val="center"/>
      </w:pPr>
      <w:r>
        <w:rPr>
          <w:rFonts w:ascii="宋体" w:hAnsi="宋体" w:eastAsia="宋体"/>
          <w:color w:val="64748B"/>
          <w:sz w:val="20"/>
        </w:rPr>
        <w:t>图 2-5  多模态证据、首错定位与反事实式根因验证（定稿时替换上方说明框）</w:t>
      </w:r>
    </w:p>
    <w:p>
      <w:pPr>
        <w:pStyle w:val="Heading5"/>
      </w:pPr>
      <w:r>
        <w:t>2.2.2.1.1 诊断解释模板</w:t>
      </w:r>
    </w:p>
    <w:p>
      <w:pPr>
        <w:ind w:firstLine="440"/>
        <w:jc w:val="both"/>
      </w:pPr>
      <w:r>
        <w:rPr>
          <w:rFonts w:ascii="宋体" w:hAnsi="宋体" w:eastAsia="宋体"/>
          <w:color w:val="222222"/>
          <w:sz w:val="22"/>
        </w:rPr>
        <w:t>为避免把“标签”当作解释，诊断输出应最少包含五部分：第一，定位，即错误在第几步或哪一段；第二，对比，即正确规则与学生当前表达的差异；第三，影响，即该偏差如何导致后续错误；第四，修复，即下一步可执行的局部动作；第五，边界，即哪些判断依赖模型、符号校验或人工确认。解释应优先服务学习者的下一次行动，避免用泛化评价替代具体证据。</w:t>
      </w:r>
    </w:p>
    <w:p>
      <w:r>
        <w:br w:type="page"/>
      </w:r>
    </w:p>
    <w:tbl>
      <w:tblPr>
        <w:tblW w:type="auto" w:w="0"/>
        <w:jc w:val="center"/>
        <w:tblLayout w:type="autofit"/>
        <w:tblLook w:firstColumn="1" w:firstRow="1" w:lastColumn="0" w:lastRow="0" w:noHBand="0" w:noVBand="1" w:val="04A0"/>
      </w:tblPr>
      <w:tblGrid>
        <w:gridCol w:w="3118"/>
        <w:gridCol w:w="3118"/>
        <w:gridCol w:w="3118"/>
      </w:tblGrid>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输出项</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示例性问题</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作用</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首错步骤</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“第一次偏离发生在何处？”</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锚定纠正范围</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错误类型</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“是符号、条件、公式还是计算问题？”</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匹配教学策略</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根因候选</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“缺失的是哪项知识或规则？”</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连接知识点与错因状态</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传播证据</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“后续哪几步受此影响？”</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防止只改末尾答案</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修复动作</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“下一次该如何检查或改写？”</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触发局部练习与教回</w:t>
            </w:r>
          </w:p>
        </w:tc>
      </w:tr>
    </w:tbl>
    <w:p>
      <w:pPr>
        <w:spacing w:after="20"/>
      </w:pPr>
    </w:p>
    <w:p>
      <w:pPr>
        <w:pStyle w:val="5"/>
      </w:pPr>
      <w:r>
        <w:t>2.2.3 动态教学决策与工具执行引擎</w:t>
      </w:r>
    </w:p>
    <w:p>
      <w:pPr>
        <w:ind w:firstLine="440"/>
        <w:jc w:val="both"/>
      </w:pPr>
      <w:r>
        <w:rPr>
          <w:rFonts w:ascii="宋体" w:hAnsi="宋体" w:eastAsia="宋体"/>
          <w:color w:val="222222"/>
          <w:sz w:val="22"/>
        </w:rPr>
        <w:t>动态教学决策与工具执行引擎以会话阶段为主线组织行动。当前状态覆盖完全不会、部分正确、出现新错误、索要答案、正确但表述不清、重复错误、教回重试、近迁移、远迁移和完成等情形。不同阶段可调用的工具包括提取错因、选择教学策略、生成受控图示、生成迁移题、检查答案、安排复习等；工具调用与结果可记录，为后续审查提供依据[19]。</w:t>
      </w:r>
    </w:p>
    <w:p>
      <w:pPr>
        <w:ind w:firstLine="440"/>
        <w:jc w:val="both"/>
      </w:pPr>
      <w:r>
        <w:rPr>
          <w:rFonts w:ascii="宋体" w:hAnsi="宋体" w:eastAsia="宋体"/>
          <w:color w:val="222222"/>
          <w:sz w:val="22"/>
        </w:rPr>
        <w:t>会话不是无限制的自由聊天。系统对“先提示还是先展示答案”“何时要求教回”“何时转入近迁移”“何时安排复习”设置了状态化约束。这样做的理由是：若学生只重复接收讲解，则无法形成可以更新掌握度的后验行为；只有当教回、近迁移或远迁移形成明确结果，认知更新才有足够依据。</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2-6 待替换】教学智能体观察—记忆—规划—行动—核验循环</w:t>
            </w:r>
          </w:p>
          <w:p>
            <w:pPr>
              <w:pStyle w:val="FigureNote"/>
              <w:ind w:left="142" w:right="142"/>
            </w:pPr>
            <w:r>
              <w:rPr>
                <w:rFonts w:ascii="宋体" w:hAnsi="宋体" w:eastAsia="宋体"/>
                <w:b/>
                <w:color w:val="0F172A"/>
                <w:sz w:val="18"/>
              </w:rPr>
              <w:t>建议形式：</w:t>
            </w:r>
            <w:r>
              <w:rPr>
                <w:rFonts w:ascii="宋体" w:hAnsi="宋体" w:eastAsia="宋体"/>
                <w:color w:val="64748B"/>
                <w:sz w:val="18"/>
              </w:rPr>
              <w:t>智能体决策循环图；展示观察、记忆、规划、工具行动和证据核验</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围绕“教学智能体观察—记忆—规划—行动—核验循环”只表达正文已经论证的关系，节点文案简短，避免机器人、芯片、大脑、3D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9.2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环境观察；长期记忆；公开行动计划；白名单工具；证据核验</w:t>
            </w:r>
          </w:p>
        </w:tc>
      </w:tr>
    </w:tbl>
    <w:p>
      <w:pPr>
        <w:spacing w:after="160"/>
        <w:jc w:val="center"/>
      </w:pPr>
      <w:r>
        <w:rPr>
          <w:rFonts w:ascii="宋体" w:hAnsi="宋体" w:eastAsia="宋体"/>
          <w:color w:val="64748B"/>
          <w:sz w:val="20"/>
        </w:rPr>
        <w:t>图 2-6  教学智能体观察—记忆—规划—行动—核验循环（定稿时替换上方说明框）</w:t>
      </w:r>
    </w:p>
    <w:p>
      <w:pPr>
        <w:pStyle w:val="5"/>
      </w:pPr>
      <w:r>
        <w:t>2.2.4 证据门控的长期认知记忆与主动干预引擎</w:t>
      </w:r>
    </w:p>
    <w:p>
      <w:pPr>
        <w:ind w:firstLine="440"/>
        <w:jc w:val="both"/>
      </w:pPr>
      <w:r>
        <w:rPr>
          <w:rFonts w:ascii="宋体" w:hAnsi="宋体" w:eastAsia="宋体"/>
          <w:color w:val="222222"/>
          <w:sz w:val="22"/>
        </w:rPr>
        <w:t>证据门控的长期认知记忆与主动干预引擎从题目中解析稳定的学科、知识点与错因目标。根据教回、近迁移、远迁移和提示等级计算掌握变化；分值被限制在 0—1 区间，更新同时生成掌握与错因两类 CognitiveUpdate 记录。当前规则体现为可复核的启发式：教回、近迁移和远迁移通过会给予不同层级的正向增量；失败、提示依赖和远迁移失败会降低相应估计并影响遗忘风险。这是工程化状态估计，不能被误读为心理测量量表[20]。</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2-7 待替换】四项创新机制协同关系</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围绕“四项创新机制协同关系”只表达正文已经论证的关系，节点文案简短，避免机器人、芯片、大脑、3D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可信诊断；动态工具调用；状态安全门；近远迁移验证</w:t>
            </w:r>
          </w:p>
        </w:tc>
      </w:tr>
    </w:tbl>
    <w:p>
      <w:pPr>
        <w:spacing w:after="160"/>
        <w:jc w:val="center"/>
      </w:pPr>
      <w:r>
        <w:rPr>
          <w:rFonts w:ascii="宋体" w:hAnsi="宋体" w:eastAsia="宋体"/>
          <w:color w:val="64748B"/>
          <w:sz w:val="20"/>
        </w:rPr>
        <w:t>图 2-7  四项创新机制协同关系（定稿时替换上方说明框）</w:t>
      </w:r>
    </w:p>
    <w:p>
      <w:pPr>
        <w:pStyle w:val="6"/>
      </w:pPr>
      <w:r>
        <w:t>2.2.4.1 间隔复习与可解释提醒</w:t>
      </w:r>
    </w:p>
    <w:p>
      <w:pPr>
        <w:ind w:firstLine="440"/>
        <w:jc w:val="both"/>
      </w:pPr>
      <w:r>
        <w:rPr>
          <w:rFonts w:ascii="宋体" w:hAnsi="宋体" w:eastAsia="宋体"/>
          <w:color w:val="222222"/>
          <w:sz w:val="22"/>
        </w:rPr>
        <w:t>复习计划关联用户、题目、到期时间、状态与原因。系统可依据当前掌握状态、错因和会话结果安排待复习任务，并在复习完成后保留评分记录。提醒的设计重点不是制造频繁打卡，而是向学习者说明“为什么现在需要复习”：可能因为刚完成教回、近迁移仍不稳、远迁移失败或遗忘风险上升。解释性理由会反写入认知更新，使报告能够从单一进度回溯到具体证据。</w:t>
      </w:r>
    </w:p>
    <w:p>
      <w:pPr>
        <w:pStyle w:val="5"/>
      </w:pPr>
      <w:r>
        <w:t>2.2.5 检索、变式与受控可视化</w:t>
      </w:r>
    </w:p>
    <w:p>
      <w:pPr>
        <w:pStyle w:val="6"/>
      </w:pPr>
      <w:r>
        <w:t>2.2.5.1 检索与变式练习</w:t>
      </w:r>
    </w:p>
    <w:p>
      <w:pPr>
        <w:ind w:firstLine="440"/>
        <w:jc w:val="both"/>
      </w:pPr>
      <w:r>
        <w:rPr>
          <w:rFonts w:ascii="宋体" w:hAnsi="宋体" w:eastAsia="宋体"/>
          <w:color w:val="222222"/>
          <w:sz w:val="22"/>
        </w:rPr>
        <w:t>相似题并不等于题干词面相近。检索服务首先依据当前学科、知识点、错因和练习目的组织查询，再使用 BGE-M3 生成稠密表示和稀疏词权重，在 Qdrant 中分别检索并用 RRF 融合；候选经 BGE 重排后，结合题型、年级、答案可用性和练习模式筛选。迁移阶段区分近迁移与远迁移：前者检验相同规则在相近结构中的使用，后者检验方法在更复杂或不同情境中的保持。</w:t>
      </w:r>
    </w:p>
    <w:p>
      <w:r>
        <w:br w:type="page"/>
      </w:r>
    </w:p>
    <w:p>
      <w:pPr>
        <w:ind w:firstLine="440"/>
        <w:jc w:val="both"/>
      </w:pPr>
      <w:r>
        <w:rPr>
          <w:rFonts w:ascii="宋体" w:hAnsi="宋体" w:eastAsia="宋体"/>
          <w:color w:val="222222"/>
          <w:sz w:val="22"/>
        </w:rPr>
        <w:t>已有题库导入与检索核验可支撑“存在相应链路”的描述，但不应把检索到一个相关候选夸大为学习推荐有效。特别是不同学科和细分知识点的数据覆盖并不均匀，化学细分知识点已有“覆盖有限”的记录，英语在当时导入集合中无可测题；这些缺口应在推荐界面和后续评测中透明呈现。</w:t>
      </w:r>
    </w:p>
    <w:p>
      <w:pPr>
        <w:pStyle w:val="6"/>
      </w:pPr>
      <w:r>
        <w:t>2.2.5.2 受控可视化</w:t>
      </w:r>
    </w:p>
    <w:p>
      <w:pPr>
        <w:ind w:firstLine="440"/>
        <w:jc w:val="both"/>
      </w:pPr>
      <w:r>
        <w:rPr>
          <w:rFonts w:ascii="宋体" w:hAnsi="宋体" w:eastAsia="宋体"/>
          <w:color w:val="222222"/>
          <w:sz w:val="22"/>
        </w:rPr>
        <w:t>可视化服务的输出是 VisualizationSpec JSON，而不是可执行程序。后端模型根据题目学科、题型和知识点推荐图示类型；前端以本地白名单校验函数检查类型和字段后，用 Canvas 绘制，并将用户交互记录回写。当前验证报告覆盖函数、几何、运动、受力、压强、浮力、功与能、历史时间线等 16 类图示。未知类型、非法参数或不符合 Schema 的数据不应进入渲染层。</w:t>
      </w:r>
    </w:p>
    <w:p>
      <w:pPr>
        <w:ind w:firstLine="440"/>
        <w:jc w:val="both"/>
      </w:pPr>
      <w:r>
        <w:rPr>
          <w:rFonts w:ascii="宋体" w:hAnsi="宋体" w:eastAsia="宋体"/>
          <w:color w:val="222222"/>
          <w:sz w:val="22"/>
        </w:rPr>
        <w:t>这种设计的价值在于把模型的创造性限制在“提出可检验的图示参数”范围内，而将执行权保留给前端预置渲染器。由此既支持针对性讲解，也减少动态脚本带来的安全与兼容风险。图示的教学价值仍需通过正式实验检验，现阶段只验证其结构可生成、可渲染、可交互和可记录。</w:t>
      </w:r>
    </w:p>
    <w:tbl>
      <w:tblPr>
        <w:tblW w:type="auto" w:w="0"/>
        <w:jc w:val="center"/>
        <w:tblLayout w:type="autofit"/>
        <w:tblLook w:firstColumn="1" w:firstRow="1" w:lastColumn="0" w:lastRow="0" w:noHBand="0" w:noVBand="1" w:val="04A0"/>
      </w:tblPr>
      <w:tblGrid>
        <w:gridCol w:w="3118"/>
        <w:gridCol w:w="3118"/>
        <w:gridCol w:w="3118"/>
      </w:tblGrid>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图示环节</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允许行为</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禁止或拒绝行为</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模型侧</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选择白名单类型，生成 JSON 参数</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返回浏览器脚本作为执行内容</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后端侧</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Pydantic 校验、保存规格</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放宽未知字段进入核心逻辑</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前端侧</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本地白名单校验、Canvas 渲染、记录交互</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执行模型生成的 JavaScript</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评测侧</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记录是否生成、渲染、交互</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用“图示存在”替代学习效果证明</w:t>
            </w:r>
          </w:p>
        </w:tc>
      </w:tr>
    </w:tbl>
    <w:p>
      <w:pPr>
        <w:spacing w:after="20"/>
      </w:pPr>
    </w:p>
    <w:p>
      <w:r>
        <w:br w:type="page"/>
      </w:r>
    </w:p>
    <w:p>
      <w:pPr>
        <w:pStyle w:val="5"/>
      </w:pPr>
      <w:r>
        <w:t>2.2.6 数据模型、接口与可追溯性</w:t>
      </w:r>
    </w:p>
    <w:p>
      <w:pPr>
        <w:ind w:firstLine="440"/>
        <w:jc w:val="both"/>
      </w:pPr>
      <w:r>
        <w:rPr>
          <w:rFonts w:ascii="宋体" w:hAnsi="宋体" w:eastAsia="宋体"/>
          <w:color w:val="222222"/>
          <w:sz w:val="22"/>
        </w:rPr>
        <w:t>MySQL 承担业务事实的持久化职责。围绕学习链路，系统存储用户与档案、题目、资源、处理任务、识别运行、学生步骤、参考步骤、分析、诊断、证据、教学会话、工具调用、变式题、掌握状态、错因状态、认知更新、复习计划和复习记录等对象。关系型存储使题图、诊断、对话和状态更新可以按题目、用户和时间关联；Alembic 用于管理结构演进。</w:t>
      </w:r>
    </w:p>
    <w:p>
      <w:pPr>
        <w:ind w:firstLine="440"/>
        <w:jc w:val="both"/>
      </w:pPr>
      <w:r>
        <w:rPr>
          <w:rFonts w:ascii="宋体" w:hAnsi="宋体" w:eastAsia="宋体"/>
          <w:color w:val="222222"/>
          <w:sz w:val="22"/>
        </w:rPr>
        <w:t>接口层采用 FastAPI。典型路径包括题目导入与裁剪、识别与确认、分析与诊断、教学会话与迁移、图示、分析图谱、复习、组卷、语音和角色聚合。接口返回的结构比页面文案更接近真实合同；前端页面通过接口获取数据，不以硬编码示例替代用户学习记录。管理和教学聚合页面仅展示已授权范围内的状态，并保留基于数据的解释文字。</w:t>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对象组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代表对象</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关键关联</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作用</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题目证据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question、question asset、student step</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一题对多资源、对多步骤</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保留输入与书写过程</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诊断证据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analysis、reference step、diagnosis、evidence</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参考与学生路径对齐</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支持首错解释</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tutor session、turn、agent run、tool call</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会话按阶段推进</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回看教学决策</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认知证据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mastery state、misconception state、cognitive update</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更新含旧值、新值、理由</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支持趋势与复习</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练习证据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variant、attempt、review plan、review record</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迁移与复习关联题目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验证后续表现</w:t>
            </w:r>
          </w:p>
        </w:tc>
      </w:tr>
    </w:tbl>
    <w:p>
      <w:pPr>
        <w:spacing w:after="20"/>
      </w:pPr>
    </w:p>
    <w:p>
      <w:pPr>
        <w:pStyle w:val="5"/>
      </w:pPr>
      <w:r>
        <w:t>2.2.7 安全、可靠性与已知限制</w:t>
      </w:r>
    </w:p>
    <w:p>
      <w:r>
        <w:br w:type="page"/>
      </w:r>
    </w:p>
    <w:p>
      <w:pPr>
        <w:ind w:firstLine="440"/>
        <w:jc w:val="both"/>
      </w:pPr>
      <w:r>
        <w:rPr>
          <w:rFonts w:ascii="宋体" w:hAnsi="宋体" w:eastAsia="宋体"/>
          <w:color w:val="222222"/>
          <w:sz w:val="22"/>
        </w:rPr>
        <w:t>可靠性来自多个小约束的叠加：原图不覆盖、数据模型显式、结构化输出校验、模型池失败跳过、数学表达尽量校验、前端白名单渲染、关键行为落库。它们降低了系统因单个模型异常、字段漂移或页面状态丢失而产生不可解释结果的概率。但可靠性不等于正确性；对模型识别、诊断和教学策略，仍应通过样本外评测与人工复核建立更强证据。</w:t>
      </w:r>
    </w:p>
    <w:p>
      <w:pPr>
        <w:ind w:firstLine="440"/>
        <w:jc w:val="both"/>
      </w:pPr>
      <w:r>
        <w:rPr>
          <w:rFonts w:ascii="宋体" w:hAnsi="宋体" w:eastAsia="宋体"/>
          <w:color w:val="222222"/>
          <w:sz w:val="22"/>
        </w:rPr>
        <w:t>当前限制包括：图像质量和手写清晰度会影响识别；部分学科与细分知识点的可用练习覆盖有限；符号校验只覆盖可形式化的数学表达；语音与检索依赖本地模型或服务；原型没有覆盖生产级安全审计和性能压测；M3KE 的许可未在现有材料中声明，须在后续治理中优先处理。所有限制均应在使用说明和评测报告中保持可见。</w:t>
      </w:r>
    </w:p>
    <w:p>
      <w:pPr>
        <w:pStyle w:val="5"/>
      </w:pPr>
      <w:r>
        <w:t>2.2.8 本章小结</w:t>
      </w:r>
    </w:p>
    <w:p>
      <w:pPr>
        <w:ind w:firstLine="440"/>
        <w:jc w:val="both"/>
      </w:pPr>
      <w:r>
        <w:rPr>
          <w:rFonts w:ascii="宋体" w:hAnsi="宋体" w:eastAsia="宋体"/>
          <w:color w:val="222222"/>
          <w:sz w:val="22"/>
        </w:rPr>
        <w:t>第二章将一体双环三引擎落实为可运行的技术结构：以原图优先和人工确认保证输入证据，以结构化模型输出和符号校验约束诊断，以状态机、迁移和复习形成教学与认知闭环，以受控图示和关系型存储保证执行边界与可回溯性。下一章将说明实现结果、原型验证、推理指标、正式评测和消融设计。</w:t>
      </w:r>
    </w:p>
    <w:p>
      <w:r>
        <w:br w:type="page"/>
      </w:r>
    </w:p>
    <w:p>
      <w:pPr>
        <w:pStyle w:val="2"/>
        <w:spacing w:before="0"/>
      </w:pPr>
      <w:r>
        <w:t>3 实施方案</w:t>
      </w:r>
    </w:p>
    <w:p>
      <w:pPr>
        <w:pStyle w:val="4"/>
      </w:pPr>
      <w:r>
        <w:t>3.1 技术可行性分析</w:t>
      </w:r>
    </w:p>
    <w:p>
      <w:pPr>
        <w:ind w:firstLine="440"/>
        <w:jc w:val="both"/>
      </w:pPr>
      <w:r>
        <w:rPr>
          <w:rFonts w:ascii="宋体" w:hAnsi="宋体" w:eastAsia="宋体"/>
          <w:color w:val="222222"/>
          <w:sz w:val="22"/>
        </w:rPr>
        <w:t>技术可行性首先来自清晰的任务分解。多模态理解不承担数据库事务，语言模型不直接执行页面脚本，检索组件不决定学生是否掌握，前端也不自行计算长期认知状态。每个组件只通过经过约束的数据对象交换结果，使系统即使在本地无独立显卡的条件下，也能把远端模型推理、本地规则验证、数据持久化和用户交互组合为完整流程。这种模块边界还便于后续替换模型或增加学科规则，而不需要重写整个产品。</w:t>
      </w:r>
    </w:p>
    <w:p>
      <w:pPr>
        <w:ind w:firstLine="440"/>
        <w:jc w:val="both"/>
      </w:pPr>
      <w:r>
        <w:rPr>
          <w:rFonts w:ascii="宋体" w:hAnsi="宋体" w:eastAsia="宋体"/>
          <w:color w:val="222222"/>
          <w:sz w:val="22"/>
        </w:rPr>
        <w:t>数据可行性由三类材料共同支撑。第一类是项目内部固定功能样例，用于验证图片处理、首错诊断、智能体分支和端到端状态；第二类是经许可核验后可用于本地研究的公开题目，用于构建检索候选和题型覆盖；第三类是未来经授权获得的匿名学习过程，用于正式评价首错、根因和教育效果。三类数据用途严格分开，固定样例不能冒充自然分布，公开题不能冒充真实学生书写，许可不明确的数据不能作为对外效果证据。</w:t>
      </w:r>
    </w:p>
    <w:p>
      <w:pPr>
        <w:ind w:firstLine="440"/>
        <w:jc w:val="both"/>
      </w:pPr>
      <w:r>
        <w:rPr>
          <w:rFonts w:ascii="宋体" w:hAnsi="宋体" w:eastAsia="宋体"/>
          <w:color w:val="222222"/>
          <w:sz w:val="22"/>
        </w:rPr>
        <w:t>题库当前导入规模为 20,839 道，其中 CMM-Math 14,856 道、M3KE 4,308 道、CMMU 1,675 道；经过题目完整性、答案可用性和自动判定条件过滤后，可进入练习与检索候选的题目为 12,817 道。该数字用于说明检索链路具备候选基础，不代表推荐结果全部高质量，也不代表来源已经获得对外再分发权。正式提交前必须再次核验各来源许可；M3KE 当前未明确声明许可证，因此只保留为本地研究风险项。</w:t>
      </w:r>
    </w:p>
    <w:p>
      <w:r>
        <w:br w:type="page"/>
      </w:r>
    </w:p>
    <w:p>
      <w:pPr>
        <w:ind w:firstLine="440"/>
        <w:jc w:val="both"/>
      </w:pPr>
      <w:r>
        <w:rPr>
          <w:rFonts w:ascii="宋体" w:hAnsi="宋体" w:eastAsia="宋体"/>
          <w:color w:val="222222"/>
          <w:sz w:val="22"/>
        </w:rPr>
        <w:t>行业知识通过知识点对象、知识关联、题目映射、题型规则和教师标注规范进入系统。KnowledgePoint 保存学科和知识点，KnowledgeRelation 表示先修、包含与关联关系，UserQuestionKnowledgeLink 把个人错题与知识点连接。知识关系可以辅助检索和解释，但不会替代当前题目证据。系统把规则、知识关系和大模型解释并列保留，使评审者能够区分“模型生成的候选解释”和“工具或人工可验证的事实”。</w:t>
      </w:r>
    </w:p>
    <w:p>
      <w:pPr>
        <w:ind w:firstLine="440"/>
        <w:jc w:val="both"/>
      </w:pPr>
      <w:r>
        <w:rPr>
          <w:rFonts w:ascii="宋体" w:hAnsi="宋体" w:eastAsia="宋体"/>
          <w:color w:val="222222"/>
          <w:sz w:val="22"/>
        </w:rPr>
        <w:t>硬件方面，本地环境采用 CPU 与 125 GiB 内存承担 Web 服务、数据库、基础图像处理和数学工具，未检测到 NVIDIA GPU；大模型经 API 池调用远端 Qwen3.6-35B-A3B。该模式不宣称完全离线，也不把当前硬件写成最低配置。Qdrant 和嵌入重排服务根据可用环境启用，模型或检索不可用时前端展示明确状态并保留重试入口。参赛演示将准备稳定网络、API 额度和固定验证用例，降低外部服务波动对展示的影响。</w:t>
      </w:r>
    </w:p>
    <w:p>
      <w:pPr>
        <w:pStyle w:val="5"/>
      </w:pPr>
      <w:r>
        <w:t>3.1.1 工程可行性</w:t>
      </w:r>
    </w:p>
    <w:p>
      <w:pPr>
        <w:ind w:firstLine="440"/>
        <w:jc w:val="both"/>
      </w:pPr>
      <w:r>
        <w:rPr>
          <w:rFonts w:ascii="宋体" w:hAnsi="宋体" w:eastAsia="宋体"/>
          <w:color w:val="222222"/>
          <w:sz w:val="22"/>
        </w:rPr>
        <w:t>项目的工程可行性建立在一条完整的本地链路上：前端使用 Vue 3、uni-app／uni-ui 与 JavaScript/TypeScript 混合源码完成移动优先交互；后端使用 FastAPI 提供异步接口与业务编排；MySQL 保存业务事实；文件存储保存题图及派生资源；OpenCV 负责图像辅助处理；Pydantic 约束模型输出；SymPy 为可形式化的数学判断提供验证；BGE-M3、Qdrant 与重排器提供候选练习检索。每项能力都有清晰的输入、输出和失败边界，避免把所有判断压入一段不可审查的提示词。</w:t>
      </w:r>
    </w:p>
    <w:p>
      <w:pPr>
        <w:ind w:firstLine="440"/>
        <w:jc w:val="both"/>
      </w:pPr>
      <w:r>
        <w:rPr>
          <w:rFonts w:ascii="宋体" w:hAnsi="宋体" w:eastAsia="宋体"/>
          <w:color w:val="222222"/>
          <w:sz w:val="22"/>
        </w:rPr>
        <w:t>本次验证的硬件基线为 2× Xeon Silver 4210，系统可见 40 个 CPU 线程和 125 GiB 内存，未检测到 NVIDIA GPU。Qwen3.6-35B-A3B 经 ApiPoolProvider 调用远程合格条目；本地 CPU 负责业务服务、图像处理、SymPy 校验和 MySQL。该基线仅说明功能验证环境，不报告吞吐、时延或资源效率结论。</w:t>
      </w:r>
    </w:p>
    <w:p>
      <w:r>
        <w:br w:type="page"/>
      </w:r>
    </w:p>
    <w:tbl>
      <w:tblPr>
        <w:tblW w:type="auto" w:w="0"/>
        <w:jc w:val="center"/>
        <w:tblLayout w:type="autofit"/>
        <w:tblLook w:firstColumn="1" w:firstRow="1" w:lastColumn="0" w:lastRow="0" w:noHBand="0" w:noVBand="1" w:val="04A0"/>
      </w:tblPr>
      <w:tblGrid>
        <w:gridCol w:w="3118"/>
        <w:gridCol w:w="3118"/>
        <w:gridCol w:w="3118"/>
      </w:tblGrid>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项目</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当前验证环境</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说明</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CPU</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2× Xeon Silver 4210；系统可见 40 线程</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负责本地业务与辅助计算</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内存</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125 GiB</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记录为环境快照，不作容量建议</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GPU</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未检测到 NVIDIA GPU</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不以 GPU 加速作为本轮功能验证前提</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大模型</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Qwen3.6-35B-A3B 经 API 池调用</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不在本文输出条目地址或凭据</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本地任务</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FastAPI、MySQL、OpenCV、SymPy</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不作吞吐或时延实测声明</w:t>
            </w:r>
          </w:p>
        </w:tc>
      </w:tr>
    </w:tbl>
    <w:p>
      <w:pPr>
        <w:spacing w:after="20"/>
      </w:pPr>
    </w:p>
    <w:p>
      <w:pPr>
        <w:ind w:firstLine="440"/>
        <w:jc w:val="both"/>
      </w:pPr>
      <w:r>
        <w:rPr>
          <w:rFonts w:ascii="宋体" w:hAnsi="宋体" w:eastAsia="宋体"/>
          <w:color w:val="222222"/>
          <w:sz w:val="22"/>
        </w:rPr>
        <w:t>现有代码与验证材料说明核心路径已被实现，而不是只有概念展示：上传、裁剪、确认、分析、诊断、教学、迁移、复习、图示、语音、组卷导出和聚合查看均有前端入口、后端接口及持久化对象。可行性不表示每项外部服务在任意环境都可用；检索和语音能力需要相应运行环境，模型能力依赖可用条目。系统通过状态与错误信息暴露依赖状态，而不以静态结果掩盖故障。</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3-1 待替换】题库数据来源、治理、检索与使用流程</w:t>
            </w:r>
          </w:p>
          <w:p>
            <w:pPr>
              <w:pStyle w:val="FigureNote"/>
              <w:ind w:left="142" w:right="142"/>
            </w:pPr>
            <w:r>
              <w:rPr>
                <w:rFonts w:ascii="宋体" w:hAnsi="宋体" w:eastAsia="宋体"/>
                <w:b/>
                <w:color w:val="0F172A"/>
                <w:sz w:val="18"/>
              </w:rPr>
              <w:t>建议形式：</w:t>
            </w:r>
            <w:r>
              <w:rPr>
                <w:rFonts w:ascii="宋体" w:hAnsi="宋体" w:eastAsia="宋体"/>
                <w:color w:val="64748B"/>
                <w:sz w:val="18"/>
              </w:rPr>
              <w:t>数据治理流程图；同时标示数据规模、许可边界和进入系统的条件</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围绕“题库数据来源、治理、检索与使用流程”只表达正文已经论证的关系，节点文案简短，避免机器人、芯片、大脑、3D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CMM-Math 14856；M3KE 4308；CMMU 1675；可练习题 12817</w:t>
            </w:r>
          </w:p>
        </w:tc>
      </w:tr>
    </w:tbl>
    <w:p>
      <w:pPr>
        <w:spacing w:after="160"/>
        <w:jc w:val="center"/>
      </w:pPr>
      <w:r>
        <w:rPr>
          <w:rFonts w:ascii="宋体" w:hAnsi="宋体" w:eastAsia="宋体"/>
          <w:color w:val="64748B"/>
          <w:sz w:val="20"/>
        </w:rPr>
        <w:t>图 3-1  题库数据来源、治理、检索与使用流程（定稿时替换上方说明框）</w:t>
      </w:r>
    </w:p>
    <w:p>
      <w:r>
        <w:br w:type="page"/>
      </w:r>
    </w:p>
    <w:tbl>
      <w:tblPr>
        <w:tblW w:type="auto" w:w="0"/>
        <w:jc w:val="center"/>
        <w:tblLayout w:type="autofit"/>
        <w:tblLook w:firstColumn="1" w:firstRow="1" w:lastColumn="0" w:lastRow="0" w:noHBand="0" w:noVBand="1" w:val="04A0"/>
      </w:tblPr>
      <w:tblGrid>
        <w:gridCol w:w="3118"/>
        <w:gridCol w:w="3118"/>
        <w:gridCol w:w="3118"/>
      </w:tblGrid>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维度</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可行性依据</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当前边界</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前端交互</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已有上传、确认、诊断、教学、复习和报告入口</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不以页面数量代替学习效果</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后端编排</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FastAPI 接口与领域服务划分明确</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外部能力需按状态可用</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数据持久化</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MySQL 保存题目、资源、会话、认知和复习事实</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本期不提供生产级多租户能力</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推理约束</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轮询、固定模型、Pydantic 和 SymPy 校验</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不能保证开放问题的绝对正确</w:t>
            </w:r>
          </w:p>
        </w:tc>
      </w:tr>
      <w:tr>
        <w:trPr>
          <w:trHeight w:hRule="atLeast"/>
        </w:trPr>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交互安全</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受控 JSON 图示和前端白名单</w:t>
            </w:r>
          </w:p>
        </w:tc>
        <w:tc>
          <w:tcPr>
            <w:tcW w:type="dxa" w:w="3118"/>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图示效果需正式实验验证</w:t>
            </w:r>
          </w:p>
        </w:tc>
      </w:tr>
    </w:tbl>
    <w:p>
      <w:pPr>
        <w:spacing w:after="20"/>
      </w:pPr>
    </w:p>
    <w:p>
      <w:pPr>
        <w:pStyle w:val="5"/>
      </w:pPr>
      <w:r>
        <w:t>3.1.2 教学可行性</w:t>
      </w:r>
    </w:p>
    <w:p>
      <w:pPr>
        <w:ind w:firstLine="440"/>
        <w:jc w:val="both"/>
      </w:pPr>
      <w:r>
        <w:rPr>
          <w:rFonts w:ascii="宋体" w:hAnsi="宋体" w:eastAsia="宋体"/>
          <w:color w:val="222222"/>
          <w:sz w:val="22"/>
        </w:rPr>
        <w:t>从学习理论的角度，系统把“及时反馈”拆分为更可操作的环节：先让学生看到首错点与规则差异，再通过局部提示促成修复，通过教回检验表述，通过近迁移检验同构应用，通过远迁移检验方法保持，最后依据表现安排复习。该过程与形成性评价、检索练习、间隔学习和迁移学习的基本思想相容[21-24]。但理论相容不等于教学效果已经被证明；后续需用对照实验考察学生是否真正减少同类首错和提升迁移表现。</w:t>
      </w:r>
    </w:p>
    <w:p>
      <w:pPr>
        <w:pStyle w:val="5"/>
      </w:pPr>
      <w:r>
        <w:t>3.1.3 数据与评测可行性</w:t>
      </w:r>
    </w:p>
    <w:p>
      <w:r>
        <w:br w:type="page"/>
      </w:r>
    </w:p>
    <w:p>
      <w:pPr>
        <w:ind w:firstLine="440"/>
        <w:jc w:val="both"/>
      </w:pPr>
      <w:r>
        <w:rPr>
          <w:rFonts w:ascii="宋体" w:hAnsi="宋体" w:eastAsia="宋体"/>
          <w:color w:val="222222"/>
          <w:sz w:val="22"/>
        </w:rPr>
        <w:t>项目已具备固定功能数据、公开题回归数据和业务记录三种证据来源。固定功能数据用于稳定回归，公开题回归数据用于检验不同学科、学段和题型的图像与流程兼容性，真实业务记录在完成授权与脱敏后可用于长期研究。三者的用途不能混同：固定案例适合判断代码是否回归，不适合计算泛化指标；公开题的派生图可检验图像流程，不应被描述为自然产生的真实书写；真实学习数据必须经单独的知情、脱敏与访问治理。</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3-2 待替换】系统软硬件部署与数据安全边界</w:t>
            </w:r>
          </w:p>
          <w:p>
            <w:pPr>
              <w:pStyle w:val="FigureNote"/>
              <w:ind w:left="142" w:right="142"/>
            </w:pPr>
            <w:r>
              <w:rPr>
                <w:rFonts w:ascii="宋体" w:hAnsi="宋体" w:eastAsia="宋体"/>
                <w:b/>
                <w:color w:val="0F172A"/>
                <w:sz w:val="18"/>
              </w:rPr>
              <w:t>建议形式：</w:t>
            </w:r>
            <w:r>
              <w:rPr>
                <w:rFonts w:ascii="宋体" w:hAnsi="宋体" w:eastAsia="宋体"/>
                <w:color w:val="64748B"/>
                <w:sz w:val="18"/>
              </w:rPr>
              <w:t>分层架构图；自上而下或自左向右，组件边界与数据流方向明确</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围绕“系统软硬件部署与数据安全边界”只表达正文已经论证的关系，节点文案简短，避免机器人、芯片、大脑、3D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9.4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本地 CPU 业务服务；云端模型 API；原图保护；人工复核</w:t>
            </w:r>
          </w:p>
        </w:tc>
      </w:tr>
    </w:tbl>
    <w:p>
      <w:pPr>
        <w:spacing w:after="160"/>
        <w:jc w:val="center"/>
      </w:pPr>
      <w:r>
        <w:rPr>
          <w:rFonts w:ascii="宋体" w:hAnsi="宋体" w:eastAsia="宋体"/>
          <w:color w:val="64748B"/>
          <w:sz w:val="20"/>
        </w:rPr>
        <w:t>图 3-2  系统软硬件部署与数据安全边界（定稿时替换上方说明框）</w:t>
      </w:r>
    </w:p>
    <w:p>
      <w:pPr>
        <w:pStyle w:val="4"/>
      </w:pPr>
      <w:r>
        <w:t>3.2 技术细节</w:t>
      </w:r>
    </w:p>
    <w:p>
      <w:pPr>
        <w:ind w:firstLine="440"/>
        <w:jc w:val="both"/>
      </w:pPr>
      <w:r>
        <w:rPr>
          <w:rFonts w:ascii="宋体" w:hAnsi="宋体" w:eastAsia="宋体"/>
          <w:color w:val="222222"/>
          <w:sz w:val="22"/>
        </w:rPr>
        <w:t>从智能体视角看，错题帮把一次学习任务建模为持续变化的环境。初始观察来自题目图片、结构化题干和学生作答；完成首错诊断后，环境新增错误位置、根因候选和证据置信度；教学过程中，学生回答、提示使用、Teach-back、近迁移和远迁移结果持续改变状态；长期记忆又提供掌握度、重复误区、遗忘风险和历史有效策略。智能体基于这些观察决定下一步是解释、提问、调用可视化、检索新题、重新诊断、检查答案还是结束本轮学习。</w:t>
      </w:r>
    </w:p>
    <w:p>
      <w:r>
        <w:br w:type="page"/>
      </w:r>
    </w:p>
    <w:p>
      <w:pPr>
        <w:ind w:firstLine="440"/>
        <w:jc w:val="both"/>
      </w:pPr>
      <w:r>
        <w:rPr>
          <w:rFonts w:ascii="宋体" w:hAnsi="宋体" w:eastAsia="宋体"/>
          <w:color w:val="222222"/>
          <w:sz w:val="22"/>
        </w:rPr>
        <w:t>自主决策不意味着无限制执行。运行时把计划、工具和证据分别建模：计划是面向用户和管理员可查看的短步骤目标，工具是白名单内可调用的受控能力，证据则是工具必须返回的结构化结果。工具执行之后，系统检查证据契约中的引用、状态和必要字段，再将本次行为标记为 verified、partial 或 rejected。管理员工作台只展示这一公开决策轨迹，不展示模型内部思维链。这样既能满足赛题对智能体规划与行动的要求，又能保持教育场景的可解释与安全边界。</w:t>
      </w:r>
    </w:p>
    <w:p>
      <w:pPr>
        <w:pStyle w:val="5"/>
      </w:pPr>
      <w:r>
        <w:t>3.2.1 学习流程实现</w:t>
      </w:r>
    </w:p>
    <w:p>
      <w:pPr>
        <w:ind w:firstLine="440"/>
        <w:jc w:val="both"/>
      </w:pPr>
      <w:r>
        <w:rPr>
          <w:rFonts w:ascii="宋体" w:hAnsi="宋体" w:eastAsia="宋体"/>
          <w:color w:val="222222"/>
          <w:sz w:val="22"/>
        </w:rPr>
        <w:t>学习者从上传题图开始。系统先创建题目与处理任务，再保存原始资源和哈希；后台生成清洁图、掩码与叠加图；学习者在裁剪和确认页面检查题干、公式、学生书写及批注；分析服务生成参考路径，诊断服务给出首错点及证据；教学会话在阶段约束下推进至教回和迁移；迁移结果再进入掌握度、错因状态和复习计划。每一步均可回到前一步查看证据，而不是将页面跳转当作数据丢弃。</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3-3 待替换】错题帮系统分层技术架构</w:t>
            </w:r>
          </w:p>
          <w:p>
            <w:pPr>
              <w:pStyle w:val="FigureNote"/>
              <w:ind w:left="142" w:right="142"/>
            </w:pPr>
            <w:r>
              <w:rPr>
                <w:rFonts w:ascii="宋体" w:hAnsi="宋体" w:eastAsia="宋体"/>
                <w:b/>
                <w:color w:val="0F172A"/>
                <w:sz w:val="18"/>
              </w:rPr>
              <w:t>建议形式：</w:t>
            </w:r>
            <w:r>
              <w:rPr>
                <w:rFonts w:ascii="宋体" w:hAnsi="宋体" w:eastAsia="宋体"/>
                <w:color w:val="64748B"/>
                <w:sz w:val="18"/>
              </w:rPr>
              <w:t>分层架构图；自上而下或自左向右，组件边界与数据流方向明确</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围绕“错题帮系统分层技术架构”只表达正文已经论证的关系，节点文案简短，避免机器人、芯片、大脑、3D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10.2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Vue 3 与 uni-app；FastAPI 与 Pydantic；Agent 与工具；MySQL 与 Qdrant</w:t>
            </w:r>
          </w:p>
        </w:tc>
      </w:tr>
    </w:tbl>
    <w:p>
      <w:pPr>
        <w:spacing w:after="160"/>
        <w:jc w:val="center"/>
      </w:pPr>
      <w:r>
        <w:rPr>
          <w:rFonts w:ascii="宋体" w:hAnsi="宋体" w:eastAsia="宋体"/>
          <w:color w:val="64748B"/>
          <w:sz w:val="20"/>
        </w:rPr>
        <w:t>图 3-3  错题帮系统分层技术架构（定稿时替换上方说明框）</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3-4 待替换】拍题、框选与内容确认功能流程</w:t>
            </w:r>
          </w:p>
          <w:p>
            <w:pPr>
              <w:pStyle w:val="FigureNote"/>
              <w:ind w:left="142" w:right="142"/>
            </w:pPr>
            <w:r>
              <w:rPr>
                <w:rFonts w:ascii="宋体" w:hAnsi="宋体" w:eastAsia="宋体"/>
                <w:b/>
                <w:color w:val="0F172A"/>
                <w:sz w:val="18"/>
              </w:rPr>
              <w:t>建议形式：</w:t>
            </w:r>
            <w:r>
              <w:rPr>
                <w:rFonts w:ascii="宋体" w:hAnsi="宋体" w:eastAsia="宋体"/>
                <w:color w:val="64748B"/>
                <w:sz w:val="18"/>
              </w:rPr>
              <w:t>真实系统截图组；使用同一测试记录、统一裁切比例和简洁设备框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选取能直接证明“拍题、框选与内容确认功能流程”的核心状态，不展示空页面、重复菜单或与正文无关的列表。</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10.5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frontend/src/pages/capture/capture.vue；frontend/src/pages/crop/crop.vue；frontend/src/pages/ocr/ocr.vue</w:t>
            </w:r>
          </w:p>
        </w:tc>
      </w:tr>
    </w:tbl>
    <w:p>
      <w:pPr>
        <w:spacing w:after="160"/>
        <w:jc w:val="center"/>
      </w:pPr>
      <w:r>
        <w:rPr>
          <w:rFonts w:ascii="宋体" w:hAnsi="宋体" w:eastAsia="宋体"/>
          <w:color w:val="64748B"/>
          <w:sz w:val="20"/>
        </w:rPr>
        <w:t>图 3-4  拍题、框选与内容确认功能流程（定稿时替换上方说明框）</w:t>
      </w:r>
    </w:p>
    <w:p>
      <w:pPr>
        <w:pStyle w:val="5"/>
      </w:pPr>
      <w:r>
        <w:t>3.2.2 图像与识别证据链</w:t>
      </w:r>
    </w:p>
    <w:p>
      <w:pPr>
        <w:ind w:firstLine="440"/>
        <w:jc w:val="both"/>
      </w:pPr>
      <w:r>
        <w:rPr>
          <w:rFonts w:ascii="宋体" w:hAnsi="宋体" w:eastAsia="宋体"/>
          <w:color w:val="222222"/>
          <w:sz w:val="22"/>
        </w:rPr>
        <w:t>图像链路的首要约束是原始性。save_original 会在格式检查和方向纠正后保存原始资源，并计算哈希；preprocess_image 单独生成清洁、掩码和叠加资源；crop_image 从原始资源截取区域并记录实际几何信息；区域保存函数再将识别出的题图、学生图和批注区分别落盘。由此，后续任何识别或人工修改都不会替代上传时的原始图。</w:t>
      </w:r>
    </w:p>
    <w:p>
      <w:pPr>
        <w:ind w:firstLine="440"/>
        <w:jc w:val="both"/>
      </w:pPr>
      <w:r>
        <w:rPr>
          <w:rFonts w:ascii="宋体" w:hAnsi="宋体" w:eastAsia="宋体"/>
          <w:color w:val="222222"/>
          <w:sz w:val="22"/>
        </w:rPr>
        <w:t>对红色批注的处理使用像素级辅助证据：先通过 HSV 区间得到候选掩码，再在局部区域计算红色比例。该规则只能说明颜色特征是否支持“红色批注”候选，不能判断笔迹来源、意图或评分权威性。系统将颜色证据、模型候选和人工确认结合使用，避免由单一视觉规则产生过强结论。</w:t>
      </w:r>
    </w:p>
    <w:p>
      <w:pPr>
        <w:pStyle w:val="5"/>
      </w:pPr>
      <w:r>
        <w:t>3.2.3 首错点诊断与数学验证</w:t>
      </w:r>
    </w:p>
    <w:p>
      <w:r>
        <w:br w:type="page"/>
      </w:r>
    </w:p>
    <w:p>
      <w:pPr>
        <w:ind w:firstLine="440"/>
        <w:jc w:val="both"/>
      </w:pPr>
      <w:r>
        <w:rPr>
          <w:rFonts w:ascii="宋体" w:hAnsi="宋体" w:eastAsia="宋体"/>
          <w:color w:val="222222"/>
          <w:sz w:val="22"/>
        </w:rPr>
        <w:t>诊断服务将分析出的参考步骤和确认后的学生步骤进行逐步比较。对每一候选差异，系统区分“形式不同但等价”“局部表述不充分”“实质性偏离”以及“后续传播”。首错点应是最早的实质性偏离，而不是最后一个错误答案。根因候选通过知识点、题型、错误类型与过程文字共同形成；诊断结果中保留学生原步骤、参考修复或模型修复、验证方式及传播说明，便于复核。</w:t>
      </w:r>
    </w:p>
    <w:p>
      <w:pPr>
        <w:ind w:firstLine="440"/>
        <w:jc w:val="both"/>
      </w:pPr>
      <w:r>
        <w:rPr>
          <w:rFonts w:ascii="宋体" w:hAnsi="宋体" w:eastAsia="宋体"/>
          <w:color w:val="222222"/>
          <w:sz w:val="22"/>
        </w:rPr>
        <w:t>在适用的数学问题上，SymPy 用于验证表达等价性、求解或替换检查。例如，模型给出的修复路径若可转成符号式，则通过符号校验确认后再作为候选解释的一部分；若无法转化或出现异常，系统不应把未验证的表达标记为已证明。对非数学学科，系统以材料、时序、术语与人工确认作为主要证据，而不滥用符号化。</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3-5 待替换】学生路径与参考路径对齐及错误传播判定</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横向扁平信息图；白底、单一品牌蓝、线性箭头和少量状态色</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围绕“学生路径与参考路径对齐及错误传播判定”只表达正文已经论证的关系，节点文案简短，避免机器人、芯片、大脑、3D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9.6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参考步骤；学生步骤；首错；传播错误；独立错误</w:t>
            </w:r>
          </w:p>
        </w:tc>
      </w:tr>
    </w:tbl>
    <w:p>
      <w:pPr>
        <w:spacing w:after="160"/>
        <w:jc w:val="center"/>
      </w:pPr>
      <w:r>
        <w:rPr>
          <w:rFonts w:ascii="宋体" w:hAnsi="宋体" w:eastAsia="宋体"/>
          <w:color w:val="64748B"/>
          <w:sz w:val="20"/>
        </w:rPr>
        <w:t>图 3-5  学生路径与参考路径对齐及错误传播判定（定稿时替换上方说明框）</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3-6 待替换】面向学生真实作答的错因诊断页面</w:t>
            </w:r>
          </w:p>
          <w:p>
            <w:pPr>
              <w:pStyle w:val="FigureNote"/>
              <w:ind w:left="142" w:right="142"/>
            </w:pPr>
            <w:r>
              <w:rPr>
                <w:rFonts w:ascii="宋体" w:hAnsi="宋体" w:eastAsia="宋体"/>
                <w:b/>
                <w:color w:val="0F172A"/>
                <w:sz w:val="18"/>
              </w:rPr>
              <w:t>建议形式：</w:t>
            </w:r>
            <w:r>
              <w:rPr>
                <w:rFonts w:ascii="宋体" w:hAnsi="宋体" w:eastAsia="宋体"/>
                <w:color w:val="64748B"/>
                <w:sz w:val="18"/>
              </w:rPr>
              <w:t>真实系统截图组；使用同一测试记录、统一裁切比例和简洁设备框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选取能直接证明“面向学生真实作答的错因诊断页面”的核心状态，不展示空页面、重复菜单或与正文无关的列表。</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11.2 cm × 12.0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frontend/src/pages/diagnosis/diagnosis.vue</w:t>
            </w:r>
          </w:p>
        </w:tc>
      </w:tr>
    </w:tbl>
    <w:p>
      <w:pPr>
        <w:spacing w:after="160"/>
        <w:jc w:val="center"/>
      </w:pPr>
      <w:r>
        <w:rPr>
          <w:rFonts w:ascii="宋体" w:hAnsi="宋体" w:eastAsia="宋体"/>
          <w:color w:val="64748B"/>
          <w:sz w:val="20"/>
        </w:rPr>
        <w:t>图 3-6  面向学生真实作答的错因诊断页面（定稿时替换上方说明框）</w:t>
      </w:r>
    </w:p>
    <w:p>
      <w:pPr>
        <w:pStyle w:val="5"/>
      </w:pPr>
      <w:r>
        <w:t>3.2.4 动态工具调用与可验证决策轨迹</w:t>
      </w:r>
    </w:p>
    <w:p>
      <w:pPr>
        <w:ind w:firstLine="440"/>
        <w:jc w:val="both"/>
      </w:pPr>
      <w:r>
        <w:rPr>
          <w:rFonts w:ascii="宋体" w:hAnsi="宋体" w:eastAsia="宋体"/>
          <w:color w:val="222222"/>
          <w:sz w:val="22"/>
        </w:rPr>
        <w:t>“动态工具调用”在本项目中指：教学智能体并非每次只输出一段讲解，而是根据当前会话状态选择受约束工具，例如提取错因、给出局部提示、选择图示、生成迁移题、检查作答与安排复习。工具的选择、输入摘要、输出证据和阶段变化均可记录。它由此形成“决策—行动—反馈—再决策”轨迹，而不是只留下最终对话文本。</w:t>
      </w:r>
    </w:p>
    <w:p>
      <w:pPr>
        <w:ind w:firstLine="440"/>
        <w:jc w:val="both"/>
      </w:pPr>
      <w:r>
        <w:rPr>
          <w:rFonts w:ascii="宋体" w:hAnsi="宋体" w:eastAsia="宋体"/>
          <w:color w:val="222222"/>
          <w:sz w:val="22"/>
        </w:rPr>
        <w:t>“可验证决策轨迹”至少包含四层。第一层是状态：当前是部分正确、重复错误还是迁移阶段。第二层是依据：本次诊断、前序作答、提示等级与认知状态。第三层是行动：调用何种工具、生成何种图示或练习。第四层是结果：学生是否完成教回、近迁移和远迁移。轨迹并不等于模型的内部思考文本，而是业务上足以审计的外部决策依据与结果。</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3-7 待替换】白名单工具、证据契约与可验证决策轨迹</w:t>
            </w:r>
          </w:p>
          <w:p>
            <w:pPr>
              <w:pStyle w:val="FigureNote"/>
              <w:ind w:left="142" w:right="142"/>
            </w:pPr>
            <w:r>
              <w:rPr>
                <w:rFonts w:ascii="宋体" w:hAnsi="宋体" w:eastAsia="宋体"/>
                <w:b/>
                <w:color w:val="0F172A"/>
                <w:sz w:val="18"/>
              </w:rPr>
              <w:t>建议形式：</w:t>
            </w:r>
            <w:r>
              <w:rPr>
                <w:rFonts w:ascii="宋体" w:hAnsi="宋体" w:eastAsia="宋体"/>
                <w:color w:val="64748B"/>
                <w:sz w:val="18"/>
              </w:rPr>
              <w:t>机制图与真实页面组合；机制在左或上，运行证据在右或下</w:t>
            </w:r>
          </w:p>
          <w:p>
            <w:pPr>
              <w:pStyle w:val="FigureNote"/>
              <w:ind w:left="142" w:right="142"/>
            </w:pPr>
            <w:r>
              <w:rPr>
                <w:rFonts w:ascii="宋体" w:hAnsi="宋体" w:eastAsia="宋体"/>
                <w:b/>
                <w:color w:val="0F172A"/>
                <w:sz w:val="18"/>
              </w:rPr>
              <w:t>绘制要求：</w:t>
            </w:r>
            <w:r>
              <w:rPr>
                <w:rFonts w:ascii="宋体" w:hAnsi="宋体" w:eastAsia="宋体"/>
                <w:color w:val="64748B"/>
                <w:sz w:val="18"/>
              </w:rPr>
              <w:t>用一半版面概括“白名单工具、证据契约与可验证决策轨迹”的机制，另一半使用真实运行界面或评测结果作为证据。</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10.8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frontend/src/pages/admin/workbench.vue</w:t>
            </w:r>
          </w:p>
          <w:p>
            <w:pPr>
              <w:pStyle w:val="FigureNote"/>
              <w:ind w:left="142" w:right="142"/>
            </w:pPr>
            <w:r>
              <w:rPr>
                <w:rFonts w:ascii="宋体" w:hAnsi="宋体" w:eastAsia="宋体"/>
                <w:b/>
                <w:color w:val="0F172A"/>
                <w:sz w:val="18"/>
              </w:rPr>
              <w:t>其他依据：</w:t>
            </w:r>
            <w:r>
              <w:rPr>
                <w:rFonts w:ascii="宋体" w:hAnsi="宋体" w:eastAsia="宋体"/>
                <w:color w:val="64748B"/>
                <w:sz w:val="18"/>
              </w:rPr>
              <w:t>backend/app/services/agent_runtime.py</w:t>
            </w:r>
          </w:p>
        </w:tc>
      </w:tr>
    </w:tbl>
    <w:p>
      <w:pPr>
        <w:spacing w:after="160"/>
        <w:jc w:val="center"/>
      </w:pPr>
      <w:r>
        <w:rPr>
          <w:rFonts w:ascii="宋体" w:hAnsi="宋体" w:eastAsia="宋体"/>
          <w:color w:val="64748B"/>
          <w:sz w:val="20"/>
        </w:rPr>
        <w:t>图 3-7  白名单工具、证据契约与可验证决策轨迹（定稿时替换上方说明框）</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3-8 待替换】自适应教学状态机与教学工具页面</w:t>
            </w:r>
          </w:p>
          <w:p>
            <w:pPr>
              <w:pStyle w:val="FigureNote"/>
              <w:ind w:left="142" w:right="142"/>
            </w:pPr>
            <w:r>
              <w:rPr>
                <w:rFonts w:ascii="宋体" w:hAnsi="宋体" w:eastAsia="宋体"/>
                <w:b/>
                <w:color w:val="0F172A"/>
                <w:sz w:val="18"/>
              </w:rPr>
              <w:t>建议形式：</w:t>
            </w:r>
            <w:r>
              <w:rPr>
                <w:rFonts w:ascii="宋体" w:hAnsi="宋体" w:eastAsia="宋体"/>
                <w:color w:val="64748B"/>
                <w:sz w:val="18"/>
              </w:rPr>
              <w:t>机制图与真实页面组合；机制在左或上，运行证据在右或下</w:t>
            </w:r>
          </w:p>
          <w:p>
            <w:pPr>
              <w:pStyle w:val="FigureNote"/>
              <w:ind w:left="142" w:right="142"/>
            </w:pPr>
            <w:r>
              <w:rPr>
                <w:rFonts w:ascii="宋体" w:hAnsi="宋体" w:eastAsia="宋体"/>
                <w:b/>
                <w:color w:val="0F172A"/>
                <w:sz w:val="18"/>
              </w:rPr>
              <w:t>绘制要求：</w:t>
            </w:r>
            <w:r>
              <w:rPr>
                <w:rFonts w:ascii="宋体" w:hAnsi="宋体" w:eastAsia="宋体"/>
                <w:color w:val="64748B"/>
                <w:sz w:val="18"/>
              </w:rPr>
              <w:t>用一半版面概括“自适应教学状态机与教学工具页面”的机制，另一半使用真实运行界面或评测结果作为证据。</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11.0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frontend/src/pages/tutor/tutor.vue；frontend/src/pages/visualization/visualization.vue；frontend/src/pages/practice/practice.vue</w:t>
            </w:r>
          </w:p>
          <w:p>
            <w:pPr>
              <w:pStyle w:val="FigureNote"/>
              <w:ind w:left="142" w:right="142"/>
            </w:pPr>
            <w:r>
              <w:rPr>
                <w:rFonts w:ascii="宋体" w:hAnsi="宋体" w:eastAsia="宋体"/>
                <w:b/>
                <w:color w:val="0F172A"/>
                <w:sz w:val="18"/>
              </w:rPr>
              <w:t>其他依据：</w:t>
            </w:r>
            <w:r>
              <w:rPr>
                <w:rFonts w:ascii="宋体" w:hAnsi="宋体" w:eastAsia="宋体"/>
                <w:color w:val="64748B"/>
                <w:sz w:val="18"/>
              </w:rPr>
              <w:t>backend/app/services/tutor_graph.py</w:t>
            </w:r>
          </w:p>
        </w:tc>
      </w:tr>
    </w:tbl>
    <w:p>
      <w:pPr>
        <w:spacing w:after="160"/>
        <w:jc w:val="center"/>
      </w:pPr>
      <w:r>
        <w:rPr>
          <w:rFonts w:ascii="宋体" w:hAnsi="宋体" w:eastAsia="宋体"/>
          <w:color w:val="64748B"/>
          <w:sz w:val="20"/>
        </w:rPr>
        <w:t>图 3-8  自适应教学状态机与教学工具页面（定稿时替换上方说明框）</w:t>
      </w:r>
    </w:p>
    <w:p>
      <w:pPr>
        <w:pStyle w:val="5"/>
      </w:pPr>
      <w:r>
        <w:t>3.2.5 长期认知记忆</w:t>
      </w:r>
    </w:p>
    <w:p>
      <w:pPr>
        <w:ind w:firstLine="440"/>
        <w:jc w:val="both"/>
      </w:pPr>
      <w:r>
        <w:rPr>
          <w:rFonts w:ascii="宋体" w:hAnsi="宋体" w:eastAsia="宋体"/>
          <w:color w:val="222222"/>
          <w:sz w:val="22"/>
        </w:rPr>
        <w:t>长期认知记忆不是保存无限对话，而是保存可解释的状态摘要。对每一学科—知识点组合，系统记录掌握度、证据数量、置信度、近迁移率、远迁移率、遗忘风险和最后证据时间；对每一错因，系统记录概率、出现次数、状态、成功或失败策略。每次更新同时写入旧值、新值、证据和原因，因而能回答“为什么这个状态变化”。</w:t>
      </w:r>
    </w:p>
    <w:p>
      <w:r>
        <w:br w:type="page"/>
      </w:r>
    </w:p>
    <w:p>
      <w:pPr>
        <w:ind w:firstLine="440"/>
        <w:jc w:val="both"/>
      </w:pPr>
      <w:r>
        <w:rPr>
          <w:rFonts w:ascii="宋体" w:hAnsi="宋体" w:eastAsia="宋体"/>
          <w:color w:val="222222"/>
          <w:sz w:val="22"/>
        </w:rPr>
        <w:t>当前更新规则具有明确的工程参数：教回、近迁移和远迁移对掌握度的影响不同，提示等级会形成惩罚项，分数被截断在 0—1；错因概率与掌握变化反向联动。该规则应被看作待评估的启发式策略，而不是对学习者能力的医学式或决定性判断。后续可在保留更新日志的前提下比较不同参数和模型。</w:t>
      </w:r>
    </w:p>
    <w:p>
      <w:pPr>
        <w:pStyle w:val="5"/>
      </w:pPr>
      <w:r>
        <w:t>3.2.6 检索、图示与多端功能</w:t>
      </w:r>
    </w:p>
    <w:p>
      <w:pPr>
        <w:ind w:firstLine="440"/>
        <w:jc w:val="both"/>
      </w:pPr>
      <w:r>
        <w:rPr>
          <w:rFonts w:ascii="宋体" w:hAnsi="宋体" w:eastAsia="宋体"/>
          <w:color w:val="222222"/>
          <w:sz w:val="22"/>
        </w:rPr>
        <w:t>检索服务以真实候选题为优先：BGE-M3 产生语义和词法表示，Qdrant 执行双路召回，RRF 合并排序，重排器复核候选，规则再筛掉无答案、学科不一致或不适于当前练习目的的项目。候选题的来源、融合排名、重排得分及选择理由可以返回给业务层。现有题库报告呈现了导入与索引规模，但该规模与实际“推荐质量”不是同一指标，正式评测须单独测量。</w:t>
      </w:r>
    </w:p>
    <w:p>
      <w:pPr>
        <w:ind w:firstLine="440"/>
        <w:jc w:val="both"/>
      </w:pPr>
      <w:r>
        <w:rPr>
          <w:rFonts w:ascii="宋体" w:hAnsi="宋体" w:eastAsia="宋体"/>
          <w:color w:val="222222"/>
          <w:sz w:val="22"/>
        </w:rPr>
        <w:t>受控图示侧重“可执行边界”。后端依据题目特征提出可选类型，Pydantic 验证规格；前端以本地白名单校验函数确认类型与字段后调用固定 Canvas 渲染器。用户拖动、切换或操作图示会写入交互记录，供教学过程回看。语音、组卷导出、家长查看和教师聚合均以同一证据状态为数据来源，避免重复造一套页面内数据。</w:t>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3-9 待替换】真实题库混合检索与近远迁移排序</w:t>
            </w:r>
          </w:p>
          <w:p>
            <w:pPr>
              <w:pStyle w:val="FigureNote"/>
              <w:ind w:left="142" w:right="142"/>
            </w:pPr>
            <w:r>
              <w:rPr>
                <w:rFonts w:ascii="宋体" w:hAnsi="宋体" w:eastAsia="宋体"/>
                <w:b/>
                <w:color w:val="0F172A"/>
                <w:sz w:val="18"/>
              </w:rPr>
              <w:t>建议形式：</w:t>
            </w:r>
            <w:r>
              <w:rPr>
                <w:rFonts w:ascii="宋体" w:hAnsi="宋体" w:eastAsia="宋体"/>
                <w:color w:val="64748B"/>
                <w:sz w:val="18"/>
              </w:rPr>
              <w:t>横向闭环流程图；步骤不超过八个，关键验证点使用加粗边框</w:t>
            </w:r>
          </w:p>
          <w:p>
            <w:pPr>
              <w:pStyle w:val="FigureNote"/>
              <w:ind w:left="142" w:right="142"/>
            </w:pPr>
            <w:r>
              <w:rPr>
                <w:rFonts w:ascii="宋体" w:hAnsi="宋体" w:eastAsia="宋体"/>
                <w:b/>
                <w:color w:val="0F172A"/>
                <w:sz w:val="18"/>
              </w:rPr>
              <w:t>绘制要求：</w:t>
            </w:r>
            <w:r>
              <w:rPr>
                <w:rFonts w:ascii="宋体" w:hAnsi="宋体" w:eastAsia="宋体"/>
                <w:color w:val="64748B"/>
                <w:sz w:val="18"/>
              </w:rPr>
              <w:t>围绕“真实题库混合检索与近远迁移排序”只表达正文已经论证的关系，节点文案简短，避免机器人、芯片、大脑、3D 和炫光渐变。</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9.4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BGE-M3；Qdrant；RRF；BGE-reranker-v2-m3；题型过滤；原题去重</w:t>
            </w:r>
          </w:p>
        </w:tc>
      </w:tr>
    </w:tbl>
    <w:p>
      <w:pPr>
        <w:spacing w:after="160"/>
        <w:jc w:val="center"/>
      </w:pPr>
      <w:r>
        <w:rPr>
          <w:rFonts w:ascii="宋体" w:hAnsi="宋体" w:eastAsia="宋体"/>
          <w:color w:val="64748B"/>
          <w:sz w:val="20"/>
        </w:rPr>
        <w:t>图 3-9  真实题库混合检索与近远迁移排序（定稿时替换上方说明框）</w:t>
      </w: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3-10 待替换】可信作答判定、长期认知更新与主动复习</w:t>
            </w:r>
          </w:p>
          <w:p>
            <w:pPr>
              <w:pStyle w:val="FigureNote"/>
              <w:ind w:left="142" w:right="142"/>
            </w:pPr>
            <w:r>
              <w:rPr>
                <w:rFonts w:ascii="宋体" w:hAnsi="宋体" w:eastAsia="宋体"/>
                <w:b/>
                <w:color w:val="0F172A"/>
                <w:sz w:val="18"/>
              </w:rPr>
              <w:t>建议形式：</w:t>
            </w:r>
            <w:r>
              <w:rPr>
                <w:rFonts w:ascii="宋体" w:hAnsi="宋体" w:eastAsia="宋体"/>
                <w:color w:val="64748B"/>
                <w:sz w:val="18"/>
              </w:rPr>
              <w:t>机制图与真实页面组合；机制在左或上，运行证据在右或下</w:t>
            </w:r>
          </w:p>
          <w:p>
            <w:pPr>
              <w:pStyle w:val="FigureNote"/>
              <w:ind w:left="142" w:right="142"/>
            </w:pPr>
            <w:r>
              <w:rPr>
                <w:rFonts w:ascii="宋体" w:hAnsi="宋体" w:eastAsia="宋体"/>
                <w:b/>
                <w:color w:val="0F172A"/>
                <w:sz w:val="18"/>
              </w:rPr>
              <w:t>绘制要求：</w:t>
            </w:r>
            <w:r>
              <w:rPr>
                <w:rFonts w:ascii="宋体" w:hAnsi="宋体" w:eastAsia="宋体"/>
                <w:color w:val="64748B"/>
                <w:sz w:val="18"/>
              </w:rPr>
              <w:t>用一半版面概括“可信作答判定、长期认知更新与主动复习”的机制，另一半使用真实运行界面或评测结果作为证据。</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11.0 cm；按版心等比例调整</w:t>
            </w:r>
          </w:p>
          <w:p>
            <w:pPr>
              <w:pStyle w:val="FigureNote"/>
              <w:ind w:left="142" w:right="142"/>
            </w:pPr>
            <w:r>
              <w:rPr>
                <w:rFonts w:ascii="宋体" w:hAnsi="宋体" w:eastAsia="宋体"/>
                <w:b/>
                <w:color w:val="0F172A"/>
                <w:sz w:val="18"/>
              </w:rPr>
              <w:t>截图对应 Vue 文件：</w:t>
            </w:r>
            <w:r>
              <w:rPr>
                <w:rFonts w:ascii="宋体" w:hAnsi="宋体" w:eastAsia="宋体"/>
                <w:color w:val="64748B"/>
                <w:sz w:val="18"/>
              </w:rPr>
              <w:t>frontend/src/pages/analysis/analysis.vue；frontend/src/pages/knowledge/knowledge.vue；frontend/src/pages/review/review.vue</w:t>
            </w:r>
          </w:p>
          <w:p>
            <w:pPr>
              <w:pStyle w:val="FigureNote"/>
              <w:ind w:left="142" w:right="142"/>
            </w:pPr>
            <w:r>
              <w:rPr>
                <w:rFonts w:ascii="宋体" w:hAnsi="宋体" w:eastAsia="宋体"/>
                <w:b/>
                <w:color w:val="0F172A"/>
                <w:sz w:val="18"/>
              </w:rPr>
              <w:t>其他依据：</w:t>
            </w:r>
            <w:r>
              <w:rPr>
                <w:rFonts w:ascii="宋体" w:hAnsi="宋体" w:eastAsia="宋体"/>
                <w:color w:val="64748B"/>
                <w:sz w:val="18"/>
              </w:rPr>
              <w:t>backend/app/services/grading.py；backend/app/services/cognition.py</w:t>
            </w:r>
          </w:p>
        </w:tc>
      </w:tr>
    </w:tbl>
    <w:p>
      <w:pPr>
        <w:spacing w:after="160"/>
        <w:jc w:val="center"/>
      </w:pPr>
      <w:r>
        <w:rPr>
          <w:rFonts w:ascii="宋体" w:hAnsi="宋体" w:eastAsia="宋体"/>
          <w:color w:val="64748B"/>
          <w:sz w:val="20"/>
        </w:rPr>
        <w:t>图 3-10  可信作答判定、长期认知更新与主动复习（定稿时替换上方说明框）</w:t>
      </w:r>
    </w:p>
    <w:p>
      <w:pPr>
        <w:pStyle w:val="4"/>
      </w:pPr>
      <w:r>
        <w:t>3.3 计划和分工</w:t>
      </w:r>
    </w:p>
    <w:p>
      <w:pPr>
        <w:pStyle w:val="5"/>
      </w:pPr>
      <w:r>
        <w:t>3.3.1 实施阶段与交付物</w:t>
      </w:r>
    </w:p>
    <w:p>
      <w:pPr>
        <w:ind w:firstLine="440"/>
        <w:jc w:val="both"/>
      </w:pPr>
      <w:r>
        <w:rPr>
          <w:rFonts w:ascii="宋体" w:hAnsi="宋体" w:eastAsia="宋体"/>
          <w:color w:val="222222"/>
          <w:sz w:val="22"/>
        </w:rPr>
        <w:t>项目按“证据链优先、再扩展能力、后进行正式评测”的顺序实施。第一阶段完成需求澄清、数据对象和原图保护；第二阶段完成识别、确认与首错诊断；第三阶段完成教学状态机、迁移、认知更新、检索与图示；第四阶段完成回归验证、评测设计、文档和风险治理。每阶段都以可验收产物为结束条件，不以展示性页面替代数据链路。</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阶段</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核心任务</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交付物</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验收要点</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阶段一：证据建模</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梳理对象、资源类型、数据库与接口合同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数据模型、上传与资源链路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原图不被派生图覆盖</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阶段二：诊断闭环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识别、确认、参考路径、首错点与符号验证</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诊断服务和确认流程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结果含定位与证据</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阶段三：教学闭环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状态机、工具调用、教回、迁移、复习、图示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会话与认知更新链路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决策和结果可回溯</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阶段四：证据评估</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回归、正式评测设计、许可核验、材料整理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验证报告、实验方案、竞赛文档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不夸大原型结果</w:t>
            </w:r>
          </w:p>
        </w:tc>
      </w:tr>
    </w:tbl>
    <w:p>
      <w:pPr>
        <w:spacing w:after="20"/>
      </w:pPr>
    </w:p>
    <w:p>
      <w:pPr>
        <w:pStyle w:val="5"/>
      </w:pPr>
      <w:r>
        <w:t>3.3.2 匿名分工与协作机制</w:t>
      </w:r>
    </w:p>
    <w:p>
      <w:pPr>
        <w:ind w:firstLine="440"/>
        <w:jc w:val="both"/>
      </w:pPr>
      <w:r>
        <w:rPr>
          <w:rFonts w:ascii="宋体" w:hAnsi="宋体" w:eastAsia="宋体"/>
          <w:color w:val="222222"/>
          <w:sz w:val="22"/>
        </w:rPr>
        <w:t>为保持匿名呈现，本文以角色而非个人标识描述分工。角色 A 负责产品与学习流程、需求验收和材料统筹；角色 B 负责前端交互、图示渲染和可用性验证；角色 C 负责后端数据模型、诊断、会话与接口；角色 D 负责验证脚本、数据治理、检索与风险核对。所有角色交叉审阅关键接口和结果，避免单点知识造成“能运行但无法解释”的交付。</w:t>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匿名角色</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主责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协作接口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阶段产出</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角色 A</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学习场景、流程、验收口径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与 B、C 对齐页面和数据合同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需求、验收清单、项目文档</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角色 B</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Vue 交互、可视化、响应式页面</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消费后端 Schema，回传交互需求</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前端流程、Canvas 图示、页面回归</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角色 C</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FastAPI、MySQL、智能编排</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向 B 提供稳定接口，向 D 提供日志结构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服务、迁移、状态机、审计记录</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角色 D</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验证、检索、许可与风险</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对 A/C 提供指标和问题清单</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验证报告、评测设计、治理记录</w:t>
            </w:r>
          </w:p>
        </w:tc>
      </w:tr>
    </w:tbl>
    <w:p>
      <w:pPr>
        <w:spacing w:after="20"/>
      </w:pPr>
    </w:p>
    <w:p>
      <w:r>
        <w:br w:type="page"/>
      </w:r>
    </w:p>
    <w:p>
      <w:pPr>
        <w:pStyle w:val="5"/>
      </w:pPr>
      <w:r>
        <w:t>3.3.3 目标指标：推理与功能验证体系</w:t>
      </w:r>
    </w:p>
    <w:p>
      <w:pPr>
        <w:ind w:firstLine="440"/>
        <w:jc w:val="both"/>
      </w:pPr>
      <w:r>
        <w:rPr>
          <w:rFonts w:ascii="宋体" w:hAnsi="宋体" w:eastAsia="宋体"/>
          <w:color w:val="222222"/>
          <w:sz w:val="22"/>
        </w:rPr>
        <w:t>为防止“能演示”被误当作“有效”，本项目把指标分为四类。格式与安全指标检查输入、Schema 和渲染边界；功能正确性指标检查端到端流程、持久化和状态转移；推理质量指标检查识别、首错定位、类型、解释与候选练习；教育效果指标检查学习者在教回、迁移和延迟复习中的表现。前两类适合工程回归，后两类需要独立样本和人工标注。</w:t>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指标组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指标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定义</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当前状态</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输入可靠性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原图保留率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原图资源和哈希可回查的比例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功能性核验</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结构可靠性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Schema 通过率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后端输出通过 Pydantic、前端规格通过本地白名单校验的比例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功能性核验</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诊断推理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首错步骤准确率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与双人标注一致的首错步骤比例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原型有固定案例结果，待正式评测</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诊断推理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错误类型 Macro-F1</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各类型 F1 的宏平均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待正式评测</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教学决策</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状态转移合法率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每次行动符合状态机允许边的比例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原型可审计，待统计</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检索推理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nDCG@k、Recall@k</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相关练习在前 k 位的排序质量</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待正式评测</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教育效果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近／远迁移正确率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干预后变式题表现</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原型功能验证，待对照试验</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长期效果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延迟保持率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复习后保持与遗忘变化</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待纵向试验</w:t>
            </w:r>
          </w:p>
        </w:tc>
      </w:tr>
    </w:tbl>
    <w:p>
      <w:pPr>
        <w:spacing w:after="20"/>
      </w:pPr>
    </w:p>
    <w:p>
      <w:pPr>
        <w:pStyle w:val="5"/>
      </w:pPr>
      <w:r>
        <w:t>3.3.4 当前原型结果：小规模功能验证</w:t>
      </w:r>
    </w:p>
    <w:p>
      <w:r>
        <w:br w:type="page"/>
      </w:r>
    </w:p>
    <w:p>
      <w:pPr>
        <w:ind w:firstLine="440"/>
        <w:jc w:val="both"/>
      </w:pPr>
      <w:r>
        <w:rPr>
          <w:rFonts w:ascii="宋体" w:hAnsi="宋体" w:eastAsia="宋体"/>
          <w:b/>
          <w:color w:val="1D4FB8"/>
          <w:sz w:val="21"/>
        </w:rPr>
        <w:t>已验证结果｜</w:t>
      </w:r>
      <w:r>
        <w:rPr>
          <w:rFonts w:ascii="宋体" w:hAnsi="宋体" w:eastAsia="宋体"/>
          <w:color w:val="222222"/>
          <w:sz w:val="22"/>
        </w:rPr>
        <w:t>当前结果只说明固定流程在本地环境中可运行。固定小规模原型验证材料包含 24 张固定验证图片、24 个诊断案例、12 个教学状态分支、6 个端到端案例与 16 类受控图示；固定分支报告中的智能体记录为 33 个 Agent run 与 33 个 tool call，图示报告另有 16 次图示 tool call[7-9]。截至 2026 年 8 月 28 日的只读 MySQL 快照为 agent_runs=571、agent_tool_calls=571、knowledge_relations=67，它是数据库状态快照，不是固定验证样本的计数[10]。后端测试 106 项通过仅用于工程回归。上述所有原型和工程记录均不用于估计真实人群中的识别准确率、教学增益或系统吞吐。</w:t>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验证对象</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小规模原型验证结果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可说明的内容</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不可说明的内容</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固定验证图片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24 个流程完成</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图像处理、资源保存与识别链路可回归</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各类手写和设备上的泛化率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诊断案例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24 个案例中首错步骤与类型均与固定标注一致</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指定案例的对齐和诊断链路可运行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真实课堂错误分布上的准确率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教学分支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12 个状态分支均走通</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状态机、工具调用与落库可运行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教学策略的因果效果</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端到端案例</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6 个多学科流程完成</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从输入到复习的链路连通性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多学科长期稳定性</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受控图示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16 类完成 Schema、渲染与交互记录</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白名单图示机制可执行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图示提升理解的幅度</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固定分支轨迹</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33 个 Agent run、33 个 tool call</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固定 12 分支的状态与工具记录可回查</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当前数据库中的全量状态</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图示调用</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16 次图示 tool call</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16 类图示调用记录可回查</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图示带来的学习收益</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当前数据库快照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571 个 agent run、571 个 agent tool call、67 条知识关系</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2026 年 8 月 28 日只读状态可查询</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固定验证样本规模或泛化结论</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后端工程回归</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106 项通过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后端测试基线</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知识关系或智能体调用统计</w:t>
            </w:r>
          </w:p>
        </w:tc>
      </w:tr>
    </w:tbl>
    <w:p>
      <w:pPr>
        <w:spacing w:after="20"/>
      </w:pPr>
    </w:p>
    <w:p>
      <w:r>
        <w:br w:type="page"/>
      </w:r>
    </w:p>
    <w:tbl>
      <w:tblPr>
        <w:tblW w:type="auto" w:w="0"/>
        <w:jc w:val="center"/>
        <w:tblLayout w:type="fixed"/>
        <w:tblLook w:firstColumn="1" w:firstRow="1" w:lastColumn="0" w:lastRow="0" w:noHBand="0" w:noVBand="1" w:val="04A0"/>
      </w:tblPr>
      <w:tblGrid>
        <w:gridCol w:w="9355"/>
      </w:tblGrid>
      <w:tr>
        <w:trPr>
          <w:trHeight w:val="3175" w:hRule="atLeast"/>
        </w:trPr>
        <w:tc>
          <w:tcPr>
            <w:tcW w:type="dxa" w:w="8957"/>
            <w:vAlign w:val="center"/>
            <w:shd w:fill="F8FAFC"/>
            <w:tcBorders>
              <w:top w:val="single" w:sz="12" w:color="2F6BFF"/>
              <w:left w:val="single" w:sz="12" w:color="2F6BFF"/>
              <w:bottom w:val="single" w:sz="12" w:color="2F6BFF"/>
              <w:right w:val="single" w:sz="12" w:color="2F6BFF"/>
            </w:tcBorders>
            <w:tcMar>
              <w:top w:w="180" w:type="dxa"/>
              <w:start w:w="180" w:type="dxa"/>
              <w:bottom w:w="180" w:type="dxa"/>
              <w:end w:w="180" w:type="dxa"/>
            </w:tcMar>
          </w:tcPr>
          <w:p>
            <w:pPr>
              <w:jc w:val="center"/>
            </w:pPr>
            <w:r>
              <w:rPr>
                <w:rFonts w:ascii="宋体" w:hAnsi="宋体" w:eastAsia="宋体"/>
                <w:b/>
                <w:color w:val="1D4FB8"/>
                <w:sz w:val="23"/>
              </w:rPr>
              <w:t>【图 3-11 待替换】AI Inference 评测、消融实验与研发计划</w:t>
            </w:r>
          </w:p>
          <w:p>
            <w:pPr>
              <w:pStyle w:val="FigureNote"/>
              <w:ind w:left="142" w:right="142"/>
            </w:pPr>
            <w:r>
              <w:rPr>
                <w:rFonts w:ascii="宋体" w:hAnsi="宋体" w:eastAsia="宋体"/>
                <w:b/>
                <w:color w:val="0F172A"/>
                <w:sz w:val="18"/>
              </w:rPr>
              <w:t>建议形式：</w:t>
            </w:r>
            <w:r>
              <w:rPr>
                <w:rFonts w:ascii="宋体" w:hAnsi="宋体" w:eastAsia="宋体"/>
                <w:color w:val="64748B"/>
                <w:sz w:val="18"/>
              </w:rPr>
              <w:t>机制图与真实页面组合；机制在左或上，运行证据在右或下</w:t>
            </w:r>
          </w:p>
          <w:p>
            <w:pPr>
              <w:pStyle w:val="FigureNote"/>
              <w:ind w:left="142" w:right="142"/>
            </w:pPr>
            <w:r>
              <w:rPr>
                <w:rFonts w:ascii="宋体" w:hAnsi="宋体" w:eastAsia="宋体"/>
                <w:b/>
                <w:color w:val="0F172A"/>
                <w:sz w:val="18"/>
              </w:rPr>
              <w:t>绘制要求：</w:t>
            </w:r>
            <w:r>
              <w:rPr>
                <w:rFonts w:ascii="宋体" w:hAnsi="宋体" w:eastAsia="宋体"/>
                <w:color w:val="64748B"/>
                <w:sz w:val="18"/>
              </w:rPr>
              <w:t>用一半版面概括“AI Inference 评测、消融实验与研发计划”的机制，另一半使用真实运行界面或评测结果作为证据。</w:t>
            </w:r>
          </w:p>
          <w:p>
            <w:pPr>
              <w:pStyle w:val="FigureNote"/>
              <w:ind w:left="142" w:right="142"/>
            </w:pPr>
            <w:r>
              <w:rPr>
                <w:rFonts w:ascii="宋体" w:hAnsi="宋体" w:eastAsia="宋体"/>
                <w:b/>
                <w:color w:val="0F172A"/>
                <w:sz w:val="18"/>
              </w:rPr>
              <w:t>建议尺寸：</w:t>
            </w:r>
            <w:r>
              <w:rPr>
                <w:rFonts w:ascii="宋体" w:hAnsi="宋体" w:eastAsia="宋体"/>
                <w:color w:val="64748B"/>
                <w:sz w:val="18"/>
              </w:rPr>
              <w:t>横向约 15.8 cm × 11.0 cm；按版心等比例调整</w:t>
            </w:r>
          </w:p>
          <w:p>
            <w:pPr>
              <w:pStyle w:val="FigureNote"/>
              <w:ind w:left="142" w:right="142"/>
            </w:pPr>
            <w:r>
              <w:rPr>
                <w:rFonts w:ascii="宋体" w:hAnsi="宋体" w:eastAsia="宋体"/>
                <w:b/>
                <w:color w:val="0F172A"/>
                <w:sz w:val="18"/>
              </w:rPr>
              <w:t>绘图依据：</w:t>
            </w:r>
            <w:r>
              <w:rPr>
                <w:rFonts w:ascii="宋体" w:hAnsi="宋体" w:eastAsia="宋体"/>
                <w:color w:val="64748B"/>
                <w:sz w:val="18"/>
              </w:rPr>
              <w:t>24 个诊断样例；12 类教学分支；6 条端到端链路；16 类图示；四阶段甘特图；匿名职责分工</w:t>
            </w:r>
          </w:p>
        </w:tc>
      </w:tr>
    </w:tbl>
    <w:p>
      <w:pPr>
        <w:spacing w:after="160"/>
        <w:jc w:val="center"/>
      </w:pPr>
      <w:r>
        <w:rPr>
          <w:rFonts w:ascii="宋体" w:hAnsi="宋体" w:eastAsia="宋体"/>
          <w:color w:val="64748B"/>
          <w:sz w:val="20"/>
        </w:rPr>
        <w:t>图 3-11  AI Inference 评测、消融实验与研发计划（定稿时替换上方说明框）</w:t>
      </w:r>
    </w:p>
    <w:p>
      <w:pPr>
        <w:pStyle w:val="5"/>
      </w:pPr>
      <w:r>
        <w:t>3.3.5 后续预期：正式评测设计</w:t>
      </w:r>
    </w:p>
    <w:p>
      <w:pPr>
        <w:ind w:firstLine="440"/>
        <w:jc w:val="both"/>
      </w:pPr>
      <w:r>
        <w:rPr>
          <w:rFonts w:ascii="宋体" w:hAnsi="宋体" w:eastAsia="宋体"/>
          <w:b/>
          <w:color w:val="C87A08"/>
          <w:sz w:val="21"/>
        </w:rPr>
        <w:t>目标指标｜</w:t>
      </w:r>
      <w:r>
        <w:rPr>
          <w:rFonts w:ascii="宋体" w:hAnsi="宋体" w:eastAsia="宋体"/>
          <w:color w:val="222222"/>
          <w:sz w:val="22"/>
        </w:rPr>
        <w:t>正式评测采用分层、盲评和时间切分。第一层评估输入与结构化理解：按学科、题型、图像质量、批注情况和书写清晰度分层抽样，双人独立标注题干、步骤、区域和首错点；分歧由第三方裁决。第二层评估诊断：报告首错步骤准确率、错误类型 Macro-F1、根因解释充分性和校准度，并给出置信区间。第三层评估教学决策：采用同一题目或同等难度题的对照设计，比较局部提示、普通解析与状态化教学的教回、近迁移、远迁移和延迟保持。第四层评估可靠性：记录模型、图片、服务失败的原因和恢复路径。</w:t>
      </w:r>
    </w:p>
    <w:p>
      <w:pPr>
        <w:ind w:firstLine="440"/>
        <w:jc w:val="both"/>
      </w:pPr>
      <w:r>
        <w:rPr>
          <w:rFonts w:ascii="宋体" w:hAnsi="宋体" w:eastAsia="宋体"/>
          <w:color w:val="222222"/>
          <w:sz w:val="22"/>
        </w:rPr>
        <w:t>数据划分必须以学习者和题目来源为单位，避免同一学习者或高度相似题同时进入训练与测试。公开题只用于经许可范围内的回归，不混入成效推断；涉及真实学习记录时，应先完成脱敏、最小权限、撤回机制和伦理审查。预注册指标、基线、剔除规则和统计方法，避免在观察结果后反向选择结论。</w:t>
      </w:r>
    </w:p>
    <w:p>
      <w:pPr>
        <w:ind w:firstLine="440"/>
        <w:jc w:val="both"/>
      </w:pPr>
      <w:r>
        <w:rPr>
          <w:rFonts w:ascii="宋体" w:hAnsi="宋体" w:eastAsia="宋体"/>
          <w:b/>
          <w:color w:val="C87A08"/>
          <w:sz w:val="21"/>
        </w:rPr>
        <w:t>待补正式结果｜</w:t>
      </w:r>
      <w:r>
        <w:rPr>
          <w:rFonts w:ascii="宋体" w:hAnsi="宋体" w:eastAsia="宋体"/>
          <w:color w:val="222222"/>
          <w:sz w:val="22"/>
        </w:rPr>
        <w:t>正式评测完成后，在不改变指标定义和样本边界的前提下，将本节表格中的“待正式评测”“待统计”和“待纵向试验”替换为实测数值、置信区间与样本规模；替换前不得作为已完成结果对外陈述。</w:t>
      </w:r>
    </w:p>
    <w:p>
      <w:r>
        <w:br w:type="page"/>
      </w:r>
    </w:p>
    <w:p>
      <w:pPr>
        <w:pStyle w:val="6"/>
      </w:pPr>
      <w:r>
        <w:t>3.3.5.1 数据治理与对外边界</w:t>
      </w:r>
    </w:p>
    <w:p>
      <w:pPr>
        <w:ind w:firstLine="440"/>
        <w:jc w:val="both"/>
      </w:pPr>
      <w:r>
        <w:rPr>
          <w:rFonts w:ascii="宋体" w:hAnsi="宋体" w:eastAsia="宋体"/>
          <w:color w:val="222222"/>
          <w:sz w:val="22"/>
        </w:rPr>
        <w:t>数据治理以“用途先行、许可可核、边界可见”为原则。固定功能数据用于工程回归，不能当作真实人群样本；公开题只用于在其许可范围内的回归，不作为教学效果或真实书写结论；导入题库中许可无法可靠确认的来源只能留在本地开发核验范围，不能对外展示、再分发或作为竞赛效果数据。表中“待核验”不是默认允许使用，而是停止对外使用的风险标记。</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数据项</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当前用途</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当前可追溯来源</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许可核验状态</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对外边界</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固定功能数据</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图像、首错、状态分支和端到端工程回归</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项目 data/functional_validation 与验证报告[7]</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项目内部测试数据；不作为外部数据集声明</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不对外分发原始样本；仅报告聚合回归结果</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C-Eval</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公开题图派生回归，覆盖部分学科与题型</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官方仓库与项目公开题回归记录[25]</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CC BY-NC-SA 4.0，按非商业回归用途引用</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不将派生图描述为真实书写；展示前复核许可与署名要求</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GAOKAO-Bench</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开放题、填空、材料等公开题回归</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官方仓库与项目公开题回归记录[26]</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仓库标注 Apache-2.0；具体数据文件使用前仍应复核</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仅在许可范围内引用；不以其结果推断教学效果</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CMM-Math</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本地练习候选导入与检索链路核验</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项目导入／检索报告[15]</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当前材料无法可靠确认，待核验</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限本地开发；不得对外展示、再分发或作为竞赛证据数据</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CMMU</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本地练习候选导入与检索链路核验</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项目导入／检索报告[15]</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当前材料无法可靠确认，待核验</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限本地开发；不得对外展示、再分发或作为竞赛证据数据</w:t>
            </w:r>
          </w:p>
        </w:tc>
      </w:tr>
      <w:tr>
        <w:trPr>
          <w:trHeight w:hRule="atLeast"/>
        </w:trPr>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M3KE</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本地练习候选导入与检索链路核验</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项目导入／检索报告[15]</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许可未声明，风险高</w:t>
            </w:r>
          </w:p>
        </w:tc>
        <w:tc>
          <w:tcPr>
            <w:tcW w:type="dxa" w:w="1871"/>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停止对外使用，待取得可靠许可或从可用集合剔除</w:t>
            </w:r>
          </w:p>
        </w:tc>
      </w:tr>
    </w:tbl>
    <w:p>
      <w:pPr>
        <w:spacing w:after="20"/>
      </w:pPr>
    </w:p>
    <w:p>
      <w:pPr>
        <w:ind w:firstLine="440"/>
        <w:jc w:val="both"/>
      </w:pPr>
      <w:r>
        <w:rPr>
          <w:rFonts w:ascii="宋体" w:hAnsi="宋体" w:eastAsia="宋体"/>
          <w:color w:val="222222"/>
          <w:sz w:val="22"/>
        </w:rPr>
        <w:t>表 3-1 中 C-Eval 和 GAOKAO-Bench 仅说明公开题回归的来源与边界；CMM-Math、CMMU、M3KE 均不据此获得对外权利。所有真实学习记录另行执行授权、脱敏、访问控制与保存期限管理，不与上述公开或本地导入集合混用。</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评测任务</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金标准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主要指标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报告要求</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题图理解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双人转写与区域标注</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字符错误率、公式正确率、区域 IoU</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分学科、分质量报告</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首错诊断</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双人步骤对齐与裁决</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Top-1 准确率、Macro-F1、Cohen’s 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给出混淆矩阵与置信区间</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解释质量</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教学专家盲评量表</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充分性、可行动性、证据一致性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报告评分者一致性</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检索质量</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相关练习标注</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Recall@k、nDCG@k、覆盖率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分学科与知识点报告</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教学效果</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前测、后测、延迟测与对照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学习增益、迁移率、保持率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预注册和效应量</w:t>
            </w:r>
          </w:p>
        </w:tc>
      </w:tr>
    </w:tbl>
    <w:p>
      <w:pPr>
        <w:spacing w:after="20"/>
      </w:pPr>
    </w:p>
    <w:p>
      <w:pPr>
        <w:pStyle w:val="5"/>
      </w:pPr>
      <w:r>
        <w:t>3.3.6 消融实验设计</w:t>
      </w:r>
    </w:p>
    <w:p>
      <w:pPr>
        <w:ind w:firstLine="440"/>
        <w:jc w:val="both"/>
      </w:pPr>
      <w:r>
        <w:rPr>
          <w:rFonts w:ascii="宋体" w:hAnsi="宋体" w:eastAsia="宋体"/>
          <w:color w:val="222222"/>
          <w:sz w:val="22"/>
        </w:rPr>
        <w:t>消融实验旨在回答“哪一部分真正贡献了什么”，而非用整体成绩掩盖组件作用。建议固定相同题目、相同评价集和相同外部模型版本，分别移除原图双流、人工确认、首错对齐、SymPy 校验、动态工具调用、长期记忆、检索重排和受控图示，比较结果变化。对教育效果实验，应保持学生提示时长、题目难度和反馈次数相近。</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组别</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移除或替换</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主要检验假设</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重点指标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完整组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一体双环三引擎全开</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完整链路提供基准</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全部指标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A1</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不保留双流派生，仅用单一图</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原图与辅助副本分离影响证据完整性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资源可回查率、确认修正率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A2</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跳过人工确认</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确认是否降低下游诊断错误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首错准确率、解释一致性</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A3</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不做首错对齐，仅给最终解析</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首错锚定是否改善修复与迁移</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教回、近迁移、远迁移</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A4</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不使用 SymPy 校验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符号校验是否减少数学解释错误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数学结论错误率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A5</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静态讲解替代动态工具调用</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状态化决策是否改善完成路径</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合法转移率、迁移率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A6</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不写入长期认知状态</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长期记忆是否改善复习选择</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延迟保持、复习命中率</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A7</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不用重排或只用单路检索</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融合与重排是否改善候选质量</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Recall@k、nDCG@k</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A8</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文字说明替代受控图示</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图示是否帮助特定概念理解</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概念测验与主观负荷</w:t>
            </w:r>
          </w:p>
        </w:tc>
      </w:tr>
    </w:tbl>
    <w:p>
      <w:pPr>
        <w:spacing w:after="20"/>
      </w:pPr>
    </w:p>
    <w:p>
      <w:pPr>
        <w:pStyle w:val="5"/>
      </w:pPr>
      <w:r>
        <w:t>3.3.7 风险控制与验收门槛</w:t>
      </w:r>
    </w:p>
    <w:p>
      <w:pPr>
        <w:ind w:firstLine="440"/>
        <w:jc w:val="both"/>
      </w:pPr>
      <w:r>
        <w:rPr>
          <w:rFonts w:ascii="宋体" w:hAnsi="宋体" w:eastAsia="宋体"/>
          <w:color w:val="222222"/>
          <w:sz w:val="22"/>
        </w:rPr>
        <w:t>项目风险分为数据、推理、教学、工程与合规五类。数据风险包括原图和学习轨迹的敏感性；推理风险包括识别漂移、错误诊断和模型不可用；教学风险包括过度提示、学生依赖与错误的掌握度更新；工程风险包括检索、语音或外部服务不可用；合规风险包括公开数据许可证不明确。每类风险都需要对应的预防、监测和退出机制。</w:t>
      </w:r>
    </w:p>
    <w:p>
      <w:r>
        <w:br w:type="page"/>
      </w:r>
    </w:p>
    <w:tbl>
      <w:tblPr>
        <w:tblW w:type="auto" w:w="0"/>
        <w:jc w:val="center"/>
        <w:tblLayout w:type="autofit"/>
        <w:tblLook w:firstColumn="1" w:firstRow="1" w:lastColumn="0" w:lastRow="0" w:noHBand="0" w:noVBand="1" w:val="04A0"/>
      </w:tblPr>
      <w:tblGrid>
        <w:gridCol w:w="2339"/>
        <w:gridCol w:w="2339"/>
        <w:gridCol w:w="2339"/>
        <w:gridCol w:w="2339"/>
      </w:tblGrid>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风险</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预防措施</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监测证据</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EEF4FF"/>
          </w:tcPr>
          <w:p>
            <w:pPr>
              <w:spacing w:line="276" w:lineRule="auto" w:after="0"/>
              <w:ind w:firstLine="0"/>
              <w:jc w:val="center"/>
            </w:pPr>
            <w:r>
              <w:rPr>
                <w:rFonts w:ascii="宋体" w:hAnsi="宋体" w:eastAsia="宋体"/>
                <w:b/>
                <w:color w:val="0F172A"/>
                <w:sz w:val="17"/>
              </w:rPr>
              <w:t>处置原则</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原图被替换</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原始资源独立保存并计算哈希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资源类型与哈希核验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停止使用异常资源并回溯</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结构化输出漂移</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Pydantic Schema 校验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校验失败率与字段错误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返回可理解失败，不写入错误状态</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数学结论错误</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尽量使用 SymPy 验证</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验证方法与异常记录</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标注未验证并交人工确认</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过度自动化教学</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状态机与教回、迁移约束</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提示等级、会话与作答记录</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降低提示、要求学生输出</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检索覆盖不均</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记录来源、学科、可判分性</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覆盖率和失败原因</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tcPr>
          <w:p>
            <w:pPr>
              <w:spacing w:line="276" w:lineRule="auto" w:after="0"/>
              <w:ind w:firstLine="0"/>
              <w:jc w:val="left"/>
            </w:pPr>
            <w:r>
              <w:rPr>
                <w:rFonts w:ascii="宋体" w:hAnsi="宋体" w:eastAsia="宋体"/>
                <w:b w:val="0"/>
                <w:color w:val="222222"/>
                <w:sz w:val="17"/>
              </w:rPr>
              <w:t>不提供虚假推荐</w:t>
            </w:r>
          </w:p>
        </w:tc>
      </w:tr>
      <w:tr>
        <w:trPr>
          <w:trHeight w:hRule="atLeast"/>
        </w:trPr>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许可不明</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数据源清单和许可核验</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许可登记与版本</w:t>
            </w:r>
          </w:p>
        </w:tc>
        <w:tc>
          <w:tcPr>
            <w:tcW w:type="dxa" w:w="2339"/>
            <w:vAlign w:val="center"/>
            <w:tcMar>
              <w:top w:w="90" w:type="dxa"/>
              <w:start w:w="90" w:type="dxa"/>
              <w:bottom w:w="90" w:type="dxa"/>
              <w:end w:w="90" w:type="dxa"/>
            </w:tcMar>
            <w:tcBorders>
              <w:top w:val="single" w:sz="6" w:color="D7DEE8"/>
              <w:left w:val="single" w:sz="6" w:color="D7DEE8"/>
              <w:bottom w:val="single" w:sz="6" w:color="D7DEE8"/>
              <w:right w:val="single" w:sz="6" w:color="D7DEE8"/>
            </w:tcBorders>
            <w:shd w:fill="F8FAFC"/>
          </w:tcPr>
          <w:p>
            <w:pPr>
              <w:spacing w:line="276" w:lineRule="auto" w:after="0"/>
              <w:ind w:firstLine="0"/>
              <w:jc w:val="left"/>
            </w:pPr>
            <w:r>
              <w:rPr>
                <w:rFonts w:ascii="宋体" w:hAnsi="宋体" w:eastAsia="宋体"/>
                <w:b w:val="0"/>
                <w:color w:val="222222"/>
                <w:sz w:val="17"/>
              </w:rPr>
              <w:t>对 M3KE 暂不作合规声明，必要时剔除</w:t>
            </w:r>
          </w:p>
        </w:tc>
      </w:tr>
    </w:tbl>
    <w:p>
      <w:pPr>
        <w:spacing w:after="20"/>
      </w:pPr>
    </w:p>
    <w:p>
      <w:pPr>
        <w:pStyle w:val="5"/>
      </w:pPr>
      <w:r>
        <w:t>3.3.8 交付与复现流程</w:t>
      </w:r>
    </w:p>
    <w:p>
      <w:pPr>
        <w:ind w:firstLine="440"/>
        <w:jc w:val="both"/>
      </w:pPr>
      <w:r>
        <w:rPr>
          <w:rFonts w:ascii="宋体" w:hAnsi="宋体" w:eastAsia="宋体"/>
          <w:color w:val="222222"/>
          <w:sz w:val="22"/>
        </w:rPr>
        <w:t>复现以源代码、数据库迁移、固定验证数据、报告和命令入口为基础。开发者应先准备 MySQL 与前后端依赖，再执行迁移和种子初始化；涉及检索、语音或题库的功能按独立环境准备。验收时运行后端测试、前端测试和完整检查，并保存不含凭据的结果摘要。复现报告应记录代码版本、环境版本、数据版本、是否使用派生公开题、服务可用状态和失败原因。</w:t>
      </w:r>
    </w:p>
    <w:p>
      <w:pPr>
        <w:pStyle w:val="5"/>
      </w:pPr>
      <w:r>
        <w:t>3.3.9 本章小结</w:t>
      </w:r>
    </w:p>
    <w:p>
      <w:pPr>
        <w:ind w:firstLine="440"/>
        <w:jc w:val="both"/>
      </w:pPr>
      <w:r>
        <w:rPr>
          <w:rFonts w:ascii="宋体" w:hAnsi="宋体" w:eastAsia="宋体"/>
          <w:color w:val="222222"/>
          <w:sz w:val="22"/>
        </w:rPr>
        <w:t>第三章给出了工程、教学和数据可行性说明，展开了图像证据、首错诊断、动态工具调用、长期认知记忆、检索与图示的实现路径。固定小规模原型验证、当前数据库快照和后端工程回归在本文中严格分开陈述；正式评测和消融实验将决定系统能否从“功能链路可用”走向“教育干预有效”。</w:t>
      </w:r>
    </w:p>
    <w:p>
      <w:r>
        <w:br w:type="page"/>
      </w:r>
    </w:p>
    <w:p>
      <w:pPr>
        <w:pStyle w:val="2"/>
        <w:spacing w:before="0"/>
      </w:pPr>
      <w:r>
        <w:t>4 参考资料</w:t>
      </w:r>
    </w:p>
    <w:p>
      <w:pPr>
        <w:ind w:firstLine="440"/>
        <w:jc w:val="both"/>
      </w:pPr>
      <w:r>
        <w:rPr>
          <w:rFonts w:ascii="宋体" w:hAnsi="宋体" w:eastAsia="宋体"/>
          <w:color w:val="222222"/>
          <w:sz w:val="22"/>
        </w:rPr>
        <w:t>以下资料按正文首次使用顺序编码。项目内部资料用于支撑当前实现和小规模原型验证事实；公开资料用于说明方法背景、数据来源或工具边界。引用公开题与数据时，须遵守各自许可证；其中 M3KE 的许可未在现有材料中声明，故不将其列为已完成许可核验的来源。</w:t>
      </w:r>
    </w:p>
    <w:p>
      <w:pPr>
        <w:ind w:firstLine="440"/>
        <w:jc w:val="both"/>
      </w:pPr>
      <w:r>
        <w:rPr>
          <w:rFonts w:ascii="宋体" w:hAnsi="宋体" w:eastAsia="宋体"/>
          <w:color w:val="222222"/>
          <w:sz w:val="22"/>
        </w:rPr>
        <w:t>[1] 错题帮项目资料. docs/ARCHITECTURE.md：系统结构与学习流程说明[EB/OL]. 提交 69a05c9 对应工作区.</w:t>
      </w:r>
    </w:p>
    <w:p>
      <w:pPr>
        <w:ind w:firstLine="440"/>
        <w:jc w:val="both"/>
      </w:pPr>
      <w:r>
        <w:rPr>
          <w:rFonts w:ascii="宋体" w:hAnsi="宋体" w:eastAsia="宋体"/>
          <w:color w:val="222222"/>
          <w:sz w:val="22"/>
        </w:rPr>
        <w:t>[2] 错题帮项目代码库. backend/app/services/vision.py：原始图保存、图像派生、裁剪与区域资源保存[EB/OL]. 提交 69a05c9 对应工作区.</w:t>
      </w:r>
    </w:p>
    <w:p>
      <w:pPr>
        <w:ind w:firstLine="440"/>
        <w:jc w:val="both"/>
      </w:pPr>
      <w:r>
        <w:rPr>
          <w:rFonts w:ascii="宋体" w:hAnsi="宋体" w:eastAsia="宋体"/>
          <w:color w:val="222222"/>
          <w:sz w:val="22"/>
        </w:rPr>
        <w:t>[3] 错题帮项目代码库. backend/app/providers/api_pool.py：ApiPoolProvider 轮询、固定逻辑模型和结构化调用约束[EB/OL]. 提交 69a05c9 对应工作区.</w:t>
      </w:r>
    </w:p>
    <w:p>
      <w:pPr>
        <w:ind w:firstLine="440"/>
        <w:jc w:val="both"/>
      </w:pPr>
      <w:r>
        <w:rPr>
          <w:rFonts w:ascii="宋体" w:hAnsi="宋体" w:eastAsia="宋体"/>
          <w:color w:val="222222"/>
          <w:sz w:val="22"/>
        </w:rPr>
        <w:t>[4] Pydantic. Pydantic Documentation: Data Validation Using Python Type Hints[EB/OL]. https://docs.pydantic.dev/.</w:t>
      </w:r>
    </w:p>
    <w:p>
      <w:pPr>
        <w:ind w:firstLine="440"/>
        <w:jc w:val="both"/>
      </w:pPr>
      <w:r>
        <w:rPr>
          <w:rFonts w:ascii="宋体" w:hAnsi="宋体" w:eastAsia="宋体"/>
          <w:color w:val="222222"/>
          <w:sz w:val="22"/>
        </w:rPr>
        <w:t>[5] Meurer A, Smith C P, Paprocki M, et al. SymPy: Symbolic Computing in Python[J]. PeerJ Computer Science, 2017, 3: e103.</w:t>
      </w:r>
    </w:p>
    <w:p>
      <w:r>
        <w:br w:type="page"/>
      </w:r>
    </w:p>
    <w:p>
      <w:pPr>
        <w:ind w:firstLine="440"/>
        <w:jc w:val="both"/>
      </w:pPr>
      <w:r>
        <w:rPr>
          <w:rFonts w:ascii="宋体" w:hAnsi="宋体" w:eastAsia="宋体"/>
          <w:color w:val="222222"/>
          <w:sz w:val="22"/>
        </w:rPr>
        <w:t>[6] 错题帮项目代码库. backend/app/services/visualizations.py、frontend/src/visualizations/registry.ts 与 frontend/src/components/visualization-canvas/visualization-canvas.vue：受控图示、前端本地白名单校验与 Canvas 渲染[EB/OL]. 提交 69a05c9 对应工作区.</w:t>
      </w:r>
    </w:p>
    <w:p>
      <w:pPr>
        <w:ind w:firstLine="440"/>
        <w:jc w:val="both"/>
      </w:pPr>
      <w:r>
        <w:rPr>
          <w:rFonts w:ascii="宋体" w:hAnsi="宋体" w:eastAsia="宋体"/>
          <w:color w:val="222222"/>
          <w:sz w:val="22"/>
        </w:rPr>
        <w:t>[7] 错题帮项目资料. reports/verification/functional_data.json 与 reports/verification/diagnosis.json：固定功能数据、图像和首错诊断记录[EB/OL]. 报告生成时间见文件元数据.</w:t>
      </w:r>
    </w:p>
    <w:p>
      <w:pPr>
        <w:ind w:firstLine="440"/>
        <w:jc w:val="both"/>
      </w:pPr>
      <w:r>
        <w:rPr>
          <w:rFonts w:ascii="宋体" w:hAnsi="宋体" w:eastAsia="宋体"/>
          <w:color w:val="222222"/>
          <w:sz w:val="22"/>
        </w:rPr>
        <w:t>[8] 错题帮项目资料. reports/verification/agent_branches.json：固定 12 分支的 Agent run 与 tool call 记录[EB/OL]. 报告生成时间见文件元数据.</w:t>
      </w:r>
    </w:p>
    <w:p>
      <w:pPr>
        <w:ind w:firstLine="440"/>
        <w:jc w:val="both"/>
      </w:pPr>
      <w:r>
        <w:rPr>
          <w:rFonts w:ascii="宋体" w:hAnsi="宋体" w:eastAsia="宋体"/>
          <w:color w:val="222222"/>
          <w:sz w:val="22"/>
        </w:rPr>
        <w:t>[9] 错题帮项目资料. reports/verification/visualizations.json 与 reports/verification/knowledge_base.json：16 类图示调用与知识关系记录[EB/OL]. 报告生成时间见文件元数据.</w:t>
      </w:r>
    </w:p>
    <w:p>
      <w:pPr>
        <w:ind w:firstLine="440"/>
        <w:jc w:val="both"/>
      </w:pPr>
      <w:r>
        <w:rPr>
          <w:rFonts w:ascii="宋体" w:hAnsi="宋体" w:eastAsia="宋体"/>
          <w:color w:val="222222"/>
          <w:sz w:val="22"/>
        </w:rPr>
        <w:t>[10] 错题帮项目运行记录. 2026 年 8 月 28 日只读 MySQL 快照：agent_runs=571、agent_tool_calls=571、knowledge_relations=67[DB/OL]. 仅用于本文所述快照范围。</w:t>
      </w:r>
    </w:p>
    <w:p>
      <w:pPr>
        <w:ind w:firstLine="440"/>
        <w:jc w:val="both"/>
      </w:pPr>
      <w:r>
        <w:rPr>
          <w:rFonts w:ascii="宋体" w:hAnsi="宋体" w:eastAsia="宋体"/>
          <w:color w:val="222222"/>
          <w:sz w:val="22"/>
        </w:rPr>
        <w:t>[11] FastAPI. FastAPI Documentation[EB/OL]. https://fastapi.tiangolo.com/.</w:t>
      </w:r>
    </w:p>
    <w:p>
      <w:r>
        <w:br w:type="page"/>
      </w:r>
    </w:p>
    <w:p>
      <w:pPr>
        <w:ind w:firstLine="440"/>
        <w:jc w:val="both"/>
      </w:pPr>
      <w:r>
        <w:rPr>
          <w:rFonts w:ascii="宋体" w:hAnsi="宋体" w:eastAsia="宋体"/>
          <w:color w:val="222222"/>
          <w:sz w:val="22"/>
        </w:rPr>
        <w:t>[12] SQLAlchemy. SQLAlchemy Documentation[EB/OL]. https://docs.sqlalchemy.org/.</w:t>
      </w:r>
    </w:p>
    <w:p>
      <w:pPr>
        <w:ind w:firstLine="440"/>
        <w:jc w:val="both"/>
      </w:pPr>
      <w:r>
        <w:rPr>
          <w:rFonts w:ascii="宋体" w:hAnsi="宋体" w:eastAsia="宋体"/>
          <w:color w:val="222222"/>
          <w:sz w:val="22"/>
        </w:rPr>
        <w:t>[13] Vue.js. Vue 3 Documentation[EB/OL]. https://vuejs.org/.</w:t>
      </w:r>
    </w:p>
    <w:p>
      <w:pPr>
        <w:ind w:firstLine="440"/>
        <w:jc w:val="both"/>
      </w:pPr>
      <w:r>
        <w:rPr>
          <w:rFonts w:ascii="宋体" w:hAnsi="宋体" w:eastAsia="宋体"/>
          <w:color w:val="222222"/>
          <w:sz w:val="22"/>
        </w:rPr>
        <w:t>[14] 错题帮项目代码库. frontend/package.json：uni-app／uni-ui 运行时依赖与前端脚本[EB/OL]. 提交 69a05c9 对应工作区.</w:t>
      </w:r>
    </w:p>
    <w:p>
      <w:pPr>
        <w:ind w:firstLine="440"/>
        <w:jc w:val="both"/>
      </w:pPr>
      <w:r>
        <w:rPr>
          <w:rFonts w:ascii="宋体" w:hAnsi="宋体" w:eastAsia="宋体"/>
          <w:color w:val="222222"/>
          <w:sz w:val="22"/>
        </w:rPr>
        <w:t>[15] 错题帮项目资料. backend/app/services/practice_retrieval.py 与 reports/adaptive_practice_verification.json：混合检索链路、导入集合和覆盖边界[EB/OL]. 提交 69a05c9 对应工作区及报告生成时间见文件元数据.</w:t>
      </w:r>
    </w:p>
    <w:p>
      <w:pPr>
        <w:ind w:firstLine="440"/>
        <w:jc w:val="both"/>
      </w:pPr>
      <w:r>
        <w:rPr>
          <w:rFonts w:ascii="宋体" w:hAnsi="宋体" w:eastAsia="宋体"/>
          <w:color w:val="222222"/>
          <w:sz w:val="22"/>
        </w:rPr>
        <w:t>[16] Chen J, Xiao S, Zhang P, et al. BGE M3-Embedding: Multi-Lingual, Multi-Functionality, Multi-Granularity Text Embeddings Through Self-Knowledge Distillation[EB/OL]. arXiv:2402.03216, 2024.</w:t>
      </w:r>
    </w:p>
    <w:p>
      <w:pPr>
        <w:ind w:firstLine="440"/>
        <w:jc w:val="both"/>
      </w:pPr>
      <w:r>
        <w:rPr>
          <w:rFonts w:ascii="宋体" w:hAnsi="宋体" w:eastAsia="宋体"/>
          <w:color w:val="222222"/>
          <w:sz w:val="22"/>
        </w:rPr>
        <w:t>[17] Qdrant. Qdrant Documentation: Vector Search Engine and Database[EB/OL]. https://qdrant.tech/documentation/.</w:t>
      </w:r>
    </w:p>
    <w:p>
      <w:r>
        <w:br w:type="page"/>
      </w:r>
    </w:p>
    <w:p>
      <w:pPr>
        <w:ind w:firstLine="440"/>
        <w:jc w:val="both"/>
      </w:pPr>
      <w:r>
        <w:rPr>
          <w:rFonts w:ascii="宋体" w:hAnsi="宋体" w:eastAsia="宋体"/>
          <w:color w:val="222222"/>
          <w:sz w:val="22"/>
        </w:rPr>
        <w:t>[18] Cormack G V, Clarke C L A, Buettcher S. Reciprocal Rank Fusion Outperforms Condorcet and Individual Rank Learning Methods[C]//Proceedings of SIGIR. 2009: 758-759.</w:t>
      </w:r>
    </w:p>
    <w:p>
      <w:pPr>
        <w:ind w:firstLine="440"/>
        <w:jc w:val="both"/>
      </w:pPr>
      <w:r>
        <w:rPr>
          <w:rFonts w:ascii="宋体" w:hAnsi="宋体" w:eastAsia="宋体"/>
          <w:color w:val="222222"/>
          <w:sz w:val="22"/>
        </w:rPr>
        <w:t>[19] 错题帮项目代码库. backend/app/services/agent_runtime.py：教学状态、动态工具调用与会话证据[EB/OL]. 提交 69a05c9 对应工作区.</w:t>
      </w:r>
    </w:p>
    <w:p>
      <w:pPr>
        <w:ind w:firstLine="440"/>
        <w:jc w:val="both"/>
      </w:pPr>
      <w:r>
        <w:rPr>
          <w:rFonts w:ascii="宋体" w:hAnsi="宋体" w:eastAsia="宋体"/>
          <w:color w:val="222222"/>
          <w:sz w:val="22"/>
        </w:rPr>
        <w:t>[20] 错题帮项目代码库. backend/app/services/cognition.py：掌握度、错因、证据与认知更新规则[EB/OL]. 提交 69a05c9 对应工作区.</w:t>
      </w:r>
    </w:p>
    <w:p>
      <w:pPr>
        <w:ind w:firstLine="440"/>
        <w:jc w:val="both"/>
      </w:pPr>
      <w:r>
        <w:rPr>
          <w:rFonts w:ascii="宋体" w:hAnsi="宋体" w:eastAsia="宋体"/>
          <w:color w:val="222222"/>
          <w:sz w:val="22"/>
        </w:rPr>
        <w:t>[21] Hattie J, Timperley H. The Power of Feedback[J]. Review of Educational Research, 2007, 77(1): 81-112.</w:t>
      </w:r>
    </w:p>
    <w:p>
      <w:pPr>
        <w:ind w:firstLine="440"/>
        <w:jc w:val="both"/>
      </w:pPr>
      <w:r>
        <w:rPr>
          <w:rFonts w:ascii="宋体" w:hAnsi="宋体" w:eastAsia="宋体"/>
          <w:color w:val="222222"/>
          <w:sz w:val="22"/>
        </w:rPr>
        <w:t>[22] Roediger H L, Karpicke J D. Test-Enhanced Learning: Taking Memory Tests Improves Long-Term Retention[J]. Psychological Science, 2006, 17(3): 249-255.</w:t>
      </w:r>
    </w:p>
    <w:p>
      <w:pPr>
        <w:ind w:firstLine="440"/>
        <w:jc w:val="both"/>
      </w:pPr>
      <w:r>
        <w:rPr>
          <w:rFonts w:ascii="宋体" w:hAnsi="宋体" w:eastAsia="宋体"/>
          <w:color w:val="222222"/>
          <w:sz w:val="22"/>
        </w:rPr>
        <w:t>[23] Cepeda N J, Pashler H, Vul E, Wixted J T, Rohrer D. Distributed Practice in Verbal Recall Tasks: A Review and Quantitative Synthesis[J]. Psychological Bulletin, 2006, 132(3): 354-380.</w:t>
      </w:r>
    </w:p>
    <w:p>
      <w:r>
        <w:br w:type="page"/>
      </w:r>
    </w:p>
    <w:p>
      <w:pPr>
        <w:ind w:firstLine="440"/>
        <w:jc w:val="both"/>
      </w:pPr>
      <w:r>
        <w:rPr>
          <w:rFonts w:ascii="宋体" w:hAnsi="宋体" w:eastAsia="宋体"/>
          <w:color w:val="222222"/>
          <w:sz w:val="22"/>
        </w:rPr>
        <w:t>[24] National Research Council. How People Learn II: Learners, Contexts, and Cultures[M]. Washington, DC: The National Academies Press, 2018.</w:t>
      </w:r>
    </w:p>
    <w:p>
      <w:pPr>
        <w:ind w:firstLine="440"/>
        <w:jc w:val="both"/>
      </w:pPr>
      <w:r>
        <w:rPr>
          <w:rFonts w:ascii="宋体" w:hAnsi="宋体" w:eastAsia="宋体"/>
          <w:color w:val="222222"/>
          <w:sz w:val="22"/>
        </w:rPr>
        <w:t>[25] C-Eval. C-Eval: A Multi-Level Multi-Discipline Chinese Evaluation Suite[EB/OL]. https://github.com/hkust-nlp/ceval. 数据许可：CC BY-NC-SA 4.0；仅按本项目公开题回归用途引用。</w:t>
      </w:r>
    </w:p>
    <w:p>
      <w:pPr>
        <w:ind w:firstLine="440"/>
        <w:jc w:val="both"/>
      </w:pPr>
      <w:r>
        <w:rPr>
          <w:rFonts w:ascii="宋体" w:hAnsi="宋体" w:eastAsia="宋体"/>
          <w:color w:val="222222"/>
          <w:sz w:val="22"/>
        </w:rPr>
        <w:t>[26] GAOKAO-Bench. GAOKAO-Bench Repository[EB/OL]. https://github.com/OpenLMLab/GAOKAO-Bench. 仓库许可：Apache-2.0；仅按本项目公开题回归用途引用。</w:t>
      </w:r>
    </w:p>
    <w:p>
      <w:pPr>
        <w:ind w:firstLine="440"/>
        <w:jc w:val="both"/>
      </w:pPr>
      <w:r>
        <w:rPr>
          <w:rFonts w:ascii="宋体" w:hAnsi="宋体" w:eastAsia="宋体"/>
          <w:color w:val="222222"/>
          <w:sz w:val="22"/>
        </w:rPr>
        <w:t>文档结束说明： 本文为竞赛项目文档源稿。版式生成应保留全部图号并插入经过核验的高清图片；任何新增结果均应注明数据来源、样本范围、评测方法与限制，且不得输出模型池凭据。</w:t>
      </w:r>
    </w:p>
    <w:sectPr>
      <w:headerReference r:id="rId6" w:type="default"/>
      <w:footerReference r:id="rId7" w:type="default"/>
      <w:endnotePr>
        <w:numFmt w:val="decimal"/>
      </w:endnotePr>
      <w:pgSz w:w="11906" w:h="16838"/>
      <w:pgMar w:top="1480" w:right="992" w:bottom="1378" w:left="1559" w:header="624" w:footer="624"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4">
    <w:p>
      <w:r>
        <w:separator/>
      </w:r>
    </w:p>
  </w:endnote>
  <w:endnote w:type="continuationSeparator" w:id="25">
    <w:p>
      <w:r>
        <w:continuationSeparator/>
      </w:r>
    </w:p>
  </w:endnote>
  <w:endnote w:id="0">
    <w:p w14:paraId="6650F425">
      <w:pPr>
        <w:pStyle w:val="9"/>
        <w:rPr>
          <w:rFonts w:hint="eastAsia"/>
          <w:sz w:val="24"/>
          <w:szCs w:val="24"/>
        </w:rPr>
      </w:pPr>
      <w:r>
        <w:rPr>
          <w:sz w:val="24"/>
          <w:szCs w:val="24"/>
        </w:rPr>
        <w:t>[</w:t>
      </w:r>
      <w:r>
        <w:rPr>
          <w:sz w:val="24"/>
          <w:szCs w:val="24"/>
        </w:rPr>
        <w:endnoteRef/>
      </w:r>
      <w:r>
        <w:rPr>
          <w:sz w:val="24"/>
          <w:szCs w:val="24"/>
        </w:rPr>
        <w:t>] 中共中央, 国务院. 教育强国建设规划纲要（2024—2035年）[Z]. 2025.</w:t>
      </w:r>
    </w:p>
  </w:endnote>
  <w:endnote w:id="1">
    <w:p w14:paraId="52E22789">
      <w:pPr>
        <w:pStyle w:val="9"/>
        <w:rPr>
          <w:rFonts w:hint="eastAsia"/>
          <w:sz w:val="24"/>
          <w:szCs w:val="24"/>
        </w:rPr>
      </w:pPr>
      <w:r>
        <w:rPr>
          <w:sz w:val="24"/>
          <w:szCs w:val="24"/>
        </w:rPr>
        <w:t>[</w:t>
      </w:r>
      <w:r>
        <w:rPr>
          <w:sz w:val="24"/>
          <w:szCs w:val="24"/>
        </w:rPr>
        <w:endnoteRef/>
      </w:r>
      <w:r>
        <w:rPr>
          <w:sz w:val="24"/>
          <w:szCs w:val="24"/>
        </w:rPr>
        <w:t>] 教育部, 国家发展改革委, 工业和信息化部, 科技部, 国家数据局. “人工智能+教育”行动计划[Z]. 教科信〔2026〕1号, 2026.</w:t>
      </w:r>
    </w:p>
  </w:endnote>
  <w:endnote w:id="2">
    <w:p w14:paraId="491394ED">
      <w:pPr>
        <w:pStyle w:val="9"/>
        <w:rPr>
          <w:rFonts w:hint="eastAsia"/>
          <w:sz w:val="24"/>
          <w:szCs w:val="24"/>
        </w:rPr>
      </w:pPr>
      <w:r>
        <w:rPr>
          <w:sz w:val="24"/>
          <w:szCs w:val="24"/>
        </w:rPr>
        <w:t>[</w:t>
      </w:r>
      <w:r>
        <w:rPr>
          <w:sz w:val="24"/>
          <w:szCs w:val="24"/>
        </w:rPr>
        <w:endnoteRef/>
      </w:r>
      <w:r>
        <w:rPr>
          <w:sz w:val="24"/>
          <w:szCs w:val="24"/>
        </w:rPr>
        <w:t>] DAHEIM N, MACINA J, KAPUR M, et al. Stepwise Verification and Remediation of Student Reasoning Errors with Large Language Model Tutors[C]//Proceedings of EMNLP 2024. Association for Computational Linguistics, 2024: 8386–8411.</w:t>
      </w:r>
    </w:p>
  </w:endnote>
  <w:endnote w:id="3">
    <w:p w14:paraId="0F451FFE">
      <w:pPr>
        <w:pStyle w:val="9"/>
        <w:rPr>
          <w:rFonts w:hint="eastAsia"/>
          <w:sz w:val="24"/>
          <w:szCs w:val="24"/>
        </w:rPr>
      </w:pPr>
      <w:r>
        <w:rPr>
          <w:sz w:val="24"/>
          <w:szCs w:val="24"/>
        </w:rPr>
        <w:t>[</w:t>
      </w:r>
      <w:r>
        <w:rPr>
          <w:sz w:val="24"/>
          <w:szCs w:val="24"/>
        </w:rPr>
        <w:endnoteRef/>
      </w:r>
      <w:r>
        <w:rPr>
          <w:sz w:val="24"/>
          <w:szCs w:val="24"/>
        </w:rPr>
        <w:t>] [7] SONG D, XU T, ZHANG Y F, et al. Can MLLMs Read Students' Minds? Unpacking Multimodal Error Analysis in Handwritten Math[C]//Artificial Intelligence in Education: 27th International Conference, AIED 2026. Springer, 2026: 110–124.</w:t>
      </w:r>
    </w:p>
  </w:endnote>
  <w:endnote w:id="4">
    <w:p w14:paraId="69E90938">
      <w:pPr>
        <w:pStyle w:val="9"/>
        <w:rPr>
          <w:rFonts w:hint="eastAsia"/>
          <w:sz w:val="24"/>
          <w:szCs w:val="24"/>
        </w:rPr>
      </w:pPr>
      <w:r>
        <w:rPr>
          <w:sz w:val="24"/>
          <w:szCs w:val="24"/>
        </w:rPr>
        <w:t>[</w:t>
      </w:r>
      <w:r>
        <w:rPr>
          <w:sz w:val="24"/>
          <w:szCs w:val="24"/>
        </w:rPr>
        <w:endnoteRef/>
      </w:r>
      <w:r>
        <w:rPr>
          <w:sz w:val="24"/>
          <w:szCs w:val="24"/>
        </w:rPr>
        <w:t>] KOCHMAR E, MAURYA K K, PETUKHOVA K, et al. Findings of the BEA 2025 Shared Task on Pedagogical Ability Assessment of AI-powered Tutors[C]//Proceedings of the 20th Workshop on Innovative Use of NLP for Building Educational Applications. 2025: 1011–1033.</w:t>
      </w:r>
    </w:p>
  </w:endnote>
  <w:endnote w:id="5">
    <w:p w14:paraId="2C13A128">
      <w:pPr>
        <w:pStyle w:val="9"/>
        <w:rPr>
          <w:rFonts w:hint="eastAsia"/>
          <w:sz w:val="24"/>
          <w:szCs w:val="24"/>
        </w:rPr>
      </w:pPr>
      <w:r>
        <w:rPr>
          <w:sz w:val="24"/>
          <w:szCs w:val="24"/>
        </w:rPr>
        <w:t>[</w:t>
      </w:r>
      <w:r>
        <w:rPr>
          <w:sz w:val="24"/>
          <w:szCs w:val="24"/>
        </w:rPr>
        <w:endnoteRef/>
      </w:r>
      <w:r>
        <w:rPr>
          <w:sz w:val="24"/>
          <w:szCs w:val="24"/>
        </w:rPr>
        <w:t>] PIECH C, BASSEN J, HUANG J, et al. Deep Knowledge Tracing[C]//Advances in Neural Information Processing Systems. 2015, 28.</w:t>
      </w:r>
    </w:p>
  </w:endnote>
  <w:endnote w:id="6">
    <w:p w14:paraId="081A4005">
      <w:pPr>
        <w:pStyle w:val="9"/>
        <w:rPr>
          <w:rFonts w:hint="eastAsia"/>
          <w:sz w:val="24"/>
          <w:szCs w:val="24"/>
        </w:rPr>
      </w:pPr>
      <w:r>
        <w:rPr>
          <w:sz w:val="24"/>
          <w:szCs w:val="24"/>
        </w:rPr>
        <w:t>[</w:t>
      </w:r>
      <w:r>
        <w:rPr>
          <w:sz w:val="24"/>
          <w:szCs w:val="24"/>
        </w:rPr>
        <w:endnoteRef/>
      </w:r>
      <w:r>
        <w:rPr>
          <w:sz w:val="24"/>
          <w:szCs w:val="24"/>
        </w:rPr>
        <w:t>] CARPENTER S K, PAN S C, BUTLER A C. The Science of Effective Learning with Spacing and Retrieval Practice[J]. Nature Reviews Psychology, 2022, 1: 496–511.</w:t>
      </w:r>
    </w:p>
  </w:endnote>
  <w:endnote w:id="7">
    <w:p w14:paraId="7216B40A">
      <w:pPr>
        <w:pStyle w:val="9"/>
        <w:rPr>
          <w:rFonts w:hint="eastAsia"/>
          <w:sz w:val="24"/>
          <w:szCs w:val="24"/>
        </w:rPr>
      </w:pPr>
      <w:r>
        <w:rPr>
          <w:sz w:val="24"/>
          <w:szCs w:val="24"/>
        </w:rPr>
        <w:t>[</w:t>
      </w:r>
      <w:r>
        <w:rPr>
          <w:sz w:val="24"/>
          <w:szCs w:val="24"/>
        </w:rPr>
        <w:endnoteRef/>
      </w:r>
      <w:r>
        <w:rPr>
          <w:sz w:val="24"/>
          <w:szCs w:val="24"/>
        </w:rPr>
        <w:t>] 猿辅导. 小猿AI及教育产品公开信息[EB/OL]. 2026.</w:t>
      </w:r>
    </w:p>
  </w:endnote>
  <w:endnote w:id="8">
    <w:p w14:paraId="6C05D49F">
      <w:pPr>
        <w:pStyle w:val="9"/>
        <w:rPr>
          <w:rFonts w:hint="eastAsia"/>
          <w:sz w:val="24"/>
          <w:szCs w:val="24"/>
        </w:rPr>
      </w:pPr>
      <w:r>
        <w:rPr>
          <w:sz w:val="24"/>
          <w:szCs w:val="24"/>
        </w:rPr>
        <w:t>[</w:t>
      </w:r>
      <w:r>
        <w:rPr>
          <w:sz w:val="24"/>
          <w:szCs w:val="24"/>
        </w:rPr>
        <w:endnoteRef/>
      </w:r>
      <w:r>
        <w:rPr>
          <w:sz w:val="24"/>
          <w:szCs w:val="24"/>
        </w:rPr>
        <w:t>] 作业帮. 作业帮教育产品及学习工具公开信息[EB/OL]. 2026.</w:t>
      </w:r>
    </w:p>
  </w:endnote>
  <w:endnote w:id="9">
    <w:p w14:paraId="36BAD4AB">
      <w:pPr>
        <w:pStyle w:val="9"/>
        <w:rPr>
          <w:rFonts w:hint="eastAsia"/>
          <w:sz w:val="24"/>
          <w:szCs w:val="24"/>
        </w:rPr>
      </w:pPr>
      <w:r>
        <w:rPr>
          <w:sz w:val="24"/>
          <w:szCs w:val="24"/>
        </w:rPr>
        <w:t>[</w:t>
      </w:r>
      <w:r>
        <w:rPr>
          <w:sz w:val="24"/>
          <w:szCs w:val="24"/>
        </w:rPr>
        <w:endnoteRef/>
      </w:r>
      <w:r>
        <w:rPr>
          <w:sz w:val="24"/>
          <w:szCs w:val="24"/>
        </w:rPr>
        <w:t>] 科大讯飞. AI学习机——AI 1对1精准学与答疑辅导[EB/OL]. 2026.</w:t>
      </w:r>
    </w:p>
  </w:endnote>
  <w:endnote w:id="10">
    <w:p w14:paraId="387D762B">
      <w:pPr>
        <w:pStyle w:val="9"/>
        <w:rPr>
          <w:rFonts w:hint="eastAsia"/>
          <w:sz w:val="24"/>
          <w:szCs w:val="24"/>
        </w:rPr>
      </w:pPr>
      <w:r>
        <w:rPr>
          <w:sz w:val="24"/>
          <w:szCs w:val="24"/>
        </w:rPr>
        <w:t>[</w:t>
      </w:r>
      <w:r>
        <w:rPr>
          <w:sz w:val="24"/>
          <w:szCs w:val="24"/>
        </w:rPr>
        <w:endnoteRef/>
      </w:r>
      <w:r>
        <w:rPr>
          <w:sz w:val="24"/>
          <w:szCs w:val="24"/>
        </w:rPr>
        <w:t>] UNESCO. Guidance for Generative AI in Education and Research[R]. Paris: UNESCO, 2023.</w:t>
      </w:r>
    </w:p>
  </w:endnote>
  <w:endnote w:id="11">
    <w:p w14:paraId="402B257D">
      <w:pPr>
        <w:pStyle w:val="9"/>
        <w:rPr>
          <w:rFonts w:hint="eastAsia"/>
          <w:sz w:val="24"/>
          <w:szCs w:val="24"/>
        </w:rPr>
      </w:pPr>
      <w:r>
        <w:rPr>
          <w:sz w:val="24"/>
          <w:szCs w:val="24"/>
        </w:rPr>
        <w:t>[</w:t>
      </w:r>
      <w:r>
        <w:rPr>
          <w:sz w:val="24"/>
          <w:szCs w:val="24"/>
        </w:rPr>
        <w:endnoteRef/>
      </w:r>
      <w:r>
        <w:rPr>
          <w:sz w:val="24"/>
          <w:szCs w:val="24"/>
        </w:rPr>
        <w:t>] LangChain. LangGraph Documentation: Workflows and Agents[EB/OL]. 2026.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47D4A">
    <w:pPr>
      <w:pStyle w:val="7"/>
      <w:spacing w:line="14" w:lineRule="auto"/>
      <w:rPr>
        <w:rFonts w:hint="eastAsia"/>
        <w:sz w:val="20"/>
      </w:rPr>
    </w:pPr>
    <w:r>
      <w:rPr>
        <w:sz w:val="20"/>
      </w:rPr>
      <mc:AlternateContent>
        <mc:Choice Requires="wps">
          <w:drawing>
            <wp:anchor distT="0" distB="0" distL="0" distR="0" simplePos="0" relativeHeight="251661312" behindDoc="1" locked="0" layoutInCell="1" allowOverlap="1">
              <wp:simplePos x="0" y="0"/>
              <wp:positionH relativeFrom="page">
                <wp:posOffset>3710305</wp:posOffset>
              </wp:positionH>
              <wp:positionV relativeFrom="page">
                <wp:posOffset>9790430</wp:posOffset>
              </wp:positionV>
              <wp:extent cx="13970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139700" cy="152400"/>
                      </a:xfrm>
                      <a:prstGeom prst="rect">
                        <a:avLst/>
                      </a:prstGeom>
                    </wps:spPr>
                    <wps:txbx>
                      <w:txbxContent>
                        <w:p w14:paraId="1ECF0514">
                          <w:pPr>
                            <w:spacing w:before="12"/>
                            <w:ind w:left="20"/>
                            <w:rPr>
                              <w:rFonts w:hint="eastAsia"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2.15pt;margin-top:770.9pt;height:12pt;width:11pt;mso-position-horizontal-relative:page;mso-position-vertical-relative:page;z-index:-251655168;mso-width-relative:page;mso-height-relative:page;" filled="f" stroked="f" coordsize="21600,21600" o:gfxdata="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8AWK2gAAAA0BAAAPAAAAAAAAAAEAIAAAACIAAABkcnMvZG93bnJldi54bWxQSwECFAAUAAAACACH&#10;TuJAamvmxrABAABzAwAADgAAAAAAAAABACAAAAApAQAAZHJzL2Uyb0RvYy54bWxQSwUGAAAAAAYA&#10;BgBZAQAASwUAAAAA&#10;">
              <v:fill on="f" focussize="0,0"/>
              <v:stroke on="f"/>
              <v:imagedata o:title=""/>
              <o:lock v:ext="edit" aspectratio="f"/>
              <v:textbox inset="0mm,0mm,0mm,0mm">
                <w:txbxContent>
                  <w:p w14:paraId="1ECF0514">
                    <w:pPr>
                      <w:spacing w:before="12"/>
                      <w:ind w:left="20"/>
                      <w:rPr>
                        <w:rFonts w:hint="eastAsia"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宋体" w:hAnsi="宋体" w:eastAsia="宋体"/>
        <w:color w:val="64748B"/>
        <w:sz w:val="18"/>
      </w:rPr>
      <w:t xml:space="preserve">— </w:t>
    </w:r>
    <w:r>
      <w:fldChar w:fldCharType="begin"/>
      <w:instrText xml:space="preserve">PAGE</w:instrText>
      <w:fldChar w:fldCharType="separate"/>
      <w:fldChar w:fldCharType="end"/>
    </w:r>
    <w:r>
      <w:rPr>
        <w:rFonts w:ascii="宋体" w:hAnsi="宋体" w:eastAsia="宋体"/>
        <w:color w:val="64748B"/>
        <w:sz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65DB2">
    <w:pPr>
      <w:pStyle w:val="7"/>
      <w:spacing w:line="14" w:lineRule="auto"/>
      <w:rPr>
        <w:rFonts w:hint="eastAsia"/>
        <w:sz w:val="20"/>
      </w:rPr>
    </w:pPr>
    <w:r>
      <w:rPr>
        <w:sz w:val="20"/>
      </w:rPr>
      <mc:AlternateContent>
        <mc:Choice Requires="wps">
          <w:drawing>
            <wp:anchor distT="0" distB="0" distL="0" distR="0" simplePos="0" relativeHeight="251660288" behindDoc="1" locked="0" layoutInCell="1" allowOverlap="1">
              <wp:simplePos x="0" y="0"/>
              <wp:positionH relativeFrom="page">
                <wp:posOffset>1993900</wp:posOffset>
              </wp:positionH>
              <wp:positionV relativeFrom="page">
                <wp:posOffset>544830</wp:posOffset>
              </wp:positionV>
              <wp:extent cx="3802380" cy="189230"/>
              <wp:effectExtent l="0" t="0" r="0" b="0"/>
              <wp:wrapNone/>
              <wp:docPr id="2" name="Textbox 2"/>
              <wp:cNvGraphicFramePr/>
              <a:graphic xmlns:a="http://schemas.openxmlformats.org/drawingml/2006/main">
                <a:graphicData uri="http://schemas.microsoft.com/office/word/2010/wordprocessingShape">
                  <wps:wsp>
                    <wps:cNvSpPr txBox="1"/>
                    <wps:spPr>
                      <a:xfrm>
                        <a:off x="0" y="0"/>
                        <a:ext cx="3802380" cy="189230"/>
                      </a:xfrm>
                      <a:prstGeom prst="rect">
                        <a:avLst/>
                      </a:prstGeom>
                    </wps:spPr>
                    <wps:txbx>
                      <w:txbxContent>
                        <w:p w14:paraId="2EF0F195">
                          <w:pPr>
                            <w:spacing w:line="220" w:lineRule="exact"/>
                            <w:ind w:left="20"/>
                            <w:jc w:val="center"/>
                            <w:rPr>
                              <w:rFonts w:hint="eastAsia"/>
                              <w:sz w:val="18"/>
                            </w:rPr>
                          </w:pPr>
                          <w:r>
                            <w:rPr>
                              <w:rFonts w:hint="eastAsia"/>
                              <w:spacing w:val="-3"/>
                              <w:sz w:val="18"/>
                            </w:rPr>
                            <w:t>错题帮——面向中学生的多模态认知诊断与个性化AI导学系统</w:t>
                          </w:r>
                        </w:p>
                        <w:p w14:paraId="5F950F15">
                          <w:pPr>
                            <w:jc w:val="center"/>
                            <w:rPr>
                              <w:rFonts w:hint="eastAsia"/>
                            </w:rPr>
                          </w:pPr>
                        </w:p>
                      </w:txbxContent>
                    </wps:txbx>
                    <wps:bodyPr wrap="square" lIns="0" tIns="0" rIns="0" bIns="0" rtlCol="0">
                      <a:noAutofit/>
                    </wps:bodyPr>
                  </wps:wsp>
                </a:graphicData>
              </a:graphic>
            </wp:anchor>
          </w:drawing>
        </mc:Choice>
        <mc:Fallback>
          <w:pict>
            <v:shape id="Textbox 2" o:spid="_x0000_s1026" o:spt="202" type="#_x0000_t202" style="position:absolute;left:0pt;margin-left:157pt;margin-top:42.9pt;height:14.9pt;width:299.4pt;mso-position-horizontal-relative:page;mso-position-vertical-relative:page;z-index:-251656192;mso-width-relative:page;mso-height-relative:page;" filled="f" stroked="f" coordsize="21600,21600" o:gfxdata="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0I&#10;GdgAAAAKAQAADwAAAAAAAAABACAAAAAiAAAAZHJzL2Rvd25yZXYueG1sUEsBAhQAFAAAAAgAh07i&#10;QLo6AVCwAQAAcwMAAA4AAAAAAAAAAQAgAAAAJwEAAGRycy9lMm9Eb2MueG1sUEsFBgAAAAAGAAYA&#10;WQEAAEkFAAAAAA==&#10;">
              <v:fill on="f" focussize="0,0"/>
              <v:stroke on="f"/>
              <v:imagedata o:title=""/>
              <o:lock v:ext="edit" aspectratio="f"/>
              <v:textbox inset="0mm,0mm,0mm,0mm">
                <w:txbxContent>
                  <w:p w14:paraId="2EF0F195">
                    <w:pPr>
                      <w:spacing w:line="220" w:lineRule="exact"/>
                      <w:ind w:left="20"/>
                      <w:jc w:val="center"/>
                      <w:rPr>
                        <w:rFonts w:hint="eastAsia"/>
                        <w:sz w:val="18"/>
                      </w:rPr>
                    </w:pPr>
                    <w:r>
                      <w:rPr>
                        <w:rFonts w:hint="eastAsia"/>
                        <w:spacing w:val="-3"/>
                        <w:sz w:val="18"/>
                      </w:rPr>
                      <w:t>错题帮——面向中学生的多模态认知诊断与个性化AI导学系统</w:t>
                    </w:r>
                  </w:p>
                  <w:p w14:paraId="5F950F15">
                    <w:pPr>
                      <w:jc w:val="center"/>
                      <w:rPr>
                        <w:rFonts w:hint="eastAsia"/>
                      </w:rPr>
                    </w:pP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1140460</wp:posOffset>
              </wp:positionH>
              <wp:positionV relativeFrom="page">
                <wp:posOffset>701040</wp:posOffset>
              </wp:positionV>
              <wp:extent cx="5278120" cy="9525"/>
              <wp:effectExtent l="0" t="0" r="0" b="0"/>
              <wp:wrapNone/>
              <wp:docPr id="1" name="Graphic 1"/>
              <wp:cNvGraphicFramePr/>
              <a:graphic xmlns:a="http://schemas.openxmlformats.org/drawingml/2006/main">
                <a:graphicData uri="http://schemas.microsoft.com/office/word/2010/wordprocessingShape">
                  <wps:wsp>
                    <wps:cNvSpPr/>
                    <wps:spPr>
                      <a:xfrm>
                        <a:off x="0" y="0"/>
                        <a:ext cx="5278120" cy="9525"/>
                      </a:xfrm>
                      <a:custGeom>
                        <a:avLst/>
                        <a:gdLst/>
                        <a:ahLst/>
                        <a:cxnLst/>
                        <a:rect l="l" t="t" r="r" b="b"/>
                        <a:pathLst>
                          <a:path w="5278120" h="9525">
                            <a:moveTo>
                              <a:pt x="5278120" y="9143"/>
                            </a:moveTo>
                            <a:lnTo>
                              <a:pt x="0" y="9143"/>
                            </a:lnTo>
                            <a:lnTo>
                              <a:pt x="0" y="0"/>
                            </a:lnTo>
                            <a:lnTo>
                              <a:pt x="5278120" y="0"/>
                            </a:lnTo>
                            <a:lnTo>
                              <a:pt x="5278120" y="9143"/>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89.8pt;margin-top:55.2pt;height:0.75pt;width:415.6pt;mso-position-horizontal-relative:page;mso-position-vertical-relative:page;z-index:-251657216;mso-width-relative:page;mso-height-relative:page;" fillcolor="#000000" filled="t" stroked="f" coordsize="5278120,9525" o:gfxdata="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QZM1tcAAAAM&#10;AQAADwAAAAAAAAABACAAAAAiAAAAZHJzL2Rvd25yZXYueG1sUEsBAhQAFAAAAAgAh07iQMRZwPQd&#10;AgAA3wQAAA4AAAAAAAAAAQAgAAAAJgEAAGRycy9lMm9Eb2MueG1sUEsFBgAAAAAGAAYAWQEAALUF&#10;AAAAAA==&#10;" path="m5278120,9143l0,9143,0,0,5278120,0,5278120,9143xe">
              <v:fill on="t" focussize="0,0"/>
              <v:stroke on="f"/>
              <v:imagedata o:title=""/>
              <o:lock v:ext="edit" aspectratio="f"/>
              <v:textbox inset="0mm,0mm,0mm,0mm"/>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宋体" w:hAnsi="宋体" w:eastAsia="宋体"/>
        <w:color w:val="64748B"/>
        <w:sz w:val="17"/>
      </w:rPr>
      <w:t>错题帮｜赛题一：生成式大语言模型与智能体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454D0"/>
    <w:multiLevelType w:val="multilevel"/>
    <w:tmpl w:val="F99454D0"/>
    <w:lvl w:ilvl="0" w:tentative="0">
      <w:start w:val="1"/>
      <w:numFmt w:val="decimal"/>
      <w:lvlText w:val="（%1）"/>
      <w:lvlJc w:val="left"/>
      <w:pPr>
        <w:ind w:left="1404" w:hanging="601"/>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2167" w:hanging="601"/>
      </w:pPr>
      <w:rPr>
        <w:rFonts w:hint="default"/>
        <w:lang w:val="en-US" w:eastAsia="zh-CN" w:bidi="ar-SA"/>
      </w:rPr>
    </w:lvl>
    <w:lvl w:ilvl="2" w:tentative="0">
      <w:start w:val="0"/>
      <w:numFmt w:val="bullet"/>
      <w:lvlText w:val="•"/>
      <w:lvlJc w:val="left"/>
      <w:pPr>
        <w:ind w:left="2934" w:hanging="601"/>
      </w:pPr>
      <w:rPr>
        <w:rFonts w:hint="default"/>
        <w:lang w:val="en-US" w:eastAsia="zh-CN" w:bidi="ar-SA"/>
      </w:rPr>
    </w:lvl>
    <w:lvl w:ilvl="3" w:tentative="0">
      <w:start w:val="0"/>
      <w:numFmt w:val="bullet"/>
      <w:lvlText w:val="•"/>
      <w:lvlJc w:val="left"/>
      <w:pPr>
        <w:ind w:left="3701" w:hanging="601"/>
      </w:pPr>
      <w:rPr>
        <w:rFonts w:hint="default"/>
        <w:lang w:val="en-US" w:eastAsia="zh-CN" w:bidi="ar-SA"/>
      </w:rPr>
    </w:lvl>
    <w:lvl w:ilvl="4" w:tentative="0">
      <w:start w:val="0"/>
      <w:numFmt w:val="bullet"/>
      <w:lvlText w:val="•"/>
      <w:lvlJc w:val="left"/>
      <w:pPr>
        <w:ind w:left="4468" w:hanging="601"/>
      </w:pPr>
      <w:rPr>
        <w:rFonts w:hint="default"/>
        <w:lang w:val="en-US" w:eastAsia="zh-CN" w:bidi="ar-SA"/>
      </w:rPr>
    </w:lvl>
    <w:lvl w:ilvl="5" w:tentative="0">
      <w:start w:val="0"/>
      <w:numFmt w:val="bullet"/>
      <w:lvlText w:val="•"/>
      <w:lvlJc w:val="left"/>
      <w:pPr>
        <w:ind w:left="5236" w:hanging="601"/>
      </w:pPr>
      <w:rPr>
        <w:rFonts w:hint="default"/>
        <w:lang w:val="en-US" w:eastAsia="zh-CN" w:bidi="ar-SA"/>
      </w:rPr>
    </w:lvl>
    <w:lvl w:ilvl="6" w:tentative="0">
      <w:start w:val="0"/>
      <w:numFmt w:val="bullet"/>
      <w:lvlText w:val="•"/>
      <w:lvlJc w:val="left"/>
      <w:pPr>
        <w:ind w:left="6003" w:hanging="601"/>
      </w:pPr>
      <w:rPr>
        <w:rFonts w:hint="default"/>
        <w:lang w:val="en-US" w:eastAsia="zh-CN" w:bidi="ar-SA"/>
      </w:rPr>
    </w:lvl>
    <w:lvl w:ilvl="7" w:tentative="0">
      <w:start w:val="0"/>
      <w:numFmt w:val="bullet"/>
      <w:lvlText w:val="•"/>
      <w:lvlJc w:val="left"/>
      <w:pPr>
        <w:ind w:left="6770" w:hanging="601"/>
      </w:pPr>
      <w:rPr>
        <w:rFonts w:hint="default"/>
        <w:lang w:val="en-US" w:eastAsia="zh-CN" w:bidi="ar-SA"/>
      </w:rPr>
    </w:lvl>
    <w:lvl w:ilvl="8" w:tentative="0">
      <w:start w:val="0"/>
      <w:numFmt w:val="bullet"/>
      <w:lvlText w:val="•"/>
      <w:lvlJc w:val="left"/>
      <w:pPr>
        <w:ind w:left="7537" w:hanging="601"/>
      </w:pPr>
      <w:rPr>
        <w:rFonts w:hint="default"/>
        <w:lang w:val="en-US" w:eastAsia="zh-CN" w:bidi="ar-SA"/>
      </w:rPr>
    </w:lvl>
  </w:abstractNum>
  <w:abstractNum w:abstractNumId="1">
    <w:nsid w:val="2C6309E6"/>
    <w:multiLevelType w:val="multilevel"/>
    <w:tmpl w:val="2C6309E6"/>
    <w:lvl w:ilvl="0" w:tentative="0">
      <w:start w:val="1"/>
      <w:numFmt w:val="decimal"/>
      <w:pStyle w:val="29"/>
      <w:lvlText w:val="%1"/>
      <w:lvlJc w:val="left"/>
      <w:pPr>
        <w:ind w:left="661" w:hanging="420"/>
      </w:pPr>
      <w:rPr>
        <w:rFonts w:hint="default" w:ascii="Times New Roman" w:hAnsi="Times New Roman" w:eastAsia="宋体" w:cs="Times New Roman"/>
        <w:b/>
        <w:bCs/>
        <w:i w:val="0"/>
        <w:iCs w:val="0"/>
        <w:spacing w:val="0"/>
        <w:w w:val="99"/>
        <w:sz w:val="32"/>
        <w:szCs w:val="32"/>
        <w:lang w:val="en-US" w:eastAsia="zh-CN" w:bidi="ar-SA"/>
      </w:rPr>
    </w:lvl>
    <w:lvl w:ilvl="1" w:tentative="0">
      <w:start w:val="1"/>
      <w:numFmt w:val="decimal"/>
      <w:pStyle w:val="30"/>
      <w:lvlText w:val="%1.%2"/>
      <w:lvlJc w:val="left"/>
      <w:pPr>
        <w:ind w:left="661" w:hanging="420"/>
      </w:pPr>
      <w:rPr>
        <w:rFonts w:hint="default" w:ascii="Times New Roman" w:hAnsi="Times New Roman" w:eastAsia="宋体" w:cs="Times New Roman"/>
        <w:b/>
        <w:bCs/>
        <w:i w:val="0"/>
        <w:iCs w:val="0"/>
        <w:spacing w:val="-1"/>
        <w:w w:val="100"/>
        <w:sz w:val="28"/>
        <w:szCs w:val="28"/>
        <w:lang w:val="en-US" w:eastAsia="zh-CN" w:bidi="ar-SA"/>
      </w:rPr>
    </w:lvl>
    <w:lvl w:ilvl="2" w:tentative="0">
      <w:start w:val="0"/>
      <w:numFmt w:val="none"/>
      <w:pStyle w:val="31"/>
      <w:lvlText w:val="1.1.1"/>
      <w:lvlJc w:val="left"/>
      <w:pPr>
        <w:ind w:left="2399" w:hanging="420"/>
      </w:pPr>
      <w:rPr>
        <w:rFonts w:hint="default"/>
        <w:lang w:val="en-US" w:eastAsia="zh-CN" w:bidi="ar-SA"/>
      </w:rPr>
    </w:lvl>
    <w:lvl w:ilvl="3" w:tentative="0">
      <w:start w:val="0"/>
      <w:numFmt w:val="bullet"/>
      <w:lvlText w:val="•"/>
      <w:lvlJc w:val="left"/>
      <w:pPr>
        <w:ind w:left="3268" w:hanging="420"/>
      </w:pPr>
      <w:rPr>
        <w:rFonts w:hint="default"/>
        <w:lang w:val="en-US" w:eastAsia="zh-CN" w:bidi="ar-SA"/>
      </w:rPr>
    </w:lvl>
    <w:lvl w:ilvl="4" w:tentative="0">
      <w:start w:val="0"/>
      <w:numFmt w:val="bullet"/>
      <w:lvlText w:val="•"/>
      <w:lvlJc w:val="left"/>
      <w:pPr>
        <w:ind w:left="4138" w:hanging="420"/>
      </w:pPr>
      <w:rPr>
        <w:rFonts w:hint="default"/>
        <w:lang w:val="en-US" w:eastAsia="zh-CN" w:bidi="ar-SA"/>
      </w:rPr>
    </w:lvl>
    <w:lvl w:ilvl="5" w:tentative="0">
      <w:start w:val="0"/>
      <w:numFmt w:val="bullet"/>
      <w:lvlText w:val="•"/>
      <w:lvlJc w:val="left"/>
      <w:pPr>
        <w:ind w:left="5007" w:hanging="420"/>
      </w:pPr>
      <w:rPr>
        <w:rFonts w:hint="default"/>
        <w:lang w:val="en-US" w:eastAsia="zh-CN" w:bidi="ar-SA"/>
      </w:rPr>
    </w:lvl>
    <w:lvl w:ilvl="6" w:tentative="0">
      <w:start w:val="0"/>
      <w:numFmt w:val="bullet"/>
      <w:lvlText w:val="•"/>
      <w:lvlJc w:val="left"/>
      <w:pPr>
        <w:ind w:left="5877" w:hanging="420"/>
      </w:pPr>
      <w:rPr>
        <w:rFonts w:hint="default"/>
        <w:lang w:val="en-US" w:eastAsia="zh-CN" w:bidi="ar-SA"/>
      </w:rPr>
    </w:lvl>
    <w:lvl w:ilvl="7" w:tentative="0">
      <w:start w:val="0"/>
      <w:numFmt w:val="bullet"/>
      <w:lvlText w:val="•"/>
      <w:lvlJc w:val="left"/>
      <w:pPr>
        <w:ind w:left="6746" w:hanging="420"/>
      </w:pPr>
      <w:rPr>
        <w:rFonts w:hint="default"/>
        <w:lang w:val="en-US" w:eastAsia="zh-CN" w:bidi="ar-SA"/>
      </w:rPr>
    </w:lvl>
    <w:lvl w:ilvl="8" w:tentative="0">
      <w:start w:val="0"/>
      <w:numFmt w:val="bullet"/>
      <w:lvlText w:val="•"/>
      <w:lvlJc w:val="left"/>
      <w:pPr>
        <w:ind w:left="7616" w:hanging="420"/>
      </w:pPr>
      <w:rPr>
        <w:rFonts w:hint="default"/>
        <w:lang w:val="en-US" w:eastAsia="zh-CN" w:bidi="ar-SA"/>
      </w:rPr>
    </w:lvl>
  </w:abstractNum>
  <w:abstractNum w:abstractNumId="2">
    <w:nsid w:val="661ECEAD"/>
    <w:multiLevelType w:val="multilevel"/>
    <w:tmpl w:val="661ECEAD"/>
    <w:lvl w:ilvl="0" w:tentative="0">
      <w:start w:val="1"/>
      <w:numFmt w:val="decimal"/>
      <w:lvlText w:val="%1"/>
      <w:lvlJc w:val="left"/>
      <w:pPr>
        <w:ind w:left="432" w:hanging="432"/>
      </w:pPr>
      <w:rPr>
        <w:rFonts w:hint="default" w:ascii="Times New Roman" w:hAnsi="Times New Roman" w:cs="Times New Roman"/>
      </w:rPr>
    </w:lvl>
    <w:lvl w:ilvl="1" w:tentative="0">
      <w:start w:val="1"/>
      <w:numFmt w:val="decimal"/>
      <w:pStyle w:val="6"/>
      <w:lvlText w:val="%1.%2"/>
      <w:lvlJc w:val="left"/>
      <w:pPr>
        <w:ind w:left="576" w:hanging="576"/>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sz w:val="24"/>
        <w:szCs w:val="28"/>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
    <w:nsid w:val="672CF665"/>
    <w:multiLevelType w:val="multilevel"/>
    <w:tmpl w:val="672CF665"/>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hint="default" w:ascii="Times New Roman" w:hAnsi="Times New Roman" w:cs="Times New Roman"/>
      </w:rPr>
    </w:lvl>
    <w:lvl w:ilvl="2" w:tentative="0">
      <w:start w:val="1"/>
      <w:numFmt w:val="decimal"/>
      <w:pStyle w:val="5"/>
      <w:lvlText w:val="%1.%2.%3"/>
      <w:lvlJc w:val="left"/>
      <w:pPr>
        <w:ind w:left="720" w:hanging="720"/>
      </w:pPr>
      <w:rPr>
        <w:rFonts w:hint="default" w:ascii="Times New Roman" w:hAnsi="Times New Roman" w:cs="Times New Roman"/>
        <w:sz w:val="24"/>
        <w:szCs w:val="28"/>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endnotePr>
    <w:endnote w:id="24"/>
    <w:endnote w:id="25"/>
  </w:endnotePr>
  <w:compat>
    <w:ulTrailSpace/>
    <w:doNotExpandShiftReturn/>
    <w:doNotWrapTextWithPunct/>
    <w:doNotUseEastAsianBreakRules/>
    <w:useFELayout/>
    <w:compatSetting w:name="compatibilityMode" w:uri="http://schemas.microsoft.com/office/word" w:val="14"/>
  </w:compat>
  <w:rsids>
    <w:rsidRoot w:val="006A721F"/>
    <w:rsid w:val="000362BC"/>
    <w:rsid w:val="004E346E"/>
    <w:rsid w:val="005D0F3E"/>
    <w:rsid w:val="006A0936"/>
    <w:rsid w:val="006A721F"/>
    <w:rsid w:val="0072103A"/>
    <w:rsid w:val="0078492D"/>
    <w:rsid w:val="00854219"/>
    <w:rsid w:val="00895963"/>
    <w:rsid w:val="00A5450A"/>
    <w:rsid w:val="00AF5F63"/>
    <w:rsid w:val="00BF3EFE"/>
    <w:rsid w:val="00D513E3"/>
    <w:rsid w:val="00E14C85"/>
    <w:rsid w:val="00E2717B"/>
    <w:rsid w:val="01AC31AB"/>
    <w:rsid w:val="01AD42AE"/>
    <w:rsid w:val="023C3969"/>
    <w:rsid w:val="02494095"/>
    <w:rsid w:val="036D7252"/>
    <w:rsid w:val="03AF1619"/>
    <w:rsid w:val="03E727F4"/>
    <w:rsid w:val="05542478"/>
    <w:rsid w:val="06B156A8"/>
    <w:rsid w:val="07617018"/>
    <w:rsid w:val="0EAF6971"/>
    <w:rsid w:val="16094BB9"/>
    <w:rsid w:val="177B7845"/>
    <w:rsid w:val="1783099B"/>
    <w:rsid w:val="180B10BC"/>
    <w:rsid w:val="18645740"/>
    <w:rsid w:val="19072812"/>
    <w:rsid w:val="19F811CC"/>
    <w:rsid w:val="1BE733D8"/>
    <w:rsid w:val="1C3404B6"/>
    <w:rsid w:val="1C777D18"/>
    <w:rsid w:val="1FD53D5E"/>
    <w:rsid w:val="21645399"/>
    <w:rsid w:val="228E4DC3"/>
    <w:rsid w:val="244D0366"/>
    <w:rsid w:val="26C22E0F"/>
    <w:rsid w:val="29826EE0"/>
    <w:rsid w:val="2AB964E8"/>
    <w:rsid w:val="2EDF2503"/>
    <w:rsid w:val="2F34284F"/>
    <w:rsid w:val="2F835584"/>
    <w:rsid w:val="30FE4C8F"/>
    <w:rsid w:val="32A17CB8"/>
    <w:rsid w:val="34120C85"/>
    <w:rsid w:val="35D25400"/>
    <w:rsid w:val="367329FD"/>
    <w:rsid w:val="37623CD1"/>
    <w:rsid w:val="37D82A34"/>
    <w:rsid w:val="41782A6F"/>
    <w:rsid w:val="43B458B4"/>
    <w:rsid w:val="43C04259"/>
    <w:rsid w:val="45CC15DB"/>
    <w:rsid w:val="46C04C97"/>
    <w:rsid w:val="49456CD3"/>
    <w:rsid w:val="498B355B"/>
    <w:rsid w:val="4AC960DE"/>
    <w:rsid w:val="4B6E164E"/>
    <w:rsid w:val="4B79502C"/>
    <w:rsid w:val="569647B0"/>
    <w:rsid w:val="5ABA5A4E"/>
    <w:rsid w:val="5B296730"/>
    <w:rsid w:val="5D137698"/>
    <w:rsid w:val="5F3276B2"/>
    <w:rsid w:val="614918DA"/>
    <w:rsid w:val="62E23D94"/>
    <w:rsid w:val="633B5FD3"/>
    <w:rsid w:val="63822E81"/>
    <w:rsid w:val="6509385A"/>
    <w:rsid w:val="65AF2FA1"/>
    <w:rsid w:val="66E87063"/>
    <w:rsid w:val="676F196F"/>
    <w:rsid w:val="67A72D76"/>
    <w:rsid w:val="68630656"/>
    <w:rsid w:val="6A18009C"/>
    <w:rsid w:val="6A6652AB"/>
    <w:rsid w:val="6B8E2782"/>
    <w:rsid w:val="6BE566A3"/>
    <w:rsid w:val="6C2B0662"/>
    <w:rsid w:val="6C57134F"/>
    <w:rsid w:val="6D4C4C2C"/>
    <w:rsid w:val="6F6154EE"/>
    <w:rsid w:val="724A3704"/>
    <w:rsid w:val="72FA74C9"/>
    <w:rsid w:val="730F048D"/>
    <w:rsid w:val="7501454E"/>
    <w:rsid w:val="76557CFE"/>
    <w:rsid w:val="76A038F3"/>
    <w:rsid w:val="78AF42C1"/>
    <w:rsid w:val="79A84CD5"/>
    <w:rsid w:val="7A3E3457"/>
    <w:rsid w:val="7B200B1A"/>
    <w:rsid w:val="7B38234C"/>
    <w:rsid w:val="7B875081"/>
    <w:rsid w:val="7BE23A42"/>
    <w:rsid w:val="7E4C6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line="360" w:lineRule="auto" w:after="80"/>
    </w:pPr>
    <w:rPr>
      <w:rFonts w:ascii="宋体" w:hAnsi="宋体" w:eastAsia="宋体" w:cs="宋体"/>
      <w:color w:val="222222"/>
      <w:sz w:val="22"/>
      <w:szCs w:val="22"/>
      <w:lang w:val="en-US" w:eastAsia="zh-CN" w:bidi="ar-SA"/>
    </w:rPr>
  </w:style>
  <w:style w:type="paragraph" w:styleId="2">
    <w:name w:val="heading 1"/>
    <w:basedOn w:val="1"/>
    <w:next w:val="3"/>
    <w:qFormat/>
    <w:uiPriority w:val="1"/>
    <w:pPr>
      <w:keepNext/>
      <w:numPr>
        <w:ilvl w:val="0"/>
        <w:numId w:val="1"/>
      </w:numPr>
      <w:spacing w:before="360" w:after="200"/>
      <w:outlineLvl w:val="0"/>
    </w:pPr>
    <w:rPr>
      <w:rFonts w:ascii="宋体" w:hAnsi="宋体" w:eastAsia="宋体"/>
      <w:b/>
      <w:color w:val="0F172A"/>
      <w:sz w:val="32"/>
      <w:szCs w:val="32"/>
    </w:rPr>
  </w:style>
  <w:style w:type="paragraph" w:styleId="4">
    <w:name w:val="heading 2"/>
    <w:basedOn w:val="1"/>
    <w:next w:val="3"/>
    <w:qFormat/>
    <w:uiPriority w:val="1"/>
    <w:pPr>
      <w:keepNext/>
      <w:numPr>
        <w:ilvl w:val="1"/>
        <w:numId w:val="1"/>
      </w:numPr>
      <w:spacing w:before="280" w:beforeLines="50" w:after="160" w:afterLines="50"/>
      <w:ind w:left="578" w:hanging="578"/>
      <w:outlineLvl w:val="1"/>
    </w:pPr>
    <w:rPr>
      <w:rFonts w:ascii="宋体" w:hAnsi="宋体" w:eastAsia="宋体"/>
      <w:b/>
      <w:color w:val="0F172A"/>
      <w:sz w:val="28"/>
      <w:szCs w:val="28"/>
    </w:rPr>
  </w:style>
  <w:style w:type="paragraph" w:styleId="5">
    <w:name w:val="heading 3"/>
    <w:basedOn w:val="1"/>
    <w:next w:val="3"/>
    <w:qFormat/>
    <w:uiPriority w:val="1"/>
    <w:pPr>
      <w:keepNext/>
      <w:numPr>
        <w:ilvl w:val="2"/>
        <w:numId w:val="1"/>
      </w:numPr>
      <w:spacing w:before="220" w:beforeLines="50" w:after="120" w:afterLines="50"/>
      <w:ind w:right="567"/>
      <w:outlineLvl w:val="2"/>
    </w:pPr>
    <w:rPr>
      <w:rFonts w:ascii="宋体" w:hAnsi="宋体" w:cs="Times New Roman" w:eastAsia="宋体"/>
      <w:b/>
      <w:bCs/>
      <w:color w:val="1D4FB8"/>
      <w:sz w:val="24"/>
      <w:szCs w:val="24"/>
    </w:rPr>
  </w:style>
  <w:style w:type="paragraph" w:styleId="6">
    <w:name w:val="heading 4"/>
    <w:basedOn w:val="1"/>
    <w:next w:val="1"/>
    <w:unhideWhenUsed/>
    <w:qFormat/>
    <w:uiPriority w:val="0"/>
    <w:pPr>
      <w:keepNext/>
      <w:keepLines/>
      <w:numPr>
        <w:ilvl w:val="1"/>
        <w:numId w:val="2"/>
      </w:numPr>
      <w:spacing w:before="180" w:after="100" w:line="372" w:lineRule="auto"/>
      <w:outlineLvl w:val="3"/>
    </w:pPr>
    <w:rPr>
      <w:rFonts w:ascii="宋体" w:hAnsi="宋体" w:eastAsia="宋体"/>
      <w:b/>
      <w:color w:val="0F172A"/>
      <w:sz w:val="22"/>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customStyle="1" w:styleId="3">
    <w:name w:val="报告正文"/>
    <w:basedOn w:val="1"/>
    <w:qFormat/>
    <w:uiPriority w:val="0"/>
    <w:pPr>
      <w:spacing w:line="360" w:lineRule="auto"/>
      <w:ind w:firstLine="480" w:firstLineChars="200"/>
      <w:jc w:val="both"/>
    </w:pPr>
    <w:rPr>
      <w:sz w:val="24"/>
    </w:rPr>
  </w:style>
  <w:style w:type="paragraph" w:styleId="7">
    <w:name w:val="Body Text"/>
    <w:basedOn w:val="1"/>
    <w:qFormat/>
    <w:uiPriority w:val="1"/>
    <w:rPr>
      <w:sz w:val="21"/>
      <w:szCs w:val="21"/>
    </w:rPr>
  </w:style>
  <w:style w:type="paragraph" w:styleId="8">
    <w:name w:val="toc 3"/>
    <w:basedOn w:val="1"/>
    <w:next w:val="1"/>
    <w:qFormat/>
    <w:uiPriority w:val="0"/>
    <w:pPr>
      <w:ind w:left="840" w:leftChars="400"/>
    </w:pPr>
  </w:style>
  <w:style w:type="paragraph" w:styleId="9">
    <w:name w:val="endnote text"/>
    <w:basedOn w:val="1"/>
    <w:qFormat/>
    <w:uiPriority w:val="0"/>
    <w:pPr>
      <w:snapToGrid w:val="0"/>
    </w:pPr>
  </w:style>
  <w:style w:type="paragraph" w:styleId="10">
    <w:name w:val="footer"/>
    <w:basedOn w:val="1"/>
    <w:unhideWhenUsed/>
    <w:qFormat/>
    <w:uiPriority w:val="99"/>
    <w:pPr>
      <w:tabs>
        <w:tab w:val="center" w:pos="4153"/>
        <w:tab w:val="right" w:pos="8306"/>
      </w:tabs>
      <w:snapToGrid w:val="0"/>
    </w:pPr>
    <w:rPr>
      <w:sz w:val="18"/>
      <w:szCs w:val="18"/>
    </w:rPr>
  </w:style>
  <w:style w:type="paragraph" w:styleId="11">
    <w:name w:val="header"/>
    <w:basedOn w:val="1"/>
    <w:link w:val="26"/>
    <w:uiPriority w:val="0"/>
    <w:pPr>
      <w:tabs>
        <w:tab w:val="center" w:pos="4153"/>
        <w:tab w:val="right" w:pos="8306"/>
      </w:tabs>
      <w:snapToGrid w:val="0"/>
      <w:jc w:val="center"/>
    </w:pPr>
    <w:rPr>
      <w:sz w:val="18"/>
      <w:szCs w:val="18"/>
    </w:rPr>
  </w:style>
  <w:style w:type="paragraph" w:styleId="12">
    <w:name w:val="toc 1"/>
    <w:basedOn w:val="1"/>
    <w:qFormat/>
    <w:uiPriority w:val="1"/>
    <w:pPr>
      <w:spacing w:before="74"/>
      <w:ind w:left="658" w:hanging="420"/>
    </w:pPr>
    <w:rPr>
      <w:sz w:val="21"/>
      <w:szCs w:val="21"/>
    </w:rPr>
  </w:style>
  <w:style w:type="paragraph" w:styleId="13">
    <w:name w:val="Subtitle"/>
    <w:basedOn w:val="1"/>
    <w:next w:val="1"/>
    <w:link w:val="27"/>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4">
    <w:name w:val="toc 2"/>
    <w:basedOn w:val="1"/>
    <w:qFormat/>
    <w:uiPriority w:val="1"/>
    <w:pPr>
      <w:spacing w:before="43"/>
      <w:ind w:left="1498" w:hanging="840"/>
    </w:pPr>
    <w:rPr>
      <w:sz w:val="21"/>
      <w:szCs w:val="21"/>
    </w:rPr>
  </w:style>
  <w:style w:type="paragraph" w:styleId="15">
    <w:name w:val="Normal (Web)"/>
    <w:basedOn w:val="1"/>
    <w:qFormat/>
    <w:uiPriority w:val="0"/>
    <w:rPr>
      <w:sz w:val="24"/>
    </w:rPr>
  </w:style>
  <w:style w:type="paragraph" w:styleId="16">
    <w:name w:val="Title"/>
    <w:basedOn w:val="1"/>
    <w:next w:val="1"/>
    <w:link w:val="28"/>
    <w:qFormat/>
    <w:uiPriority w:val="0"/>
    <w:pPr>
      <w:keepNext/>
      <w:spacing w:before="320" w:after="160"/>
      <w:jc w:val="center"/>
      <w:outlineLvl w:val="0"/>
    </w:pPr>
    <w:rPr>
      <w:rFonts w:asciiTheme="majorHAnsi" w:hAnsiTheme="majorHAnsi" w:eastAsiaTheme="majorEastAsia" w:cstheme="majorBidi" w:ascii="宋体" w:hAnsi="宋体" w:eastAsia="宋体"/>
      <w:b/>
      <w:bCs/>
      <w:color w:val="0F172A"/>
      <w:sz w:val="48"/>
      <w:szCs w:val="32"/>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styleId="21">
    <w:name w:val="endnote reference"/>
    <w:basedOn w:val="19"/>
    <w:qFormat/>
    <w:uiPriority w:val="0"/>
    <w:rPr>
      <w:vertAlign w:val="superscript"/>
    </w:rPr>
  </w:style>
  <w:style w:type="character" w:styleId="22">
    <w:name w:val="page number"/>
    <w:basedOn w:val="19"/>
    <w:unhideWhenUsed/>
    <w:qFormat/>
    <w:uiPriority w:val="99"/>
  </w:style>
  <w:style w:type="table" w:customStyle="1" w:styleId="23">
    <w:name w:val="Table Normal"/>
    <w:semiHidden/>
    <w:unhideWhenUsed/>
    <w:qFormat/>
    <w:uiPriority w:val="2"/>
    <w:tblPr>
      <w:tblCellMar>
        <w:top w:w="0" w:type="dxa"/>
        <w:left w:w="0" w:type="dxa"/>
        <w:bottom w:w="0" w:type="dxa"/>
        <w:right w:w="0" w:type="dxa"/>
      </w:tblCellMar>
    </w:tblPr>
  </w:style>
  <w:style w:type="paragraph" w:styleId="24">
    <w:name w:val="List Paragraph"/>
    <w:basedOn w:val="1"/>
    <w:qFormat/>
    <w:uiPriority w:val="1"/>
    <w:pPr>
      <w:spacing w:before="43"/>
      <w:ind w:left="659" w:hanging="840"/>
    </w:pPr>
  </w:style>
  <w:style w:type="paragraph" w:customStyle="1" w:styleId="25">
    <w:name w:val="Table Paragraph"/>
    <w:basedOn w:val="1"/>
    <w:qFormat/>
    <w:uiPriority w:val="1"/>
  </w:style>
  <w:style w:type="character" w:customStyle="1" w:styleId="26">
    <w:name w:val="页眉 字符"/>
    <w:basedOn w:val="19"/>
    <w:link w:val="11"/>
    <w:qFormat/>
    <w:uiPriority w:val="0"/>
    <w:rPr>
      <w:rFonts w:ascii="宋体" w:hAnsi="宋体" w:eastAsia="宋体" w:cs="宋体"/>
      <w:sz w:val="18"/>
      <w:szCs w:val="18"/>
    </w:rPr>
  </w:style>
  <w:style w:type="character" w:customStyle="1" w:styleId="27">
    <w:name w:val="副标题 字符"/>
    <w:basedOn w:val="19"/>
    <w:link w:val="13"/>
    <w:qFormat/>
    <w:uiPriority w:val="0"/>
    <w:rPr>
      <w:b/>
      <w:bCs/>
      <w:kern w:val="28"/>
      <w:sz w:val="32"/>
      <w:szCs w:val="32"/>
    </w:rPr>
  </w:style>
  <w:style w:type="character" w:customStyle="1" w:styleId="28">
    <w:name w:val="标题 字符"/>
    <w:basedOn w:val="19"/>
    <w:link w:val="16"/>
    <w:qFormat/>
    <w:uiPriority w:val="0"/>
    <w:rPr>
      <w:rFonts w:asciiTheme="majorHAnsi" w:hAnsiTheme="majorHAnsi" w:eastAsiaTheme="majorEastAsia" w:cstheme="majorBidi"/>
      <w:b/>
      <w:bCs/>
      <w:sz w:val="32"/>
      <w:szCs w:val="32"/>
    </w:rPr>
  </w:style>
  <w:style w:type="paragraph" w:customStyle="1" w:styleId="29">
    <w:name w:val="标题1"/>
    <w:basedOn w:val="1"/>
    <w:qFormat/>
    <w:uiPriority w:val="0"/>
    <w:pPr>
      <w:numPr>
        <w:ilvl w:val="0"/>
        <w:numId w:val="3"/>
      </w:numPr>
    </w:pPr>
  </w:style>
  <w:style w:type="paragraph" w:customStyle="1" w:styleId="30">
    <w:name w:val="标题2"/>
    <w:basedOn w:val="1"/>
    <w:qFormat/>
    <w:uiPriority w:val="0"/>
    <w:pPr>
      <w:numPr>
        <w:ilvl w:val="1"/>
        <w:numId w:val="3"/>
      </w:numPr>
    </w:pPr>
  </w:style>
  <w:style w:type="paragraph" w:customStyle="1" w:styleId="31">
    <w:name w:val="标题3"/>
    <w:basedOn w:val="1"/>
    <w:qFormat/>
    <w:uiPriority w:val="0"/>
    <w:pPr>
      <w:numPr>
        <w:ilvl w:val="2"/>
        <w:numId w:val="3"/>
      </w:numPr>
    </w:pPr>
  </w:style>
  <w:style w:type="paragraph" w:customStyle="1" w:styleId="Heading5">
    <w:name w:val="heading 5"/>
    <w:pPr>
      <w:keepNext/>
      <w:spacing w:before="160" w:after="80"/>
    </w:pPr>
    <w:rPr>
      <w:rFonts w:ascii="宋体" w:hAnsi="宋体" w:eastAsia="宋体"/>
      <w:b/>
      <w:color w:val="0F172A"/>
      <w:sz w:val="21"/>
    </w:rPr>
  </w:style>
  <w:style w:type="paragraph" w:customStyle="1" w:styleId="Heading6">
    <w:name w:val="heading 6"/>
    <w:pPr>
      <w:keepNext/>
      <w:spacing w:before="160" w:after="80"/>
    </w:pPr>
    <w:rPr>
      <w:rFonts w:ascii="宋体" w:hAnsi="宋体" w:eastAsia="宋体"/>
      <w:b/>
      <w:color w:val="0F172A"/>
      <w:sz w:val="21"/>
    </w:rPr>
  </w:style>
  <w:style w:type="paragraph" w:customStyle="1" w:styleId="FigureNote">
    <w:name w:val="FigureNote"/>
    <w:pPr>
      <w:spacing w:line="300" w:lineRule="auto" w:after="40"/>
    </w:pPr>
    <w:rPr>
      <w:rFonts w:ascii="宋体" w:hAnsi="宋体" w:eastAsia="宋体"/>
      <w:color w:val="64748B"/>
      <w:sz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19906</Words>
  <Characters>20712</Characters>
  <Lines>158</Lines>
  <Paragraphs>44</Paragraphs>
  <TotalTime>2</TotalTime>
  <ScaleCrop>false</ScaleCrop>
  <LinksUpToDate>false</LinksUpToDate>
  <CharactersWithSpaces>20884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2026-08-13T14:09:00Z</dcterms:created>
  <dc:creator>题醐灌顶队</dc:creator>
  <cp:keywords>错题帮；多模态教学智能体；长期认知记忆；动态工具调用；可验证决策轨迹</cp:keywords>
  <cp:lastModifiedBy>题醐灌顶队</cp:lastModifiedBy>
  <dcterms:modified xsi:type="dcterms:W3CDTF">2026-08-14T15:44:16Z</dcterms:modified>
  <cp:revision>9</cp:revision>
  <dc:title>错题帮——具有长期认知记忆、动态工具调用与可验证决策轨迹的多模态教学智能体</dc:title>
  <dc:subject>第八届中国研究生人工智能创新大赛项目文档</dc:subject>
  <dc:description>匿名参赛项目文档</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WPS 文字</vt:lpwstr>
  </property>
  <property fmtid="{D5CDD505-2E9C-101B-9397-08002B2CF9AE}" pid="5" name="LastSaved">
    <vt:filetime>2026-08-13T00:00:00Z</vt:filetime>
  </property>
  <property fmtid="{D5CDD505-2E9C-101B-9397-08002B2CF9AE}" pid="6" name="SourceModified">
    <vt:lpwstr>D:20260520103800+08'00'</vt:lpwstr>
  </property>
  <property fmtid="{D5CDD505-2E9C-101B-9397-08002B2CF9AE}" pid="7" name="KSOTemplateDocerSaveRecord">
    <vt:lpwstr>eyJoZGlkIjoiOTdkYTY5ZDJhM2NjMWM1NWVkYjg0OGNkMWUyMjE5ZTMiLCJ1c2VySWQiOiIxODM5NDk3MjgwIn0=</vt:lpwstr>
  </property>
  <property fmtid="{D5CDD505-2E9C-101B-9397-08002B2CF9AE}" pid="8" name="KSOProductBuildVer">
    <vt:lpwstr>2052-12.1.0.28043</vt:lpwstr>
  </property>
  <property fmtid="{D5CDD505-2E9C-101B-9397-08002B2CF9AE}" pid="9" name="ICV">
    <vt:lpwstr>7863810E3F0140D98500E6C1CE20DD5D_12</vt:lpwstr>
  </property>
</Properties>
</file>