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9A227"/>
          <w:sz w:val="18"/>
          <w:szCs w:val="18"/>
        </w:rPr>
        <w:t xml:space="preserve">WESTERN PACIFIC UNIVERSITY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A6478"/>
          <w:sz w:val="20"/>
          <w:szCs w:val="20"/>
        </w:rPr>
        <w:t xml:space="preserve">CMN224 / CMP224 Software Engineering — Week 6</w:t>
      </w:r>
    </w:p>
    <w:p>
      <w:pPr>
        <w:spacing w:after="60"/>
      </w:pPr>
      <w:r>
        <w:rPr>
          <w:rFonts w:ascii="Cambria" w:cs="Cambria" w:eastAsia="Cambria" w:hAnsi="Cambria"/>
          <w:b/>
          <w:bCs/>
          <w:color w:val="1B2A4A"/>
          <w:sz w:val="44"/>
          <w:szCs w:val="44"/>
        </w:rPr>
        <w:t xml:space="preserve">Estimation Workshop</w:t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5A6478"/>
          <w:sz w:val="22"/>
          <w:szCs w:val="22"/>
        </w:rPr>
        <w:t xml:space="preserve">In session · individual work on YOUR Task 2 client · output IS Task 2 sections 2.1–2.3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66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7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Linked to</w:t>
            </w:r>
          </w:p>
        </w:tc>
        <w:tc>
          <w:tcPr>
            <w:tcW w:type="dxa" w:w="666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Week 6 lecture — Estimation &amp; the Work Schedule (ULO3)</w:t>
            </w:r>
          </w:p>
        </w:tc>
      </w:tr>
      <w:tr>
        <w:tc>
          <w:tcPr>
            <w:tcW w:type="dxa" w:w="27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Bring</w:t>
            </w:r>
          </w:p>
        </w:tc>
        <w:tc>
          <w:tcPr>
            <w:tcW w:type="dxa" w:w="666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Your Week 5 architecture (Lab 4) and your Week 3 increment plan (Lab 3)</w:t>
            </w:r>
          </w:p>
        </w:tc>
      </w:tr>
      <w:tr>
        <w:tc>
          <w:tcPr>
            <w:tcW w:type="dxa" w:w="27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Time</w:t>
            </w:r>
          </w:p>
        </w:tc>
        <w:tc>
          <w:tcPr>
            <w:tcW w:type="dxa" w:w="666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120 minutes: 30 breakdown · 35 estimate · 20 calendar · 25 schedule · 10 commit</w:t>
            </w:r>
          </w:p>
        </w:tc>
      </w:tr>
      <w:tr>
        <w:tc>
          <w:tcPr>
            <w:tcW w:type="dxa" w:w="27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Submission</w:t>
            </w:r>
          </w:p>
        </w:tc>
        <w:tc>
          <w:tcPr>
            <w:tcW w:type="dxa" w:w="666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This worksheet to Moodle AND committed to week06/ in your Git portfolio</w:t>
            </w:r>
          </w:p>
        </w:tc>
      </w:tr>
      <w:tr>
        <w:tc>
          <w:tcPr>
            <w:tcW w:type="dxa" w:w="27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Counts toward</w:t>
            </w:r>
          </w:p>
        </w:tc>
        <w:tc>
          <w:tcPr>
            <w:tcW w:type="dxa" w:w="666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Nothing directly — but it drafts 15 of the marks in Task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4F7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You cannot estimate what you have not designed.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Work from your Week 5 package and deployment diagrams: each component is a natural work item. If you did not complete Lab 4, do a rough breakdown from your SRS instead and note that as an assumption.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Part A — Break down Increment 1 (30 min)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Take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Increment 1 only</w:t>
      </w:r>
      <w:r>
        <w:rPr>
          <w:rFonts w:ascii="Calibri" w:cs="Calibri" w:eastAsia="Calibri" w:hAnsi="Calibri"/>
          <w:sz w:val="21"/>
          <w:szCs w:val="21"/>
        </w:rPr>
        <w:t xml:space="preserve"> from your Week 3 plan — the slice that is independently usable. Decompose it until every task is between 2 and 16 hours. Aim for 8–12 tasks.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2B2B"/>
          <w:sz w:val="21"/>
          <w:szCs w:val="21"/>
        </w:rPr>
        <w:t xml:space="preserve">Do not forget: </w:t>
      </w:r>
      <w:r>
        <w:rPr>
          <w:rFonts w:ascii="Calibri" w:cs="Calibri" w:eastAsia="Calibri" w:hAnsi="Calibri"/>
          <w:sz w:val="21"/>
          <w:szCs w:val="21"/>
        </w:rPr>
        <w:t xml:space="preserve">unit tests · durability/failure testing · code review · client review and rework · documentation · installation and handover. In the worked example these came to 39% of the total.</w:t>
      </w:r>
    </w:p>
    <w:p>
      <w:pPr>
        <w:spacing w:after="110"/>
      </w:pPr>
      <w:r>
        <w:rPr>
          <w:rFonts w:ascii="Calibri" w:cs="Calibri" w:eastAsia="Calibri" w:hAnsi="Calibri"/>
          <w:b w:val="0"/>
          <w:bCs/>
          <w:i w:val="0"/>
          <w:color w:val="8A2B2B"/>
          <w:sz w:val="21"/>
          <w:szCs w:val="21"/>
        </w:rPr>
        <w:t>Breakdown (Increment 1 = student registration and record management, from Lab 3): the ten tasks are listed in the Part B table. Tasks 1–5 are the build work; tasks 6–10 are the non-coding items (unit tests, durability testing, code review, client review and rework, documentation and handover). Assumption: my Week 5 architecture (Lab 4) was not to hand, so I broke the work down from the Lab 3 scope and the likely components — database, registration screen, record search/edit, login and roles.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Part B — Estimate each task (35 min)</w:t>
      </w:r>
    </w:p>
    <w:p>
      <w:pPr>
        <w:spacing w:after="11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For each task give three numbers in hours. O = everything goes right. M = a normal day. P = the realistic bad case (about one time in twenty), not the apocalypse.</w:t>
      </w:r>
    </w:p>
    <w:p>
      <w:pPr>
        <w:spacing w:after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 = ( O + 4M + P ) ÷ 6          SD = ( P − O ) ÷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3060"/>
        <w:gridCol w:w="700"/>
        <w:gridCol w:w="700"/>
        <w:gridCol w:w="700"/>
        <w:gridCol w:w="900"/>
        <w:gridCol w:w="900"/>
        <w:gridCol w:w="1780"/>
      </w:tblGrid>
      <w:tr>
        <w:trPr>
          <w:tblHeader/>
        </w:trPr>
        <w:tc>
          <w:tcPr>
            <w:tcW w:type="dxa" w:w="62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6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7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</w:t>
            </w:r>
          </w:p>
        </w:tc>
        <w:tc>
          <w:tcPr>
            <w:tcW w:type="dxa" w:w="7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7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9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</w:t>
            </w:r>
          </w:p>
        </w:tc>
        <w:tc>
          <w:tcPr>
            <w:tcW w:type="dxa" w:w="9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SD</w:t>
            </w:r>
          </w:p>
        </w:tc>
        <w:tc>
          <w:tcPr>
            <w:tcW w:type="dxa" w:w="178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Assumption behind it</w:t>
            </w:r>
          </w:p>
        </w:tc>
      </w:tr>
      <w:tr>
        <w:tc>
          <w:tcPr>
            <w:tcW w:type="dxa" w:w="62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1</w:t>
            </w:r>
          </w:p>
        </w:tc>
        <w:tc>
          <w:tcPr>
            <w:tcW w:type="dxa" w:w="306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Project + repo setup, confirm Increment 1 scope</w:t>
            </w:r>
          </w:p>
        </w:tc>
        <w:tc>
          <w:tcPr>
            <w:tcW w:type="dxa" w:w="7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2</w:t>
            </w:r>
          </w:p>
        </w:tc>
        <w:tc>
          <w:tcPr>
            <w:tcW w:type="dxa" w:w="7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3</w:t>
            </w:r>
          </w:p>
        </w:tc>
        <w:tc>
          <w:tcPr>
            <w:tcW w:type="dxa" w:w="7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6</w:t>
            </w:r>
          </w:p>
        </w:tc>
        <w:tc>
          <w:tcPr>
            <w:tcW w:type="dxa" w:w="9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3.33</w:t>
            </w:r>
          </w:p>
        </w:tc>
        <w:tc>
          <w:tcPr>
            <w:tcW w:type="dxa" w:w="9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0.67</w:t>
            </w:r>
          </w:p>
        </w:tc>
        <w:tc>
          <w:tcPr>
            <w:tcW w:type="dxa" w:w="178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Git repo and tooling already familiar; scope from Lab 3</w:t>
            </w:r>
          </w:p>
        </w:tc>
      </w:tr>
      <w:tr>
        <w:tc>
          <w:tcPr>
            <w:tcW w:type="dxa" w:w="62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2</w:t>
            </w:r>
          </w:p>
        </w:tc>
        <w:tc>
          <w:tcPr>
            <w:tcW w:type="dxa" w:w="306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Data model + local database (students, guardians, classes)</w:t>
            </w:r>
          </w:p>
        </w:tc>
        <w:tc>
          <w:tcPr>
            <w:tcW w:type="dxa" w:w="7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4</w:t>
            </w:r>
          </w:p>
        </w:tc>
        <w:tc>
          <w:tcPr>
            <w:tcW w:type="dxa" w:w="7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7</w:t>
            </w:r>
          </w:p>
        </w:tc>
        <w:tc>
          <w:tcPr>
            <w:tcW w:type="dxa" w:w="7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14</w:t>
            </w:r>
          </w:p>
        </w:tc>
        <w:tc>
          <w:tcPr>
            <w:tcW w:type="dxa" w:w="9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7.67</w:t>
            </w:r>
          </w:p>
        </w:tc>
        <w:tc>
          <w:tcPr>
            <w:tcW w:type="dxa" w:w="9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1.67</w:t>
            </w:r>
          </w:p>
        </w:tc>
        <w:tc>
          <w:tcPr>
            <w:tcW w:type="dxa" w:w="178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Single-school, one-machine database; no cloud</w:t>
            </w:r>
          </w:p>
        </w:tc>
      </w:tr>
      <w:tr>
        <w:tc>
          <w:tcPr>
            <w:tcW w:type="dxa" w:w="62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3</w:t>
            </w:r>
          </w:p>
        </w:tc>
        <w:tc>
          <w:tcPr>
            <w:tcW w:type="dxa" w:w="306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Student registration screen with validation</w:t>
            </w:r>
          </w:p>
        </w:tc>
        <w:tc>
          <w:tcPr>
            <w:tcW w:type="dxa" w:w="7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6</w:t>
            </w:r>
          </w:p>
        </w:tc>
        <w:tc>
          <w:tcPr>
            <w:tcW w:type="dxa" w:w="7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10</w:t>
            </w:r>
          </w:p>
        </w:tc>
        <w:tc>
          <w:tcPr>
            <w:tcW w:type="dxa" w:w="7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20</w:t>
            </w:r>
          </w:p>
        </w:tc>
        <w:tc>
          <w:tcPr>
            <w:tcW w:type="dxa" w:w="9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11.00</w:t>
            </w:r>
          </w:p>
        </w:tc>
        <w:tc>
          <w:tcPr>
            <w:tcW w:type="dxa" w:w="9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2.33</w:t>
            </w:r>
          </w:p>
        </w:tc>
        <w:tc>
          <w:tcPr>
            <w:tcW w:type="dxa" w:w="178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Widest spread: many fields and validation rules</w:t>
            </w:r>
          </w:p>
        </w:tc>
      </w:tr>
      <w:tr>
        <w:tc>
          <w:tcPr>
            <w:tcW w:type="dxa" w:w="62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4</w:t>
            </w:r>
          </w:p>
        </w:tc>
        <w:tc>
          <w:tcPr>
            <w:tcW w:type="dxa" w:w="306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Search, view and edit student records</w:t>
            </w:r>
          </w:p>
        </w:tc>
        <w:tc>
          <w:tcPr>
            <w:tcW w:type="dxa" w:w="7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5</w:t>
            </w:r>
          </w:p>
        </w:tc>
        <w:tc>
          <w:tcPr>
            <w:tcW w:type="dxa" w:w="7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8</w:t>
            </w:r>
          </w:p>
        </w:tc>
        <w:tc>
          <w:tcPr>
            <w:tcW w:type="dxa" w:w="7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16</w:t>
            </w:r>
          </w:p>
        </w:tc>
        <w:tc>
          <w:tcPr>
            <w:tcW w:type="dxa" w:w="9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8.83</w:t>
            </w:r>
          </w:p>
        </w:tc>
        <w:tc>
          <w:tcPr>
            <w:tcW w:type="dxa" w:w="9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1.83</w:t>
            </w:r>
          </w:p>
        </w:tc>
        <w:tc>
          <w:tcPr>
            <w:tcW w:type="dxa" w:w="178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Search by name/ID; edits must be logged</w:t>
            </w:r>
          </w:p>
        </w:tc>
      </w:tr>
      <w:tr>
        <w:tc>
          <w:tcPr>
            <w:tcW w:type="dxa" w:w="62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5</w:t>
            </w:r>
          </w:p>
        </w:tc>
        <w:tc>
          <w:tcPr>
            <w:tcW w:type="dxa" w:w="306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User login + roles (administrator / teacher)</w:t>
            </w:r>
          </w:p>
        </w:tc>
        <w:tc>
          <w:tcPr>
            <w:tcW w:type="dxa" w:w="7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3</w:t>
            </w:r>
          </w:p>
        </w:tc>
        <w:tc>
          <w:tcPr>
            <w:tcW w:type="dxa" w:w="7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5</w:t>
            </w:r>
          </w:p>
        </w:tc>
        <w:tc>
          <w:tcPr>
            <w:tcW w:type="dxa" w:w="7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10</w:t>
            </w:r>
          </w:p>
        </w:tc>
        <w:tc>
          <w:tcPr>
            <w:tcW w:type="dxa" w:w="9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5.50</w:t>
            </w:r>
          </w:p>
        </w:tc>
        <w:tc>
          <w:tcPr>
            <w:tcW w:type="dxa" w:w="9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1.17</w:t>
            </w:r>
          </w:p>
        </w:tc>
        <w:tc>
          <w:tcPr>
            <w:tcW w:type="dxa" w:w="178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Two roles only; simple password login</w:t>
            </w:r>
          </w:p>
        </w:tc>
      </w:tr>
      <w:tr>
        <w:tc>
          <w:tcPr>
            <w:tcW w:type="dxa" w:w="62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6</w:t>
            </w:r>
          </w:p>
        </w:tc>
        <w:tc>
          <w:tcPr>
            <w:tcW w:type="dxa" w:w="306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Unit tests</w:t>
            </w:r>
          </w:p>
        </w:tc>
        <w:tc>
          <w:tcPr>
            <w:tcW w:type="dxa" w:w="7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4</w:t>
            </w:r>
          </w:p>
        </w:tc>
        <w:tc>
          <w:tcPr>
            <w:tcW w:type="dxa" w:w="7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6</w:t>
            </w:r>
          </w:p>
        </w:tc>
        <w:tc>
          <w:tcPr>
            <w:tcW w:type="dxa" w:w="7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10</w:t>
            </w:r>
          </w:p>
        </w:tc>
        <w:tc>
          <w:tcPr>
            <w:tcW w:type="dxa" w:w="9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6.33</w:t>
            </w:r>
          </w:p>
        </w:tc>
        <w:tc>
          <w:tcPr>
            <w:tcW w:type="dxa" w:w="9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1.00</w:t>
            </w:r>
          </w:p>
        </w:tc>
        <w:tc>
          <w:tcPr>
            <w:tcW w:type="dxa" w:w="178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Non-coding. Tests for validation and database code</w:t>
            </w:r>
          </w:p>
        </w:tc>
      </w:tr>
      <w:tr>
        <w:tc>
          <w:tcPr>
            <w:tcW w:type="dxa" w:w="62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7</w:t>
            </w:r>
          </w:p>
        </w:tc>
        <w:tc>
          <w:tcPr>
            <w:tcW w:type="dxa" w:w="306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Data-loss / power-failure test + backup and restore</w:t>
            </w:r>
          </w:p>
        </w:tc>
        <w:tc>
          <w:tcPr>
            <w:tcW w:type="dxa" w:w="7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3</w:t>
            </w:r>
          </w:p>
        </w:tc>
        <w:tc>
          <w:tcPr>
            <w:tcW w:type="dxa" w:w="7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5</w:t>
            </w:r>
          </w:p>
        </w:tc>
        <w:tc>
          <w:tcPr>
            <w:tcW w:type="dxa" w:w="7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12</w:t>
            </w:r>
          </w:p>
        </w:tc>
        <w:tc>
          <w:tcPr>
            <w:tcW w:type="dxa" w:w="9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5.83</w:t>
            </w:r>
          </w:p>
        </w:tc>
        <w:tc>
          <w:tcPr>
            <w:tcW w:type="dxa" w:w="9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1.50</w:t>
            </w:r>
          </w:p>
        </w:tc>
        <w:tc>
          <w:tcPr>
            <w:tcW w:type="dxa" w:w="178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Non-coding. Power cuts are common in PNG</w:t>
            </w:r>
          </w:p>
        </w:tc>
      </w:tr>
      <w:tr>
        <w:tc>
          <w:tcPr>
            <w:tcW w:type="dxa" w:w="62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8</w:t>
            </w:r>
          </w:p>
        </w:tc>
        <w:tc>
          <w:tcPr>
            <w:tcW w:type="dxa" w:w="306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Code review</w:t>
            </w:r>
          </w:p>
        </w:tc>
        <w:tc>
          <w:tcPr>
            <w:tcW w:type="dxa" w:w="7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2</w:t>
            </w:r>
          </w:p>
        </w:tc>
        <w:tc>
          <w:tcPr>
            <w:tcW w:type="dxa" w:w="7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3</w:t>
            </w:r>
          </w:p>
        </w:tc>
        <w:tc>
          <w:tcPr>
            <w:tcW w:type="dxa" w:w="7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6</w:t>
            </w:r>
          </w:p>
        </w:tc>
        <w:tc>
          <w:tcPr>
            <w:tcW w:type="dxa" w:w="9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3.33</w:t>
            </w:r>
          </w:p>
        </w:tc>
        <w:tc>
          <w:tcPr>
            <w:tcW w:type="dxa" w:w="9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0.67</w:t>
            </w:r>
          </w:p>
        </w:tc>
        <w:tc>
          <w:tcPr>
            <w:tcW w:type="dxa" w:w="178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Non-coding. Peer or self-review against checklist</w:t>
            </w:r>
          </w:p>
        </w:tc>
      </w:tr>
      <w:tr>
        <w:tc>
          <w:tcPr>
            <w:tcW w:type="dxa" w:w="62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9</w:t>
            </w:r>
          </w:p>
        </w:tc>
        <w:tc>
          <w:tcPr>
            <w:tcW w:type="dxa" w:w="306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Client review + rework</w:t>
            </w:r>
          </w:p>
        </w:tc>
        <w:tc>
          <w:tcPr>
            <w:tcW w:type="dxa" w:w="7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3</w:t>
            </w:r>
          </w:p>
        </w:tc>
        <w:tc>
          <w:tcPr>
            <w:tcW w:type="dxa" w:w="7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6</w:t>
            </w:r>
          </w:p>
        </w:tc>
        <w:tc>
          <w:tcPr>
            <w:tcW w:type="dxa" w:w="7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14</w:t>
            </w:r>
          </w:p>
        </w:tc>
        <w:tc>
          <w:tcPr>
            <w:tcW w:type="dxa" w:w="9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6.83</w:t>
            </w:r>
          </w:p>
        </w:tc>
        <w:tc>
          <w:tcPr>
            <w:tcW w:type="dxa" w:w="9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1.83</w:t>
            </w:r>
          </w:p>
        </w:tc>
        <w:tc>
          <w:tcPr>
            <w:tcW w:type="dxa" w:w="178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Non-coding. Depends on staff being free to review</w:t>
            </w:r>
          </w:p>
        </w:tc>
      </w:tr>
      <w:tr>
        <w:tc>
          <w:tcPr>
            <w:tcW w:type="dxa" w:w="62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10</w:t>
            </w:r>
          </w:p>
        </w:tc>
        <w:tc>
          <w:tcPr>
            <w:tcW w:type="dxa" w:w="306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User guide + install, training and handover at school</w:t>
            </w:r>
          </w:p>
        </w:tc>
        <w:tc>
          <w:tcPr>
            <w:tcW w:type="dxa" w:w="7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4</w:t>
            </w:r>
          </w:p>
        </w:tc>
        <w:tc>
          <w:tcPr>
            <w:tcW w:type="dxa" w:w="7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6</w:t>
            </w:r>
          </w:p>
        </w:tc>
        <w:tc>
          <w:tcPr>
            <w:tcW w:type="dxa" w:w="7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14</w:t>
            </w:r>
          </w:p>
        </w:tc>
        <w:tc>
          <w:tcPr>
            <w:tcW w:type="dxa" w:w="9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7.00</w:t>
            </w:r>
          </w:p>
        </w:tc>
        <w:tc>
          <w:tcPr>
            <w:tcW w:type="dxa" w:w="9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1.67</w:t>
            </w:r>
          </w:p>
        </w:tc>
        <w:tc>
          <w:tcPr>
            <w:tcW w:type="dxa" w:w="178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Non-coding. Travel to school; training around timetable</w:t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/>
          <w:bCs/>
          <w:sz w:val="21"/>
          <w:szCs w:val="21"/>
        </w:rPr>
        <w:t>Total E = 65.67 h          Combined SD = √(sum of SD²) = 4.82 h</w:t>
      </w:r>
    </w:p>
    <w:p>
      <w:pPr>
        <w:spacing w:after="110"/>
      </w:pPr>
      <w:r>
        <w:rPr>
          <w:rFonts w:ascii="Calibri" w:cs="Calibri" w:eastAsia="Calibri" w:hAnsi="Calibri"/>
          <w:b w:val="0"/>
          <w:bCs/>
          <w:sz w:val="21"/>
          <w:szCs w:val="21"/>
        </w:rPr>
        <w:t>Check: sum of “most likely” alone = 59.0 h; PERT expected = 65.7 h — a 11% gap. Honest range = 61–70 h. Non-coding work (tasks 6–10) = 29.3 h, 45% of the job.</w:t>
      </w:r>
    </w:p>
    <w:p>
      <w:pPr>
        <w:spacing w:after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Note: </w:t>
      </w:r>
      <w:r>
        <w:rPr>
          <w:rFonts w:ascii="Calibri" w:cs="Calibri" w:eastAsia="Calibri" w:hAnsi="Calibri"/>
          <w:sz w:val="21"/>
          <w:szCs w:val="21"/>
        </w:rPr>
        <w:t xml:space="preserve">the combined SD is NOT the sum of the SDs — square each one, add them, then take the square root. Risks partly cancel out.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Part C — Convert to a calendar (20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468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How many PRODUCTIVE hours per week can you truly give this project? (Count your other units.)</w:t>
            </w:r>
          </w:p>
        </w:tc>
        <w:tc>
          <w:tcPr>
            <w:tcW w:type="dxa" w:w="468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10 productive hours per week. This is what I can honestly give after my other units, and it matches the worked example.</w:t>
            </w:r>
          </w:p>
        </w:tc>
      </w:tr>
      <w:tr>
        <w:tc>
          <w:tcPr>
            <w:tcW w:type="dxa" w:w="468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Total E ÷ productive hours per week = how many weeks?</w:t>
            </w:r>
          </w:p>
        </w:tc>
        <w:tc>
          <w:tcPr>
            <w:tcW w:type="dxa" w:w="468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65.67 ÷ 10 = 6.6 weeks.</w:t>
            </w:r>
          </w:p>
        </w:tc>
      </w:tr>
      <w:tr>
        <w:tc>
          <w:tcPr>
            <w:tcW w:type="dxa" w:w="468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Same calculation using E − SD and E + SD → your honest range</w:t>
            </w:r>
          </w:p>
        </w:tc>
        <w:tc>
          <w:tcPr>
            <w:tcW w:type="dxa" w:w="468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E − SD = 60.8 h → 6.1 weeks;  E + SD = 70.5 h → 7.0 weeks.  Honest range = 6.1–7.0 weeks (61–70 h).</w:t>
            </w:r>
          </w:p>
        </w:tc>
      </w:tr>
      <w:tr>
        <w:tc>
          <w:tcPr>
            <w:tcW w:type="dxa" w:w="468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Which PNG factors will stretch this? (client availability, travel, power, term dates, holidays)</w:t>
            </w:r>
          </w:p>
        </w:tc>
        <w:tc>
          <w:tcPr>
            <w:tcW w:type="dxa" w:w="468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School terms and holidays (client review and staff training only possible when staff are on-site); teachers’ and administrators’ limited availability for reviews; power cuts and unreliable internet (testing, Git pushes, remote meetings); travel to the school for installation and handover; approval cycles with school management.</w:t>
            </w:r>
          </w:p>
        </w:tc>
      </w:tr>
      <w:tr>
        <w:tc>
          <w:tcPr>
            <w:tcW w:type="dxa" w:w="468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Adjusted finish, stated as a range</w:t>
            </w:r>
          </w:p>
        </w:tc>
        <w:tc>
          <w:tcPr>
            <w:tcW w:type="dxa" w:w="468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About 7–9 weeks (the 6.1–7.0 week range plus 1–2 weeks for the PNG factors). This is longer than the 3 weeks in my Lab 3 plan, which was an early rough guess made before any task-level estimate — the Lab 3 duration should now be revised.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Part D — Build the schedule (25 min)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Lay out all three increments with client-visible milestones. A milestone must be something your client could verify themselves — “the bursar records a real payment and prints a receipt”, never “backend complete”.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2330"/>
        <w:gridCol w:w="2330"/>
      </w:tblGrid>
      <w:tr>
        <w:trPr>
          <w:tblHeader/>
        </w:trPr>
        <w:tc>
          <w:tcPr>
            <w:tcW w:type="dxa" w:w="15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Increment</w:t>
            </w:r>
          </w:p>
        </w:tc>
        <w:tc>
          <w:tcPr>
            <w:tcW w:type="dxa" w:w="32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delivers</w:t>
            </w:r>
          </w:p>
        </w:tc>
        <w:tc>
          <w:tcPr>
            <w:tcW w:type="dxa" w:w="233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 the client can see</w:t>
            </w:r>
          </w:p>
        </w:tc>
        <w:tc>
          <w:tcPr>
            <w:tcW w:type="dxa" w:w="233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</w:tr>
      <w:tr>
        <w:tc>
          <w:tcPr>
            <w:tcW w:type="dxa" w:w="15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Student registration and record management: registration screen, search/view/edit of records, login and roles, local database, tested, installed and handed over.</w:t>
            </w:r>
          </w:p>
        </w:tc>
        <w:tc>
          <w:tcPr>
            <w:tcW w:type="dxa" w:w="233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The school registrar registers a real new student and guardian, finds the student again by name, edits the contact details, and the record is still there after the computer is deliberately switched off and restarted.</w:t>
            </w:r>
          </w:p>
        </w:tc>
        <w:tc>
          <w:tcPr>
            <w:tcW w:type="dxa" w:w="233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Weeks 1–8 (7–9 wks; 61–70 h at 10 h/week plus PNG allowance)</w:t>
            </w:r>
          </w:p>
        </w:tc>
      </w:tr>
      <w:tr>
        <w:tc>
          <w:tcPr>
            <w:tcW w:type="dxa" w:w="15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Attendance tracking and class management: class lists, daily attendance marking, weekly attendance view per class.</w:t>
            </w:r>
          </w:p>
        </w:tc>
        <w:tc>
          <w:tcPr>
            <w:tcW w:type="dxa" w:w="233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A teacher marks today’s attendance for a real class and the head teacher views that class’s attendance for the week.</w:t>
            </w:r>
          </w:p>
        </w:tc>
        <w:tc>
          <w:tcPr>
            <w:tcW w:type="dxa" w:w="233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Weeks 9–13 (about 5 wks; scaled from Increment 1 by the Lab 3 size ratio)</w:t>
            </w:r>
          </w:p>
        </w:tc>
      </w:tr>
      <w:tr>
        <w:tc>
          <w:tcPr>
            <w:tcW w:type="dxa" w:w="15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Reporting, analytics and printable summaries: attendance summaries, class lists and student reports built from Increment 1–2 data.</w:t>
            </w:r>
          </w:p>
        </w:tc>
        <w:tc>
          <w:tcPr>
            <w:tcW w:type="dxa" w:w="233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The head teacher prints a term attendance summary and a class list from the school’s real data for a management meeting.</w:t>
            </w:r>
          </w:p>
        </w:tc>
        <w:tc>
          <w:tcPr>
            <w:tcW w:type="dxa" w:w="233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>Weeks 14–18 (about 5 wks; widest range as report needs will change after Increment 1)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Part E — Commit (10 min)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Put this worksheet into week06/ in your portfolio.</w:t>
      </w:r>
    </w:p>
    <w:p>
      <w:pPr>
        <w:shd w:fill="EFF1F5" w:val="clear"/>
        <w:spacing w:after="60"/>
        <w:ind w:left="360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git add week06/</w:t>
      </w:r>
    </w:p>
    <w:p>
      <w:pPr>
        <w:shd w:fill="EFF1F5" w:val="clear"/>
        <w:spacing w:after="60"/>
        <w:ind w:left="360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git commit -m "Add increment 1 estimate and delivery schedule"</w:t>
      </w:r>
    </w:p>
    <w:p>
      <w:r>
        <w:br w:type="pag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Reference — the worked example from the lecture</w:t>
      </w:r>
    </w:p>
    <w:p>
      <w:pPr>
        <w:spacing w:after="11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Kina Ridge fee system, Increment 1. Use it to check your arithmetic method, not to copy numbers.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800"/>
        <w:gridCol w:w="800"/>
        <w:gridCol w:w="800"/>
        <w:gridCol w:w="1000"/>
        <w:gridCol w:w="1000"/>
        <w:gridCol w:w="1560"/>
      </w:tblGrid>
      <w:tr>
        <w:trPr>
          <w:tblHeader/>
        </w:trPr>
        <w:tc>
          <w:tcPr>
            <w:tcW w:type="dxa" w:w="34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8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8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10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</w:t>
            </w:r>
          </w:p>
        </w:tc>
        <w:tc>
          <w:tcPr>
            <w:tcW w:type="dxa" w:w="10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SD</w:t>
            </w:r>
          </w:p>
        </w:tc>
        <w:tc>
          <w:tcPr>
            <w:tcW w:type="dxa" w:w="156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Project + repo setup</w:t>
            </w:r>
          </w:p>
        </w:tc>
        <w:tc>
          <w:tcPr>
            <w:tcW w:type="dxa" w:w="8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3.33</w:t>
            </w:r>
          </w:p>
        </w:tc>
        <w:tc>
          <w:tcPr>
            <w:tcW w:type="dxa" w:w="10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0.67</w:t>
            </w:r>
          </w:p>
        </w:tc>
        <w:tc>
          <w:tcPr>
            <w:tcW w:type="dxa" w:w="156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Data model + local database</w:t>
            </w:r>
          </w:p>
        </w:tc>
        <w:tc>
          <w:tcPr>
            <w:tcW w:type="dxa" w:w="8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12</w:t>
            </w:r>
          </w:p>
        </w:tc>
        <w:tc>
          <w:tcPr>
            <w:tcW w:type="dxa" w:w="10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6.67</w:t>
            </w:r>
          </w:p>
        </w:tc>
        <w:tc>
          <w:tcPr>
            <w:tcW w:type="dxa" w:w="10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1.33</w:t>
            </w:r>
          </w:p>
        </w:tc>
        <w:tc>
          <w:tcPr>
            <w:tcW w:type="dxa" w:w="156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Payment entry screen</w:t>
            </w:r>
          </w:p>
        </w:tc>
        <w:tc>
          <w:tcPr>
            <w:tcW w:type="dxa" w:w="8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20</w:t>
            </w:r>
          </w:p>
        </w:tc>
        <w:tc>
          <w:tcPr>
            <w:tcW w:type="dxa" w:w="10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11.00</w:t>
            </w:r>
          </w:p>
        </w:tc>
        <w:tc>
          <w:tcPr>
            <w:tcW w:type="dxa" w:w="10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2.33</w:t>
            </w:r>
          </w:p>
        </w:tc>
        <w:tc>
          <w:tcPr>
            <w:tcW w:type="dxa" w:w="156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widest spread</w:t>
            </w:r>
          </w:p>
        </w:tc>
      </w:tr>
      <w:tr>
        <w:tc>
          <w:tcPr>
            <w:tcW w:type="dxa" w:w="34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Receipt numbering + printing</w:t>
            </w:r>
          </w:p>
        </w:tc>
        <w:tc>
          <w:tcPr>
            <w:tcW w:type="dxa" w:w="8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8.67</w:t>
            </w:r>
          </w:p>
        </w:tc>
        <w:tc>
          <w:tcPr>
            <w:tcW w:type="dxa" w:w="10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2.00</w:t>
            </w:r>
          </w:p>
        </w:tc>
        <w:tc>
          <w:tcPr>
            <w:tcW w:type="dxa" w:w="156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Authorisation (bursar / head)</w:t>
            </w:r>
          </w:p>
        </w:tc>
        <w:tc>
          <w:tcPr>
            <w:tcW w:type="dxa" w:w="8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5.50</w:t>
            </w:r>
          </w:p>
        </w:tc>
        <w:tc>
          <w:tcPr>
            <w:tcW w:type="dxa" w:w="10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1.17</w:t>
            </w:r>
          </w:p>
        </w:tc>
        <w:tc>
          <w:tcPr>
            <w:tcW w:type="dxa" w:w="156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Unit tests</w:t>
            </w:r>
          </w:p>
        </w:tc>
        <w:tc>
          <w:tcPr>
            <w:tcW w:type="dxa" w:w="8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6.33</w:t>
            </w:r>
          </w:p>
        </w:tc>
        <w:tc>
          <w:tcPr>
            <w:tcW w:type="dxa" w:w="10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1.00</w:t>
            </w:r>
          </w:p>
        </w:tc>
        <w:tc>
          <w:tcPr>
            <w:tcW w:type="dxa" w:w="156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non-coding</w:t>
            </w:r>
          </w:p>
        </w:tc>
      </w:tr>
      <w:tr>
        <w:tc>
          <w:tcPr>
            <w:tcW w:type="dxa" w:w="34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Power-failure durability test</w:t>
            </w:r>
          </w:p>
        </w:tc>
        <w:tc>
          <w:tcPr>
            <w:tcW w:type="dxa" w:w="8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4.67</w:t>
            </w:r>
          </w:p>
        </w:tc>
        <w:tc>
          <w:tcPr>
            <w:tcW w:type="dxa" w:w="10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1.33</w:t>
            </w:r>
          </w:p>
        </w:tc>
        <w:tc>
          <w:tcPr>
            <w:tcW w:type="dxa" w:w="156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non-coding</w:t>
            </w:r>
          </w:p>
        </w:tc>
      </w:tr>
      <w:tr>
        <w:tc>
          <w:tcPr>
            <w:tcW w:type="dxa" w:w="34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Client review + rework</w:t>
            </w:r>
          </w:p>
        </w:tc>
        <w:tc>
          <w:tcPr>
            <w:tcW w:type="dxa" w:w="8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14</w:t>
            </w:r>
          </w:p>
        </w:tc>
        <w:tc>
          <w:tcPr>
            <w:tcW w:type="dxa" w:w="10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6.83</w:t>
            </w:r>
          </w:p>
        </w:tc>
        <w:tc>
          <w:tcPr>
            <w:tcW w:type="dxa" w:w="10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1.83</w:t>
            </w:r>
          </w:p>
        </w:tc>
        <w:tc>
          <w:tcPr>
            <w:tcW w:type="dxa" w:w="156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non-coding</w:t>
            </w:r>
          </w:p>
        </w:tc>
      </w:tr>
      <w:tr>
        <w:tc>
          <w:tcPr>
            <w:tcW w:type="dxa" w:w="34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Install + handover at school</w:t>
            </w:r>
          </w:p>
        </w:tc>
        <w:tc>
          <w:tcPr>
            <w:tcW w:type="dxa" w:w="8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4.67</w:t>
            </w:r>
          </w:p>
        </w:tc>
        <w:tc>
          <w:tcPr>
            <w:tcW w:type="dxa" w:w="10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1.33</w:t>
            </w:r>
          </w:p>
        </w:tc>
        <w:tc>
          <w:tcPr>
            <w:tcW w:type="dxa" w:w="156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non-coding</w:t>
            </w:r>
          </w:p>
        </w:tc>
      </w:tr>
      <w:tr>
        <w:tc>
          <w:tcPr>
            <w:tcW w:type="dxa" w:w="34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57.67</w:t>
            </w:r>
          </w:p>
        </w:tc>
        <w:tc>
          <w:tcPr>
            <w:tcW w:type="dxa" w:w="100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>4.58</w:t>
            </w:r>
          </w:p>
        </w:tc>
        <w:tc>
          <w:tcPr>
            <w:tcW w:type="dxa" w:w="1560"/>
            <w:tcBorders>
              <w:top w:val="single" w:color="AFBBD0" w:sz="4"/>
              <w:left w:val="single" w:color="AFBBD0" w:sz="4"/>
              <w:bottom w:val="single" w:color="AFBBD0" w:sz="4"/>
              <w:right w:val="single" w:color="AFBBD0" w:sz="4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0"/>
                <w:szCs w:val="20"/>
              </w:rPr>
              <w:t xml:space="preserve"/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 of “most likely” alone = 52.0 h. PERT expected = 57.7 h — the 11% gap is optimism made visible. Honest range = 53–62 h. Non-coding work = 22.5 h, 39% of the job. At 10 productive hours a week that is about 5.8 weeks.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2026-08-11T05:08:32.697Z</dcterms:created>
  <dcterms:modified xsi:type="dcterms:W3CDTF">2026-08-11T05:08:32.698Z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