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499F1728" w:rsidR="003E56B6" w:rsidRDefault="008B4E51" w:rsidP="003E56B6">
            <w:pPr>
              <w:contextualSpacing w:val="0"/>
            </w:pPr>
            <w:r>
              <w:rPr>
                <w:rFonts w:ascii="Segoe UI" w:hAnsi="Segoe UI" w:cs="Segoe UI"/>
                <w:sz w:val="21"/>
                <w:szCs w:val="21"/>
                <w:shd w:val="clear" w:color="auto" w:fill="FFFFFF"/>
              </w:rPr>
              <w:t>I am a seasoned M</w:t>
            </w:r>
            <w:r w:rsidR="00F27C6B">
              <w:rPr>
                <w:rFonts w:ascii="Segoe UI" w:hAnsi="Segoe UI" w:cs="Segoe UI"/>
                <w:sz w:val="21"/>
                <w:szCs w:val="21"/>
                <w:shd w:val="clear" w:color="auto" w:fill="FFFFFF"/>
              </w:rPr>
              <w:t xml:space="preserve">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043798">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77777777" w:rsidR="001210C7" w:rsidRDefault="001210C7" w:rsidP="001210C7">
                  <w:pPr>
                    <w:pStyle w:val="ListBullet"/>
                    <w:contextualSpacing w:val="0"/>
                  </w:pPr>
                  <w:r>
                    <w:t>Salesforce Marketing Cloud apps</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77777777" w:rsidR="001210C7" w:rsidRDefault="001210C7" w:rsidP="001210C7">
                  <w:pPr>
                    <w:pStyle w:val="ListBullet"/>
                    <w:contextualSpacing w:val="0"/>
                  </w:pPr>
                  <w:r>
                    <w:t>HTML5, CSS3, SQL, Ampscript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3DFC5D54" w14:textId="77777777" w:rsidR="00E0403D" w:rsidRPr="009464C6" w:rsidRDefault="00E0403D" w:rsidP="00EE49EB">
            <w:pPr>
              <w:pStyle w:val="Heading2"/>
              <w:contextualSpacing w:val="0"/>
              <w:rPr>
                <w:i/>
                <w:iCs/>
                <w:color w:val="595959" w:themeColor="text1" w:themeTint="A6"/>
                <w:sz w:val="24"/>
                <w:szCs w:val="28"/>
              </w:rPr>
            </w:pPr>
            <w:r>
              <w:rPr>
                <w:i/>
                <w:iCs/>
                <w:color w:val="595959" w:themeColor="text1" w:themeTint="A6"/>
                <w:sz w:val="24"/>
                <w:szCs w:val="28"/>
              </w:rPr>
              <w:t>rob</w:t>
            </w:r>
            <w:r w:rsidRPr="009464C6">
              <w:rPr>
                <w:i/>
                <w:iCs/>
                <w:color w:val="595959" w:themeColor="text1" w:themeTint="A6"/>
                <w:sz w:val="24"/>
                <w:szCs w:val="28"/>
              </w:rPr>
              <w:t xml:space="preserve">ert Half </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17D672C1"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Designed and executed thousands of promotional Email, Journey, and Automation test cases, ensuring seamless functionality of all links, CTAs, dynamic data, utm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000000" w:rsidP="00EB65A1">
            <w:pPr>
              <w:pStyle w:val="Heading2"/>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8EC5D" w14:textId="77777777" w:rsidR="00B058EC" w:rsidRDefault="00B058EC" w:rsidP="0068194B">
      <w:r>
        <w:separator/>
      </w:r>
    </w:p>
    <w:p w14:paraId="1BF05AEB" w14:textId="77777777" w:rsidR="00B058EC" w:rsidRDefault="00B058EC"/>
    <w:p w14:paraId="6EDCA683" w14:textId="77777777" w:rsidR="00B058EC" w:rsidRDefault="00B058EC"/>
  </w:endnote>
  <w:endnote w:type="continuationSeparator" w:id="0">
    <w:p w14:paraId="153A443A" w14:textId="77777777" w:rsidR="00B058EC" w:rsidRDefault="00B058EC" w:rsidP="0068194B">
      <w:r>
        <w:continuationSeparator/>
      </w:r>
    </w:p>
    <w:p w14:paraId="77581DDD" w14:textId="77777777" w:rsidR="00B058EC" w:rsidRDefault="00B058EC"/>
    <w:p w14:paraId="0A7E9B5A" w14:textId="77777777" w:rsidR="00B058EC" w:rsidRDefault="00B05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A4FF" w14:textId="77777777" w:rsidR="00B058EC" w:rsidRDefault="00B058EC" w:rsidP="0068194B">
      <w:r>
        <w:separator/>
      </w:r>
    </w:p>
    <w:p w14:paraId="6BEB8873" w14:textId="77777777" w:rsidR="00B058EC" w:rsidRDefault="00B058EC"/>
    <w:p w14:paraId="45DE9E5C" w14:textId="77777777" w:rsidR="00B058EC" w:rsidRDefault="00B058EC"/>
  </w:footnote>
  <w:footnote w:type="continuationSeparator" w:id="0">
    <w:p w14:paraId="01579627" w14:textId="77777777" w:rsidR="00B058EC" w:rsidRDefault="00B058EC" w:rsidP="0068194B">
      <w:r>
        <w:continuationSeparator/>
      </w:r>
    </w:p>
    <w:p w14:paraId="1828084C" w14:textId="77777777" w:rsidR="00B058EC" w:rsidRDefault="00B058EC"/>
    <w:p w14:paraId="52D312F1" w14:textId="77777777" w:rsidR="00B058EC" w:rsidRDefault="00B0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3798"/>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1613"/>
    <w:rsid w:val="001A740E"/>
    <w:rsid w:val="001B1084"/>
    <w:rsid w:val="001B5DA9"/>
    <w:rsid w:val="001B6343"/>
    <w:rsid w:val="001C0E68"/>
    <w:rsid w:val="001C1875"/>
    <w:rsid w:val="001C31C7"/>
    <w:rsid w:val="001C31E5"/>
    <w:rsid w:val="001C41A0"/>
    <w:rsid w:val="001C477A"/>
    <w:rsid w:val="001C4B6F"/>
    <w:rsid w:val="001D0BF1"/>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14A2"/>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058EC"/>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8</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7</cp:revision>
  <cp:lastPrinted>2023-08-01T23:09:00Z</cp:lastPrinted>
  <dcterms:created xsi:type="dcterms:W3CDTF">2023-07-24T20:08:00Z</dcterms:created>
  <dcterms:modified xsi:type="dcterms:W3CDTF">2023-08-01T23:17:00Z</dcterms:modified>
  <cp:category/>
</cp:coreProperties>
</file>