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Xfaa95ccd26be2e2a2b690c2f8206166b5d6f0f0"/>
    <w:p>
      <w:pPr>
        <w:pStyle w:val="Heading1"/>
      </w:pPr>
      <w:r>
        <w:t xml:space="preserve">Detailed Control Generation Guide for Bay Area PopulationSim</w:t>
      </w:r>
    </w:p>
    <w:p>
      <w:pPr>
        <w:pStyle w:val="FirstParagraph"/>
      </w:pPr>
      <w:r>
        <w:rPr>
          <w:iCs/>
          <w:i/>
        </w:rPr>
        <w:t xml:space="preserve">A comprehensive guide to understanding the control generation process, data sources, geographic processing, and scaling methodologies used in the Bay Area PopulationSim model.</w:t>
      </w:r>
    </w:p>
    <w:p>
      <w:r>
        <w:pict>
          <v:rect style="width:0;height:1.5pt" o:hralign="center" o:hrstd="t" o:hr="t"/>
        </w:pict>
      </w:r>
    </w:p>
    <w:bookmarkStart w:id="20" w:name="table-of-contents"/>
    <w:p>
      <w:pPr>
        <w:pStyle w:val="Heading2"/>
      </w:pPr>
      <w:r>
        <w:t xml:space="preserve">Table of Contents</w:t>
      </w:r>
    </w:p>
    <w:p>
      <w:pPr>
        <w:numPr>
          <w:ilvl w:val="0"/>
          <w:numId w:val="1001"/>
        </w:numPr>
        <w:pStyle w:val="Compact"/>
      </w:pPr>
      <w:hyperlink w:anchor="overview-and-purpose">
        <w:r>
          <w:rPr>
            <w:rStyle w:val="Hyperlink"/>
          </w:rPr>
          <w:t xml:space="preserve">Overview and Purpose</w:t>
        </w:r>
      </w:hyperlink>
    </w:p>
    <w:p>
      <w:pPr>
        <w:numPr>
          <w:ilvl w:val="0"/>
          <w:numId w:val="1001"/>
        </w:numPr>
        <w:pStyle w:val="Compact"/>
      </w:pPr>
      <w:hyperlink w:anchor="data-sources-and-census-integration">
        <w:r>
          <w:rPr>
            <w:rStyle w:val="Hyperlink"/>
          </w:rPr>
          <w:t xml:space="preserve">Data Sources and Census Integration</w:t>
        </w:r>
      </w:hyperlink>
    </w:p>
    <w:p>
      <w:pPr>
        <w:numPr>
          <w:ilvl w:val="0"/>
          <w:numId w:val="1001"/>
        </w:numPr>
        <w:pStyle w:val="Compact"/>
      </w:pPr>
      <w:hyperlink w:anchor="geographic-framework-and-processing">
        <w:r>
          <w:rPr>
            <w:rStyle w:val="Hyperlink"/>
          </w:rPr>
          <w:t xml:space="preserve">Geographic Framework and Processing</w:t>
        </w:r>
      </w:hyperlink>
    </w:p>
    <w:p>
      <w:pPr>
        <w:numPr>
          <w:ilvl w:val="0"/>
          <w:numId w:val="1001"/>
        </w:numPr>
        <w:pStyle w:val="Compact"/>
      </w:pPr>
      <w:hyperlink w:anchor="control-categories-and-definitions">
        <w:r>
          <w:rPr>
            <w:rStyle w:val="Hyperlink"/>
          </w:rPr>
          <w:t xml:space="preserve">Control Categories and Definitions</w:t>
        </w:r>
      </w:hyperlink>
    </w:p>
    <w:p>
      <w:pPr>
        <w:numPr>
          <w:ilvl w:val="0"/>
          <w:numId w:val="1001"/>
        </w:numPr>
        <w:pStyle w:val="Compact"/>
      </w:pPr>
      <w:hyperlink w:anchor="scaling-methodologies">
        <w:r>
          <w:rPr>
            <w:rStyle w:val="Hyperlink"/>
          </w:rPr>
          <w:t xml:space="preserve">Scaling Methodologies</w:t>
        </w:r>
      </w:hyperlink>
    </w:p>
    <w:p>
      <w:pPr>
        <w:numPr>
          <w:ilvl w:val="0"/>
          <w:numId w:val="1001"/>
        </w:numPr>
        <w:pStyle w:val="Compact"/>
      </w:pPr>
      <w:hyperlink w:anchor="quality-assurance-and-validation">
        <w:r>
          <w:rPr>
            <w:rStyle w:val="Hyperlink"/>
          </w:rPr>
          <w:t xml:space="preserve">Quality Assurance and Validation</w:t>
        </w:r>
      </w:hyperlink>
    </w:p>
    <w:p>
      <w:pPr>
        <w:numPr>
          <w:ilvl w:val="0"/>
          <w:numId w:val="1001"/>
        </w:numPr>
        <w:pStyle w:val="Compact"/>
      </w:pPr>
      <w:hyperlink w:anchor="output-files-and-structure">
        <w:r>
          <w:rPr>
            <w:rStyle w:val="Hyperlink"/>
          </w:rPr>
          <w:t xml:space="preserve">Output Files and Structure</w:t>
        </w:r>
      </w:hyperlink>
    </w:p>
    <w:p>
      <w:pPr>
        <w:numPr>
          <w:ilvl w:val="0"/>
          <w:numId w:val="1001"/>
        </w:numPr>
        <w:pStyle w:val="Compact"/>
      </w:pPr>
      <w:hyperlink w:anchor="technical-implementation">
        <w:r>
          <w:rPr>
            <w:rStyle w:val="Hyperlink"/>
          </w:rPr>
          <w:t xml:space="preserve">Technical Implementation</w:t>
        </w:r>
      </w:hyperlink>
    </w:p>
    <w:p>
      <w:r>
        <w:pict>
          <v:rect style="width:0;height:1.5pt" o:hralign="center" o:hrstd="t" o:hr="t"/>
        </w:pict>
      </w:r>
    </w:p>
    <w:bookmarkEnd w:id="20"/>
    <w:bookmarkStart w:id="24" w:name="overview-and-purpose"/>
    <w:p>
      <w:pPr>
        <w:pStyle w:val="Heading2"/>
      </w:pPr>
      <w:r>
        <w:t xml:space="preserve">Overview and Purpose</w:t>
      </w:r>
    </w:p>
    <w:p>
      <w:pPr>
        <w:pStyle w:val="FirstParagraph"/>
      </w:pPr>
      <w:r>
        <w:t xml:space="preserve">The control generation step is the foundation of the Bay Area PopulationSim model, creating the statistical targets that guide synthetic population generation. This process transforms raw Census data into a comprehensive set of marginal controls at multiple geographic levels, ensuring that the synthetic population accurately reflects the demographic, economic, and household characteristics of the Bay Area.</w:t>
      </w:r>
    </w:p>
    <w:bookmarkStart w:id="21" w:name="what-are-controls"/>
    <w:p>
      <w:pPr>
        <w:pStyle w:val="Heading3"/>
      </w:pPr>
      <w:r>
        <w:t xml:space="preserve">What Are Controls?</w:t>
      </w:r>
    </w:p>
    <w:p>
      <w:pPr>
        <w:pStyle w:val="FirstParagraph"/>
      </w:pPr>
      <w:r>
        <w:t xml:space="preserve">Controls are statistical targets that specify how many people or households in each geographic zone should have specific characteristics. For example, a control might specify that Traffic Analysis Zone (TAZ) 1001 should contain exactly 245 households with incomes between $75,000-$100,000, or that Alameda County should have 118,550 management/professional workers.</w:t>
      </w:r>
    </w:p>
    <w:bookmarkEnd w:id="21"/>
    <w:bookmarkStart w:id="22" w:name="the-three-tier-geographic-hierarchy"/>
    <w:p>
      <w:pPr>
        <w:pStyle w:val="Heading3"/>
      </w:pPr>
      <w:r>
        <w:t xml:space="preserve">The Three-Tier Geographic Hierarchy</w:t>
      </w:r>
    </w:p>
    <w:p>
      <w:pPr>
        <w:pStyle w:val="FirstParagraph"/>
      </w:pPr>
      <w:r>
        <w:t xml:space="preserve">The Bay Area PopulationSim model operates on a three-tier geographic hierarchy, each serving different modeling purposes:</w:t>
      </w:r>
    </w:p>
    <w:p>
      <w:pPr>
        <w:numPr>
          <w:ilvl w:val="0"/>
          <w:numId w:val="1002"/>
        </w:numPr>
        <w:pStyle w:val="Compact"/>
      </w:pPr>
      <w:r>
        <w:rPr>
          <w:bCs/>
          <w:b/>
        </w:rPr>
        <w:t xml:space="preserve">MAZ (Micro Analysis Zones)</w:t>
      </w:r>
      <w:r>
        <w:t xml:space="preserve">: ~39,586 zones - Fine-grained geography for detailed local analysis</w:t>
      </w:r>
    </w:p>
    <w:p>
      <w:pPr>
        <w:numPr>
          <w:ilvl w:val="0"/>
          <w:numId w:val="1002"/>
        </w:numPr>
        <w:pStyle w:val="Compact"/>
      </w:pPr>
      <w:r>
        <w:rPr>
          <w:bCs/>
          <w:b/>
        </w:rPr>
        <w:t xml:space="preserve">TAZ (Traffic Analysis Zones)</w:t>
      </w:r>
      <w:r>
        <w:t xml:space="preserve">: ~4,734 zones - Transportation modeling units for travel demand</w:t>
      </w:r>
    </w:p>
    <w:p>
      <w:pPr>
        <w:numPr>
          <w:ilvl w:val="0"/>
          <w:numId w:val="1002"/>
        </w:numPr>
        <w:pStyle w:val="Compact"/>
      </w:pPr>
      <w:r>
        <w:rPr>
          <w:bCs/>
          <w:b/>
        </w:rPr>
        <w:t xml:space="preserve">COUNTY</w:t>
      </w:r>
      <w:r>
        <w:t xml:space="preserve">: 9 zones - Regional units for labor market and economic analysis</w:t>
      </w:r>
    </w:p>
    <w:bookmarkEnd w:id="22"/>
    <w:bookmarkStart w:id="23" w:name="multi-year-data-integration"/>
    <w:p>
      <w:pPr>
        <w:pStyle w:val="Heading3"/>
      </w:pPr>
      <w:r>
        <w:t xml:space="preserve">Multi-Year Data Integration</w:t>
      </w:r>
    </w:p>
    <w:p>
      <w:pPr>
        <w:pStyle w:val="FirstParagraph"/>
      </w:pPr>
      <w:r>
        <w:t xml:space="preserve">The system integrates multiple Census data sources to leverage the best available information:</w:t>
      </w:r>
    </w:p>
    <w:p>
      <w:pPr>
        <w:numPr>
          <w:ilvl w:val="0"/>
          <w:numId w:val="1003"/>
        </w:numPr>
        <w:pStyle w:val="Compact"/>
      </w:pPr>
      <w:r>
        <w:rPr>
          <w:bCs/>
          <w:b/>
        </w:rPr>
        <w:t xml:space="preserve">2020 Decennial Census</w:t>
      </w:r>
      <w:r>
        <w:t xml:space="preserve">: Provides the most accurate household and population counts at detailed geography</w:t>
      </w:r>
    </w:p>
    <w:p>
      <w:pPr>
        <w:numPr>
          <w:ilvl w:val="0"/>
          <w:numId w:val="1003"/>
        </w:numPr>
        <w:pStyle w:val="Compact"/>
      </w:pPr>
      <w:r>
        <w:rPr>
          <w:bCs/>
          <w:b/>
        </w:rPr>
        <w:t xml:space="preserve">ACS 2023 5-Year Estimates</w:t>
      </w:r>
      <w:r>
        <w:t xml:space="preserve">: Offers detailed demographic and economic characteristics with statistical reliability</w:t>
      </w:r>
    </w:p>
    <w:p>
      <w:pPr>
        <w:numPr>
          <w:ilvl w:val="0"/>
          <w:numId w:val="1003"/>
        </w:numPr>
        <w:pStyle w:val="Compact"/>
      </w:pPr>
      <w:r>
        <w:rPr>
          <w:bCs/>
          <w:b/>
        </w:rPr>
        <w:t xml:space="preserve">ACS 2023 1-Year Estimates</w:t>
      </w:r>
      <w:r>
        <w:t xml:space="preserve">: Supplies the most current regional totals for validation and scaling</w:t>
      </w:r>
    </w:p>
    <w:p>
      <w:r>
        <w:pict>
          <v:rect style="width:0;height:1.5pt" o:hralign="center" o:hrstd="t" o:hr="t"/>
        </w:pict>
      </w:r>
    </w:p>
    <w:bookmarkEnd w:id="23"/>
    <w:bookmarkEnd w:id="24"/>
    <w:bookmarkStart w:id="33" w:name="data-sources-and-census-integration"/>
    <w:p>
      <w:pPr>
        <w:pStyle w:val="Heading2"/>
      </w:pPr>
      <w:r>
        <w:t xml:space="preserve">Data Sources and Census Integration</w:t>
      </w:r>
    </w:p>
    <w:bookmarkStart w:id="28" w:name="primary-data-sources"/>
    <w:p>
      <w:pPr>
        <w:pStyle w:val="Heading3"/>
      </w:pPr>
      <w:r>
        <w:t xml:space="preserve">Primary Data Sources</w:t>
      </w:r>
    </w:p>
    <w:bookmarkStart w:id="25" w:name="decennial-census-primary-base-data"/>
    <w:p>
      <w:pPr>
        <w:pStyle w:val="Heading4"/>
      </w:pPr>
      <w:r>
        <w:t xml:space="preserve">2020 Decennial Census (Primary Base Data)</w:t>
      </w:r>
    </w:p>
    <w:p>
      <w:pPr>
        <w:numPr>
          <w:ilvl w:val="0"/>
          <w:numId w:val="1004"/>
        </w:numPr>
        <w:pStyle w:val="Compact"/>
      </w:pPr>
      <w:r>
        <w:rPr>
          <w:bCs/>
          <w:b/>
        </w:rPr>
        <w:t xml:space="preserve">Geography</w:t>
      </w:r>
      <w:r>
        <w:t xml:space="preserve">: Block level (most detailed available)</w:t>
      </w:r>
    </w:p>
    <w:p>
      <w:pPr>
        <w:numPr>
          <w:ilvl w:val="0"/>
          <w:numId w:val="1004"/>
        </w:numPr>
        <w:pStyle w:val="Compact"/>
      </w:pPr>
      <w:r>
        <w:rPr>
          <w:bCs/>
          <w:b/>
        </w:rPr>
        <w:t xml:space="preserve">Key Variables</w:t>
      </w:r>
      <w:r>
        <w:t xml:space="preserve">:</w:t>
      </w:r>
    </w:p>
    <w:p>
      <w:pPr>
        <w:numPr>
          <w:ilvl w:val="1"/>
          <w:numId w:val="1005"/>
        </w:numPr>
        <w:pStyle w:val="Compact"/>
      </w:pPr>
      <w:r>
        <w:t xml:space="preserve">H1_002N: Occupied housing units (households)</w:t>
      </w:r>
    </w:p>
    <w:p>
      <w:pPr>
        <w:numPr>
          <w:ilvl w:val="1"/>
          <w:numId w:val="1005"/>
        </w:numPr>
        <w:pStyle w:val="Compact"/>
      </w:pPr>
      <w:r>
        <w:t xml:space="preserve">P5_008N through P5_012N: Group quarters population by type</w:t>
      </w:r>
    </w:p>
    <w:p>
      <w:pPr>
        <w:numPr>
          <w:ilvl w:val="0"/>
          <w:numId w:val="1004"/>
        </w:numPr>
        <w:pStyle w:val="Compact"/>
      </w:pPr>
      <w:r>
        <w:rPr>
          <w:bCs/>
          <w:b/>
        </w:rPr>
        <w:t xml:space="preserve">Strengths</w:t>
      </w:r>
      <w:r>
        <w:t xml:space="preserve">: Complete enumeration, high geographic detail, no sampling error</w:t>
      </w:r>
    </w:p>
    <w:p>
      <w:pPr>
        <w:numPr>
          <w:ilvl w:val="0"/>
          <w:numId w:val="1004"/>
        </w:numPr>
        <w:pStyle w:val="Compact"/>
      </w:pPr>
      <w:r>
        <w:rPr>
          <w:bCs/>
          <w:b/>
        </w:rPr>
        <w:t xml:space="preserve">Usage</w:t>
      </w:r>
      <w:r>
        <w:t xml:space="preserve">: Foundation for household counts and group quarters at MAZ level</w:t>
      </w:r>
    </w:p>
    <w:bookmarkEnd w:id="25"/>
    <w:bookmarkStart w:id="26" w:name="Xc74c6fc25cbbbe17cc6e958bfabcb71f1c56fe4"/>
    <w:p>
      <w:pPr>
        <w:pStyle w:val="Heading4"/>
      </w:pPr>
      <w:r>
        <w:t xml:space="preserve">ACS 2023 5-Year Estimates (Demographic Detail)</w:t>
      </w:r>
    </w:p>
    <w:p>
      <w:pPr>
        <w:numPr>
          <w:ilvl w:val="0"/>
          <w:numId w:val="1006"/>
        </w:numPr>
        <w:pStyle w:val="Compact"/>
      </w:pPr>
      <w:r>
        <w:rPr>
          <w:bCs/>
          <w:b/>
        </w:rPr>
        <w:t xml:space="preserve">Geography</w:t>
      </w:r>
      <w:r>
        <w:t xml:space="preserve">: Tract and block group level</w:t>
      </w:r>
    </w:p>
    <w:p>
      <w:pPr>
        <w:numPr>
          <w:ilvl w:val="0"/>
          <w:numId w:val="1006"/>
        </w:numPr>
        <w:pStyle w:val="Compact"/>
      </w:pPr>
      <w:r>
        <w:rPr>
          <w:bCs/>
          <w:b/>
        </w:rPr>
        <w:t xml:space="preserve">Key Variables</w:t>
      </w:r>
      <w:r>
        <w:t xml:space="preserve">:</w:t>
      </w:r>
    </w:p>
    <w:p>
      <w:pPr>
        <w:numPr>
          <w:ilvl w:val="1"/>
          <w:numId w:val="1007"/>
        </w:numPr>
        <w:pStyle w:val="Compact"/>
      </w:pPr>
      <w:r>
        <w:t xml:space="preserve">B25001: Housing units and tenure</w:t>
      </w:r>
    </w:p>
    <w:p>
      <w:pPr>
        <w:numPr>
          <w:ilvl w:val="1"/>
          <w:numId w:val="1007"/>
        </w:numPr>
        <w:pStyle w:val="Compact"/>
      </w:pPr>
      <w:r>
        <w:t xml:space="preserve">B19001: Household income distribution</w:t>
      </w:r>
    </w:p>
    <w:p>
      <w:pPr>
        <w:numPr>
          <w:ilvl w:val="1"/>
          <w:numId w:val="1007"/>
        </w:numPr>
        <w:pStyle w:val="Compact"/>
      </w:pPr>
      <w:r>
        <w:t xml:space="preserve">B23025: Employment status and occupation</w:t>
      </w:r>
    </w:p>
    <w:p>
      <w:pPr>
        <w:numPr>
          <w:ilvl w:val="1"/>
          <w:numId w:val="1007"/>
        </w:numPr>
        <w:pStyle w:val="Compact"/>
      </w:pPr>
      <w:r>
        <w:t xml:space="preserve">B01001: Age and sex distribution</w:t>
      </w:r>
    </w:p>
    <w:p>
      <w:pPr>
        <w:numPr>
          <w:ilvl w:val="0"/>
          <w:numId w:val="1006"/>
        </w:numPr>
        <w:pStyle w:val="Compact"/>
      </w:pPr>
      <w:r>
        <w:rPr>
          <w:bCs/>
          <w:b/>
        </w:rPr>
        <w:t xml:space="preserve">Strengths</w:t>
      </w:r>
      <w:r>
        <w:t xml:space="preserve">: Detailed demographic characteristics, statistical reliability</w:t>
      </w:r>
    </w:p>
    <w:p>
      <w:pPr>
        <w:numPr>
          <w:ilvl w:val="0"/>
          <w:numId w:val="1006"/>
        </w:numPr>
        <w:pStyle w:val="Compact"/>
      </w:pPr>
      <w:r>
        <w:rPr>
          <w:bCs/>
          <w:b/>
        </w:rPr>
        <w:t xml:space="preserve">Usage</w:t>
      </w:r>
      <w:r>
        <w:t xml:space="preserve">: Household size, income, age, and occupation distributions</w:t>
      </w:r>
    </w:p>
    <w:bookmarkEnd w:id="26"/>
    <w:bookmarkStart w:id="27" w:name="acs-2023-1-year-estimates-current-totals"/>
    <w:p>
      <w:pPr>
        <w:pStyle w:val="Heading4"/>
      </w:pPr>
      <w:r>
        <w:t xml:space="preserve">ACS 2023 1-Year Estimates (Current Totals)</w:t>
      </w:r>
    </w:p>
    <w:p>
      <w:pPr>
        <w:numPr>
          <w:ilvl w:val="0"/>
          <w:numId w:val="1008"/>
        </w:numPr>
        <w:pStyle w:val="Compact"/>
      </w:pPr>
      <w:r>
        <w:rPr>
          <w:bCs/>
          <w:b/>
        </w:rPr>
        <w:t xml:space="preserve">Geography</w:t>
      </w:r>
      <w:r>
        <w:t xml:space="preserve">: County level only</w:t>
      </w:r>
    </w:p>
    <w:p>
      <w:pPr>
        <w:numPr>
          <w:ilvl w:val="0"/>
          <w:numId w:val="1008"/>
        </w:numPr>
        <w:pStyle w:val="Compact"/>
      </w:pPr>
      <w:r>
        <w:rPr>
          <w:bCs/>
          <w:b/>
        </w:rPr>
        <w:t xml:space="preserve">Key Variables</w:t>
      </w:r>
      <w:r>
        <w:t xml:space="preserve">:</w:t>
      </w:r>
    </w:p>
    <w:p>
      <w:pPr>
        <w:numPr>
          <w:ilvl w:val="1"/>
          <w:numId w:val="1009"/>
        </w:numPr>
        <w:pStyle w:val="Compact"/>
      </w:pPr>
      <w:r>
        <w:t xml:space="preserve">B25001_001E: Total households by county</w:t>
      </w:r>
    </w:p>
    <w:p>
      <w:pPr>
        <w:numPr>
          <w:ilvl w:val="1"/>
          <w:numId w:val="1009"/>
        </w:numPr>
        <w:pStyle w:val="Compact"/>
      </w:pPr>
      <w:r>
        <w:t xml:space="preserve">B01003_001E: Total population by county</w:t>
      </w:r>
    </w:p>
    <w:p>
      <w:pPr>
        <w:numPr>
          <w:ilvl w:val="0"/>
          <w:numId w:val="1008"/>
        </w:numPr>
        <w:pStyle w:val="Compact"/>
      </w:pPr>
      <w:r>
        <w:rPr>
          <w:bCs/>
          <w:b/>
        </w:rPr>
        <w:t xml:space="preserve">Strengths</w:t>
      </w:r>
      <w:r>
        <w:t xml:space="preserve">: Most current data, reflects recent demographic changes</w:t>
      </w:r>
    </w:p>
    <w:p>
      <w:pPr>
        <w:numPr>
          <w:ilvl w:val="0"/>
          <w:numId w:val="1008"/>
        </w:numPr>
        <w:pStyle w:val="Compact"/>
      </w:pPr>
      <w:r>
        <w:rPr>
          <w:bCs/>
          <w:b/>
        </w:rPr>
        <w:t xml:space="preserve">Usage</w:t>
      </w:r>
      <w:r>
        <w:t xml:space="preserve">: Regional validation targets and scaling factors</w:t>
      </w:r>
    </w:p>
    <w:bookmarkEnd w:id="27"/>
    <w:bookmarkEnd w:id="28"/>
    <w:bookmarkStart w:id="32" w:name="data-processing-workflow"/>
    <w:p>
      <w:pPr>
        <w:pStyle w:val="Heading3"/>
      </w:pPr>
      <w:r>
        <w:t xml:space="preserve">Data Processing Workflow</w:t>
      </w:r>
    </w:p>
    <w:bookmarkStart w:id="29" w:name="step-1-census-data-acquisition"/>
    <w:p>
      <w:pPr>
        <w:pStyle w:val="Heading4"/>
      </w:pPr>
      <w:r>
        <w:t xml:space="preserve">Step 1: Census Data Acquisition</w:t>
      </w:r>
    </w:p>
    <w:p>
      <w:pPr>
        <w:pStyle w:val="FirstParagraph"/>
      </w:pPr>
      <w:r>
        <w:t xml:space="preserve">The system automatically downloads and caches Census data using the Census API:</w:t>
      </w:r>
    </w:p>
    <w:p>
      <w:pPr>
        <w:pStyle w:val="SourceCode"/>
      </w:pPr>
      <w:r>
        <w:rPr>
          <w:rStyle w:val="CommentTok"/>
        </w:rPr>
        <w:t xml:space="preserve"># Example: Downloading household income data</w:t>
      </w:r>
      <w:r>
        <w:br/>
      </w:r>
      <w:r>
        <w:rPr>
          <w:rStyle w:val="NormalTok"/>
        </w:rPr>
        <w:t xml:space="preserve">census_data </w:t>
      </w:r>
      <w:r>
        <w:rPr>
          <w:rStyle w:val="OperatorTok"/>
        </w:rPr>
        <w:t xml:space="preserve">=</w:t>
      </w:r>
      <w:r>
        <w:rPr>
          <w:rStyle w:val="NormalTok"/>
        </w:rPr>
        <w:t xml:space="preserve"> get_census_data(</w:t>
      </w:r>
      <w:r>
        <w:br/>
      </w:r>
      <w:r>
        <w:rPr>
          <w:rStyle w:val="NormalTok"/>
        </w:rPr>
        <w:t xml:space="preserve">    dataset</w:t>
      </w:r>
      <w:r>
        <w:rPr>
          <w:rStyle w:val="OperatorTok"/>
        </w:rPr>
        <w:t xml:space="preserve">=</w:t>
      </w:r>
      <w:r>
        <w:rPr>
          <w:rStyle w:val="StringTok"/>
        </w:rPr>
        <w:t xml:space="preserve">'acs5'</w:t>
      </w:r>
      <w:r>
        <w:rPr>
          <w:rStyle w:val="NormalTok"/>
        </w:rPr>
        <w:t xml:space="preserve">,</w:t>
      </w:r>
      <w:r>
        <w:br/>
      </w:r>
      <w:r>
        <w:rPr>
          <w:rStyle w:val="NormalTok"/>
        </w:rPr>
        <w:t xml:space="preserve">    year</w:t>
      </w:r>
      <w:r>
        <w:rPr>
          <w:rStyle w:val="OperatorTok"/>
        </w:rPr>
        <w:t xml:space="preserve">=</w:t>
      </w:r>
      <w:r>
        <w:rPr>
          <w:rStyle w:val="DecValTok"/>
        </w:rPr>
        <w:t xml:space="preserve">2023</w:t>
      </w:r>
      <w:r>
        <w:rPr>
          <w:rStyle w:val="NormalTok"/>
        </w:rPr>
        <w:t xml:space="preserve">,</w:t>
      </w:r>
      <w:r>
        <w:br/>
      </w:r>
      <w:r>
        <w:rPr>
          <w:rStyle w:val="NormalTok"/>
        </w:rPr>
        <w:t xml:space="preserve">    table</w:t>
      </w:r>
      <w:r>
        <w:rPr>
          <w:rStyle w:val="OperatorTok"/>
        </w:rPr>
        <w:t xml:space="preserve">=</w:t>
      </w:r>
      <w:r>
        <w:rPr>
          <w:rStyle w:val="StringTok"/>
        </w:rPr>
        <w:t xml:space="preserve">'B19001'</w:t>
      </w:r>
      <w:r>
        <w:rPr>
          <w:rStyle w:val="NormalTok"/>
        </w:rPr>
        <w:t xml:space="preserve">,  </w:t>
      </w:r>
      <w:r>
        <w:rPr>
          <w:rStyle w:val="CommentTok"/>
        </w:rPr>
        <w:t xml:space="preserve"># Household income</w:t>
      </w:r>
      <w:r>
        <w:br/>
      </w:r>
      <w:r>
        <w:rPr>
          <w:rStyle w:val="NormalTok"/>
        </w:rPr>
        <w:t xml:space="preserve">    geography</w:t>
      </w:r>
      <w:r>
        <w:rPr>
          <w:rStyle w:val="OperatorTok"/>
        </w:rPr>
        <w:t xml:space="preserve">=</w:t>
      </w:r>
      <w:r>
        <w:rPr>
          <w:rStyle w:val="StringTok"/>
        </w:rPr>
        <w:t xml:space="preserve">'tract'</w:t>
      </w:r>
      <w:r>
        <w:rPr>
          <w:rStyle w:val="NormalTok"/>
        </w:rPr>
        <w:t xml:space="preserve">,</w:t>
      </w:r>
      <w:r>
        <w:br/>
      </w:r>
      <w:r>
        <w:rPr>
          <w:rStyle w:val="NormalTok"/>
        </w:rPr>
        <w:t xml:space="preserve">    state</w:t>
      </w:r>
      <w:r>
        <w:rPr>
          <w:rStyle w:val="OperatorTok"/>
        </w:rPr>
        <w:t xml:space="preserve">=</w:t>
      </w:r>
      <w:r>
        <w:rPr>
          <w:rStyle w:val="StringTok"/>
        </w:rPr>
        <w:t xml:space="preserve">'06'</w:t>
      </w:r>
      <w:r>
        <w:rPr>
          <w:rStyle w:val="NormalTok"/>
        </w:rPr>
        <w:t xml:space="preserve">,      </w:t>
      </w:r>
      <w:r>
        <w:rPr>
          <w:rStyle w:val="CommentTok"/>
        </w:rPr>
        <w:t xml:space="preserve"># California</w:t>
      </w:r>
      <w:r>
        <w:br/>
      </w:r>
      <w:r>
        <w:rPr>
          <w:rStyle w:val="NormalTok"/>
        </w:rPr>
        <w:t xml:space="preserve">    county</w:t>
      </w:r>
      <w:r>
        <w:rPr>
          <w:rStyle w:val="OperatorTok"/>
        </w:rPr>
        <w:t xml:space="preserve">=</w:t>
      </w:r>
      <w:r>
        <w:rPr>
          <w:rStyle w:val="NormalTok"/>
        </w:rPr>
        <w:t xml:space="preserve">[</w:t>
      </w:r>
      <w:r>
        <w:rPr>
          <w:rStyle w:val="StringTok"/>
        </w:rPr>
        <w:t xml:space="preserve">'001'</w:t>
      </w:r>
      <w:r>
        <w:rPr>
          <w:rStyle w:val="NormalTok"/>
        </w:rPr>
        <w:t xml:space="preserve">, </w:t>
      </w:r>
      <w:r>
        <w:rPr>
          <w:rStyle w:val="StringTok"/>
        </w:rPr>
        <w:t xml:space="preserve">'013'</w:t>
      </w:r>
      <w:r>
        <w:rPr>
          <w:rStyle w:val="NormalTok"/>
        </w:rPr>
        <w:t xml:space="preserve">, </w:t>
      </w:r>
      <w:r>
        <w:rPr>
          <w:rStyle w:val="StringTok"/>
        </w:rPr>
        <w:t xml:space="preserve">'041'</w:t>
      </w:r>
      <w:r>
        <w:rPr>
          <w:rStyle w:val="NormalTok"/>
        </w:rPr>
        <w:t xml:space="preserve">, </w:t>
      </w:r>
      <w:r>
        <w:rPr>
          <w:rStyle w:val="StringTok"/>
        </w:rPr>
        <w:t xml:space="preserve">'055'</w:t>
      </w:r>
      <w:r>
        <w:rPr>
          <w:rStyle w:val="NormalTok"/>
        </w:rPr>
        <w:t xml:space="preserve">, </w:t>
      </w:r>
      <w:r>
        <w:rPr>
          <w:rStyle w:val="StringTok"/>
        </w:rPr>
        <w:t xml:space="preserve">'075'</w:t>
      </w:r>
      <w:r>
        <w:rPr>
          <w:rStyle w:val="NormalTok"/>
        </w:rPr>
        <w:t xml:space="preserve">, </w:t>
      </w:r>
      <w:r>
        <w:rPr>
          <w:rStyle w:val="StringTok"/>
        </w:rPr>
        <w:t xml:space="preserve">'081'</w:t>
      </w:r>
      <w:r>
        <w:rPr>
          <w:rStyle w:val="NormalTok"/>
        </w:rPr>
        <w:t xml:space="preserve">, </w:t>
      </w:r>
      <w:r>
        <w:rPr>
          <w:rStyle w:val="StringTok"/>
        </w:rPr>
        <w:t xml:space="preserve">'085'</w:t>
      </w:r>
      <w:r>
        <w:rPr>
          <w:rStyle w:val="NormalTok"/>
        </w:rPr>
        <w:t xml:space="preserve">, </w:t>
      </w:r>
      <w:r>
        <w:rPr>
          <w:rStyle w:val="StringTok"/>
        </w:rPr>
        <w:t xml:space="preserve">'095'</w:t>
      </w:r>
      <w:r>
        <w:rPr>
          <w:rStyle w:val="NormalTok"/>
        </w:rPr>
        <w:t xml:space="preserve">, </w:t>
      </w:r>
      <w:r>
        <w:rPr>
          <w:rStyle w:val="StringTok"/>
        </w:rPr>
        <w:t xml:space="preserve">'097'</w:t>
      </w:r>
      <w:r>
        <w:rPr>
          <w:rStyle w:val="NormalTok"/>
        </w:rPr>
        <w:t xml:space="preserve">]</w:t>
      </w:r>
      <w:r>
        <w:br/>
      </w:r>
      <w:r>
        <w:rPr>
          <w:rStyle w:val="NormalTok"/>
        </w:rPr>
        <w:t xml:space="preserve">)</w:t>
      </w:r>
    </w:p>
    <w:bookmarkEnd w:id="29"/>
    <w:bookmarkStart w:id="30" w:name="step-2-geographic-interpolation"/>
    <w:p>
      <w:pPr>
        <w:pStyle w:val="Heading4"/>
      </w:pPr>
      <w:r>
        <w:t xml:space="preserve">Step 2: Geographic Interpolation</w:t>
      </w:r>
    </w:p>
    <w:p>
      <w:pPr>
        <w:pStyle w:val="FirstParagraph"/>
      </w:pPr>
      <w:r>
        <w:t xml:space="preserve">Since Census geographies don’t perfectly align with MAZ/TAZ boundaries, the system uses sophisticated interpolation:</w:t>
      </w:r>
    </w:p>
    <w:p>
      <w:pPr>
        <w:numPr>
          <w:ilvl w:val="0"/>
          <w:numId w:val="1010"/>
        </w:numPr>
        <w:pStyle w:val="Compact"/>
      </w:pPr>
      <w:r>
        <w:rPr>
          <w:bCs/>
          <w:b/>
        </w:rPr>
        <w:t xml:space="preserve">Block-to-MAZ Aggregation</w:t>
      </w:r>
      <w:r>
        <w:t xml:space="preserve">: Uses geographic crosswalks to aggregate 2020 Census blocks to MAZ zones</w:t>
      </w:r>
    </w:p>
    <w:p>
      <w:pPr>
        <w:numPr>
          <w:ilvl w:val="0"/>
          <w:numId w:val="1010"/>
        </w:numPr>
        <w:pStyle w:val="Compact"/>
      </w:pPr>
      <w:r>
        <w:rPr>
          <w:bCs/>
          <w:b/>
        </w:rPr>
        <w:t xml:space="preserve">Tract-to-TAZ Interpolation</w:t>
      </w:r>
      <w:r>
        <w:t xml:space="preserve">: Employs areal interpolation weights to distribute tract-level data to TAZ zones</w:t>
      </w:r>
    </w:p>
    <w:p>
      <w:pPr>
        <w:numPr>
          <w:ilvl w:val="0"/>
          <w:numId w:val="1010"/>
        </w:numPr>
        <w:pStyle w:val="Compact"/>
      </w:pPr>
      <w:r>
        <w:rPr>
          <w:bCs/>
          <w:b/>
        </w:rPr>
        <w:t xml:space="preserve">Temporal Interpolation</w:t>
      </w:r>
      <w:r>
        <w:t xml:space="preserve">: For geographic boundary changes between 2010 and 2020, uses NHGIS crosswalks</w:t>
      </w:r>
    </w:p>
    <w:bookmarkEnd w:id="30"/>
    <w:bookmarkStart w:id="31" w:name="X0be752844cc81352366b1faf089bde86906f59d"/>
    <w:p>
      <w:pPr>
        <w:pStyle w:val="Heading4"/>
      </w:pPr>
      <w:r>
        <w:t xml:space="preserve">Step 3: Data Validation and Quality Control</w:t>
      </w:r>
    </w:p>
    <w:p>
      <w:pPr>
        <w:pStyle w:val="FirstParagraph"/>
      </w:pPr>
      <w:r>
        <w:t xml:space="preserve">Each data source undergoes rigorous validation:</w:t>
      </w:r>
    </w:p>
    <w:p>
      <w:pPr>
        <w:numPr>
          <w:ilvl w:val="0"/>
          <w:numId w:val="1011"/>
        </w:numPr>
        <w:pStyle w:val="Compact"/>
      </w:pPr>
      <w:r>
        <w:rPr>
          <w:bCs/>
          <w:b/>
        </w:rPr>
        <w:t xml:space="preserve">Completeness Checks</w:t>
      </w:r>
      <w:r>
        <w:t xml:space="preserve">: Ensures all required geographic units have data</w:t>
      </w:r>
    </w:p>
    <w:p>
      <w:pPr>
        <w:numPr>
          <w:ilvl w:val="0"/>
          <w:numId w:val="1011"/>
        </w:numPr>
        <w:pStyle w:val="Compact"/>
      </w:pPr>
      <w:r>
        <w:rPr>
          <w:bCs/>
          <w:b/>
        </w:rPr>
        <w:t xml:space="preserve">Consistency Validation</w:t>
      </w:r>
      <w:r>
        <w:t xml:space="preserve">: Verifies that totals match expected Census totals</w:t>
      </w:r>
    </w:p>
    <w:p>
      <w:pPr>
        <w:numPr>
          <w:ilvl w:val="0"/>
          <w:numId w:val="1011"/>
        </w:numPr>
        <w:pStyle w:val="Compact"/>
      </w:pPr>
      <w:r>
        <w:rPr>
          <w:bCs/>
          <w:b/>
        </w:rPr>
        <w:t xml:space="preserve">Outlier Detection</w:t>
      </w:r>
      <w:r>
        <w:t xml:space="preserve">: Identifies and flags unusual values for manual review</w:t>
      </w:r>
    </w:p>
    <w:p>
      <w:r>
        <w:pict>
          <v:rect style="width:0;height:1.5pt" o:hralign="center" o:hrstd="t" o:hr="t"/>
        </w:pict>
      </w:r>
    </w:p>
    <w:bookmarkEnd w:id="31"/>
    <w:bookmarkEnd w:id="32"/>
    <w:bookmarkEnd w:id="33"/>
    <w:bookmarkStart w:id="41" w:name="geographic-framework-and-processing"/>
    <w:p>
      <w:pPr>
        <w:pStyle w:val="Heading2"/>
      </w:pPr>
      <w:r>
        <w:t xml:space="preserve">Geographic Framework and Processing</w:t>
      </w:r>
    </w:p>
    <w:bookmarkStart w:id="36" w:name="maz-micro-analysis-zone-level"/>
    <w:p>
      <w:pPr>
        <w:pStyle w:val="Heading3"/>
      </w:pPr>
      <w:r>
        <w:t xml:space="preserve">MAZ (Micro Analysis Zone) Level</w:t>
      </w:r>
    </w:p>
    <w:p>
      <w:pPr>
        <w:pStyle w:val="FirstParagraph"/>
      </w:pPr>
      <w:r>
        <w:t xml:space="preserve">MAZs represent the finest geographic resolution in the model, with approximately 39,586 zones covering the 9-county Bay Area.</w:t>
      </w:r>
    </w:p>
    <w:bookmarkStart w:id="34" w:name="maz-control-generation-process"/>
    <w:p>
      <w:pPr>
        <w:pStyle w:val="Heading4"/>
      </w:pPr>
      <w:r>
        <w:t xml:space="preserve">MAZ Control Generation Process:</w:t>
      </w:r>
    </w:p>
    <w:p>
      <w:pPr>
        <w:numPr>
          <w:ilvl w:val="0"/>
          <w:numId w:val="1012"/>
        </w:numPr>
        <w:pStyle w:val="Compact"/>
      </w:pPr>
      <w:r>
        <w:rPr>
          <w:bCs/>
          <w:b/>
        </w:rPr>
        <w:t xml:space="preserve">Base Data</w:t>
      </w:r>
      <w:r>
        <w:t xml:space="preserve">: 2020 Decennial Census at block level</w:t>
      </w:r>
    </w:p>
    <w:p>
      <w:pPr>
        <w:numPr>
          <w:ilvl w:val="0"/>
          <w:numId w:val="1012"/>
        </w:numPr>
        <w:pStyle w:val="Compact"/>
      </w:pPr>
      <w:r>
        <w:rPr>
          <w:bCs/>
          <w:b/>
        </w:rPr>
        <w:t xml:space="preserve">Geographic Aggregation</w:t>
      </w:r>
      <w:r>
        <w:t xml:space="preserve">: Blocks aggregated to MAZ using definitive crosswalk</w:t>
      </w:r>
    </w:p>
    <w:p>
      <w:pPr>
        <w:numPr>
          <w:ilvl w:val="0"/>
          <w:numId w:val="1012"/>
        </w:numPr>
        <w:pStyle w:val="Compact"/>
      </w:pPr>
      <w:r>
        <w:rPr>
          <w:bCs/>
          <w:b/>
        </w:rPr>
        <w:t xml:space="preserve">Control Types Generated</w:t>
      </w:r>
      <w:r>
        <w:t xml:space="preserve">:</w:t>
      </w:r>
    </w:p>
    <w:p>
      <w:pPr>
        <w:numPr>
          <w:ilvl w:val="1"/>
          <w:numId w:val="1013"/>
        </w:numPr>
        <w:pStyle w:val="Compact"/>
      </w:pPr>
      <w:r>
        <w:rPr>
          <w:bCs/>
          <w:b/>
        </w:rPr>
        <w:t xml:space="preserve">Households</w:t>
      </w:r>
      <w:r>
        <w:t xml:space="preserve"> </w:t>
      </w:r>
      <w:r>
        <w:t xml:space="preserve">(</w:t>
      </w:r>
      <w:r>
        <w:rPr>
          <w:rStyle w:val="VerbatimChar"/>
        </w:rPr>
        <w:t xml:space="preserve">num_hh</w:t>
      </w:r>
      <w:r>
        <w:t xml:space="preserve">): Direct aggregation of occupied housing units</w:t>
      </w:r>
    </w:p>
    <w:p>
      <w:pPr>
        <w:numPr>
          <w:ilvl w:val="1"/>
          <w:numId w:val="1013"/>
        </w:numPr>
        <w:pStyle w:val="Compact"/>
      </w:pPr>
      <w:r>
        <w:rPr>
          <w:bCs/>
          <w:b/>
        </w:rPr>
        <w:t xml:space="preserve">Population</w:t>
      </w:r>
      <w:r>
        <w:t xml:space="preserve"> </w:t>
      </w:r>
      <w:r>
        <w:t xml:space="preserve">(</w:t>
      </w:r>
      <w:r>
        <w:rPr>
          <w:rStyle w:val="VerbatimChar"/>
        </w:rPr>
        <w:t xml:space="preserve">total_pop</w:t>
      </w:r>
      <w:r>
        <w:t xml:space="preserve">): Total persons in households and group quarters</w:t>
      </w:r>
    </w:p>
    <w:p>
      <w:pPr>
        <w:numPr>
          <w:ilvl w:val="1"/>
          <w:numId w:val="1013"/>
        </w:numPr>
        <w:pStyle w:val="Compact"/>
      </w:pPr>
      <w:r>
        <w:rPr>
          <w:bCs/>
          <w:b/>
        </w:rPr>
        <w:t xml:space="preserve">Group Quarters</w:t>
      </w:r>
      <w:r>
        <w:t xml:space="preserve">: Detailed breakdown by institutional type</w:t>
      </w:r>
    </w:p>
    <w:bookmarkEnd w:id="34"/>
    <w:bookmarkStart w:id="35" w:name="maz-group-quarters-processing"/>
    <w:p>
      <w:pPr>
        <w:pStyle w:val="Heading4"/>
      </w:pPr>
      <w:r>
        <w:t xml:space="preserve">MAZ Group Quarters Processing:</w:t>
      </w:r>
    </w:p>
    <w:p>
      <w:pPr>
        <w:pStyle w:val="FirstParagraph"/>
      </w:pPr>
      <w:r>
        <w:t xml:space="preserve">Group quarters represent persons living in institutional or communal arrangements. The system processes three categories:</w:t>
      </w:r>
    </w:p>
    <w:p>
      <w:pPr>
        <w:numPr>
          <w:ilvl w:val="0"/>
          <w:numId w:val="1014"/>
        </w:numPr>
        <w:pStyle w:val="Compact"/>
      </w:pPr>
      <w:r>
        <w:rPr>
          <w:bCs/>
          <w:b/>
        </w:rPr>
        <w:t xml:space="preserve">University Group Quarters</w:t>
      </w:r>
      <w:r>
        <w:t xml:space="preserve"> </w:t>
      </w:r>
      <w:r>
        <w:t xml:space="preserve">(</w:t>
      </w:r>
      <w:r>
        <w:rPr>
          <w:rStyle w:val="VerbatimChar"/>
        </w:rPr>
        <w:t xml:space="preserve">hh_gq_university</w:t>
      </w:r>
      <w:r>
        <w:t xml:space="preserve">): Dormitories and student housing (P5_008N)</w:t>
      </w:r>
    </w:p>
    <w:p>
      <w:pPr>
        <w:numPr>
          <w:ilvl w:val="0"/>
          <w:numId w:val="1014"/>
        </w:numPr>
        <w:pStyle w:val="Compact"/>
      </w:pPr>
      <w:r>
        <w:rPr>
          <w:bCs/>
          <w:b/>
        </w:rPr>
        <w:t xml:space="preserve">Military Group Quarters</w:t>
      </w:r>
      <w:r>
        <w:t xml:space="preserve"> </w:t>
      </w:r>
      <w:r>
        <w:t xml:space="preserve">(</w:t>
      </w:r>
      <w:r>
        <w:rPr>
          <w:rStyle w:val="VerbatimChar"/>
        </w:rPr>
        <w:t xml:space="preserve">hh_gq_military</w:t>
      </w:r>
      <w:r>
        <w:t xml:space="preserve">): Military barracks and base housing (P5_009N)</w:t>
      </w:r>
    </w:p>
    <w:p>
      <w:pPr>
        <w:numPr>
          <w:ilvl w:val="0"/>
          <w:numId w:val="1014"/>
        </w:numPr>
        <w:pStyle w:val="Compact"/>
      </w:pPr>
      <w:r>
        <w:rPr>
          <w:bCs/>
          <w:b/>
        </w:rPr>
        <w:t xml:space="preserve">Other Noninstitutional</w:t>
      </w:r>
      <w:r>
        <w:t xml:space="preserve"> </w:t>
      </w:r>
      <w:r>
        <w:t xml:space="preserve">(</w:t>
      </w:r>
      <w:r>
        <w:rPr>
          <w:rStyle w:val="VerbatimChar"/>
        </w:rPr>
        <w:t xml:space="preserve">hh_gq_other_nonins</w:t>
      </w:r>
      <w:r>
        <w:t xml:space="preserve">): Group homes, religious quarters, worker housing (P5_011N + P5_012N)</w:t>
      </w:r>
    </w:p>
    <w:p>
      <w:pPr>
        <w:pStyle w:val="FirstParagraph"/>
      </w:pPr>
      <w:r>
        <w:rPr>
          <w:bCs/>
          <w:b/>
        </w:rPr>
        <w:t xml:space="preserve">Important Note</w:t>
      </w:r>
      <w:r>
        <w:t xml:space="preserve">: Institutional group quarters (nursing homes, prisons, hospitals) are excluded as they don’t participate in the regular housing market.</w:t>
      </w:r>
    </w:p>
    <w:bookmarkEnd w:id="35"/>
    <w:bookmarkEnd w:id="36"/>
    <w:bookmarkStart w:id="38" w:name="taz-traffic-analysis-zone-level"/>
    <w:p>
      <w:pPr>
        <w:pStyle w:val="Heading3"/>
      </w:pPr>
      <w:r>
        <w:t xml:space="preserve">TAZ (Traffic Analysis Zone) Level</w:t>
      </w:r>
    </w:p>
    <w:p>
      <w:pPr>
        <w:pStyle w:val="FirstParagraph"/>
      </w:pPr>
      <w:r>
        <w:t xml:space="preserve">TAZs serve as the primary geography for transportation modeling, with approximately 4,734 zones.</w:t>
      </w:r>
    </w:p>
    <w:bookmarkStart w:id="37" w:name="taz-control-generation-process"/>
    <w:p>
      <w:pPr>
        <w:pStyle w:val="Heading4"/>
      </w:pPr>
      <w:r>
        <w:t xml:space="preserve">TAZ Control Generation Process:</w:t>
      </w:r>
    </w:p>
    <w:p>
      <w:pPr>
        <w:numPr>
          <w:ilvl w:val="0"/>
          <w:numId w:val="1015"/>
        </w:numPr>
      </w:pPr>
      <w:r>
        <w:rPr>
          <w:bCs/>
          <w:b/>
        </w:rPr>
        <w:t xml:space="preserve">Base Data</w:t>
      </w:r>
      <w:r>
        <w:t xml:space="preserve">: ACS 2023 5-Year estimates at tract and block group level</w:t>
      </w:r>
    </w:p>
    <w:p>
      <w:pPr>
        <w:numPr>
          <w:ilvl w:val="0"/>
          <w:numId w:val="1015"/>
        </w:numPr>
      </w:pPr>
      <w:r>
        <w:rPr>
          <w:bCs/>
          <w:b/>
        </w:rPr>
        <w:t xml:space="preserve">Geographic Processing</w:t>
      </w:r>
      <w:r>
        <w:t xml:space="preserve">: Sophisticated interpolation from Census geographies to TAZ</w:t>
      </w:r>
    </w:p>
    <w:p>
      <w:pPr>
        <w:numPr>
          <w:ilvl w:val="0"/>
          <w:numId w:val="1015"/>
        </w:numPr>
      </w:pPr>
      <w:r>
        <w:rPr>
          <w:bCs/>
          <w:b/>
        </w:rPr>
        <w:t xml:space="preserve">Control Categories</w:t>
      </w:r>
      <w:r>
        <w:t xml:space="preserve">:</w:t>
      </w:r>
    </w:p>
    <w:p>
      <w:pPr>
        <w:numPr>
          <w:ilvl w:val="0"/>
          <w:numId w:val="1000"/>
        </w:numPr>
      </w:pPr>
      <w:r>
        <w:rPr>
          <w:bCs/>
          <w:b/>
        </w:rPr>
        <w:t xml:space="preserve">Household Size Distribution</w:t>
      </w:r>
      <w:r>
        <w:t xml:space="preserve">:</w:t>
      </w:r>
    </w:p>
    <w:p>
      <w:pPr>
        <w:numPr>
          <w:ilvl w:val="1"/>
          <w:numId w:val="1016"/>
        </w:numPr>
        <w:pStyle w:val="Compact"/>
      </w:pPr>
      <w:r>
        <w:rPr>
          <w:rStyle w:val="VerbatimChar"/>
        </w:rPr>
        <w:t xml:space="preserve">hh_size_1</w:t>
      </w:r>
      <w:r>
        <w:t xml:space="preserve">: Single-person households</w:t>
      </w:r>
    </w:p>
    <w:p>
      <w:pPr>
        <w:numPr>
          <w:ilvl w:val="1"/>
          <w:numId w:val="1016"/>
        </w:numPr>
        <w:pStyle w:val="Compact"/>
      </w:pPr>
      <w:r>
        <w:rPr>
          <w:rStyle w:val="VerbatimChar"/>
        </w:rPr>
        <w:t xml:space="preserve">hh_size_2</w:t>
      </w:r>
      <w:r>
        <w:t xml:space="preserve">: Two-person households</w:t>
      </w:r>
      <w:r>
        <w:br/>
      </w:r>
    </w:p>
    <w:p>
      <w:pPr>
        <w:numPr>
          <w:ilvl w:val="1"/>
          <w:numId w:val="1016"/>
        </w:numPr>
        <w:pStyle w:val="Compact"/>
      </w:pPr>
      <w:r>
        <w:rPr>
          <w:rStyle w:val="VerbatimChar"/>
        </w:rPr>
        <w:t xml:space="preserve">hh_size_3</w:t>
      </w:r>
      <w:r>
        <w:t xml:space="preserve">: Three-person households</w:t>
      </w:r>
    </w:p>
    <w:p>
      <w:pPr>
        <w:numPr>
          <w:ilvl w:val="1"/>
          <w:numId w:val="1016"/>
        </w:numPr>
        <w:pStyle w:val="Compact"/>
      </w:pPr>
      <w:r>
        <w:rPr>
          <w:rStyle w:val="VerbatimChar"/>
        </w:rPr>
        <w:t xml:space="preserve">hh_size_4</w:t>
      </w:r>
      <w:r>
        <w:t xml:space="preserve">: Four-person households</w:t>
      </w:r>
    </w:p>
    <w:p>
      <w:pPr>
        <w:numPr>
          <w:ilvl w:val="1"/>
          <w:numId w:val="1016"/>
        </w:numPr>
        <w:pStyle w:val="Compact"/>
      </w:pPr>
      <w:r>
        <w:rPr>
          <w:rStyle w:val="VerbatimChar"/>
        </w:rPr>
        <w:t xml:space="preserve">hh_size_5</w:t>
      </w:r>
      <w:r>
        <w:t xml:space="preserve">: Five-person households</w:t>
      </w:r>
    </w:p>
    <w:p>
      <w:pPr>
        <w:numPr>
          <w:ilvl w:val="1"/>
          <w:numId w:val="1016"/>
        </w:numPr>
        <w:pStyle w:val="Compact"/>
      </w:pPr>
      <w:r>
        <w:rPr>
          <w:rStyle w:val="VerbatimChar"/>
        </w:rPr>
        <w:t xml:space="preserve">hh_size_6_plus</w:t>
      </w:r>
      <w:r>
        <w:t xml:space="preserve">: Six or more person households</w:t>
      </w:r>
    </w:p>
    <w:p>
      <w:pPr>
        <w:numPr>
          <w:ilvl w:val="0"/>
          <w:numId w:val="1000"/>
        </w:numPr>
      </w:pPr>
      <w:r>
        <w:rPr>
          <w:bCs/>
          <w:b/>
        </w:rPr>
        <w:t xml:space="preserve">Household Income Distribution</w:t>
      </w:r>
      <w:r>
        <w:t xml:space="preserve"> </w:t>
      </w:r>
      <w:r>
        <w:t xml:space="preserve">(in 2023 dollars):</w:t>
      </w:r>
    </w:p>
    <w:p>
      <w:pPr>
        <w:numPr>
          <w:ilvl w:val="1"/>
          <w:numId w:val="1017"/>
        </w:numPr>
        <w:pStyle w:val="Compact"/>
      </w:pPr>
      <w:r>
        <w:rPr>
          <w:rStyle w:val="VerbatimChar"/>
        </w:rPr>
        <w:t xml:space="preserve">inc_lt_20k</w:t>
      </w:r>
      <w:r>
        <w:t xml:space="preserve">: Less than $20,000</w:t>
      </w:r>
    </w:p>
    <w:p>
      <w:pPr>
        <w:numPr>
          <w:ilvl w:val="1"/>
          <w:numId w:val="1017"/>
        </w:numPr>
        <w:pStyle w:val="Compact"/>
      </w:pPr>
      <w:r>
        <w:rPr>
          <w:rStyle w:val="VerbatimChar"/>
        </w:rPr>
        <w:t xml:space="preserve">inc_20k_45k</w:t>
      </w:r>
      <w:r>
        <w:t xml:space="preserve">: $20,000 to $44,999</w:t>
      </w:r>
    </w:p>
    <w:p>
      <w:pPr>
        <w:numPr>
          <w:ilvl w:val="1"/>
          <w:numId w:val="1017"/>
        </w:numPr>
        <w:pStyle w:val="Compact"/>
      </w:pPr>
      <w:r>
        <w:rPr>
          <w:rStyle w:val="VerbatimChar"/>
        </w:rPr>
        <w:t xml:space="preserve">inc_45k_60k</w:t>
      </w:r>
      <w:r>
        <w:t xml:space="preserve">: $45,000 to $59,999</w:t>
      </w:r>
    </w:p>
    <w:p>
      <w:pPr>
        <w:numPr>
          <w:ilvl w:val="1"/>
          <w:numId w:val="1017"/>
        </w:numPr>
        <w:pStyle w:val="Compact"/>
      </w:pPr>
      <w:r>
        <w:rPr>
          <w:rStyle w:val="VerbatimChar"/>
        </w:rPr>
        <w:t xml:space="preserve">inc_60k_75k</w:t>
      </w:r>
      <w:r>
        <w:t xml:space="preserve">: $60,000 to $74,999</w:t>
      </w:r>
    </w:p>
    <w:p>
      <w:pPr>
        <w:numPr>
          <w:ilvl w:val="1"/>
          <w:numId w:val="1017"/>
        </w:numPr>
        <w:pStyle w:val="Compact"/>
      </w:pPr>
      <w:r>
        <w:rPr>
          <w:rStyle w:val="VerbatimChar"/>
        </w:rPr>
        <w:t xml:space="preserve">inc_75k_100k</w:t>
      </w:r>
      <w:r>
        <w:t xml:space="preserve">: $75,000 to $99,999</w:t>
      </w:r>
    </w:p>
    <w:p>
      <w:pPr>
        <w:numPr>
          <w:ilvl w:val="1"/>
          <w:numId w:val="1017"/>
        </w:numPr>
        <w:pStyle w:val="Compact"/>
      </w:pPr>
      <w:r>
        <w:rPr>
          <w:rStyle w:val="VerbatimChar"/>
        </w:rPr>
        <w:t xml:space="preserve">inc_100k_150k</w:t>
      </w:r>
      <w:r>
        <w:t xml:space="preserve">: $100,000 to $149,999</w:t>
      </w:r>
    </w:p>
    <w:p>
      <w:pPr>
        <w:numPr>
          <w:ilvl w:val="1"/>
          <w:numId w:val="1017"/>
        </w:numPr>
        <w:pStyle w:val="Compact"/>
      </w:pPr>
      <w:r>
        <w:rPr>
          <w:rStyle w:val="VerbatimChar"/>
        </w:rPr>
        <w:t xml:space="preserve">inc_150k_200k</w:t>
      </w:r>
      <w:r>
        <w:t xml:space="preserve">: $150,000 to $199,999</w:t>
      </w:r>
    </w:p>
    <w:p>
      <w:pPr>
        <w:numPr>
          <w:ilvl w:val="1"/>
          <w:numId w:val="1017"/>
        </w:numPr>
        <w:pStyle w:val="Compact"/>
      </w:pPr>
      <w:r>
        <w:rPr>
          <w:rStyle w:val="VerbatimChar"/>
        </w:rPr>
        <w:t xml:space="preserve">inc_200k_plus</w:t>
      </w:r>
      <w:r>
        <w:t xml:space="preserve">: $200,000 or more</w:t>
      </w:r>
    </w:p>
    <w:p>
      <w:pPr>
        <w:numPr>
          <w:ilvl w:val="0"/>
          <w:numId w:val="1000"/>
        </w:numPr>
      </w:pPr>
      <w:r>
        <w:rPr>
          <w:bCs/>
          <w:b/>
        </w:rPr>
        <w:t xml:space="preserve">Age Distribution</w:t>
      </w:r>
      <w:r>
        <w:t xml:space="preserve">:</w:t>
      </w:r>
    </w:p>
    <w:p>
      <w:pPr>
        <w:numPr>
          <w:ilvl w:val="1"/>
          <w:numId w:val="1018"/>
        </w:numPr>
        <w:pStyle w:val="Compact"/>
      </w:pPr>
      <w:r>
        <w:rPr>
          <w:rStyle w:val="VerbatimChar"/>
        </w:rPr>
        <w:t xml:space="preserve">pers_age_00_19</w:t>
      </w:r>
      <w:r>
        <w:t xml:space="preserve">: Children and young adults (0-19 years)</w:t>
      </w:r>
    </w:p>
    <w:p>
      <w:pPr>
        <w:numPr>
          <w:ilvl w:val="1"/>
          <w:numId w:val="1018"/>
        </w:numPr>
        <w:pStyle w:val="Compact"/>
      </w:pPr>
      <w:r>
        <w:rPr>
          <w:rStyle w:val="VerbatimChar"/>
        </w:rPr>
        <w:t xml:space="preserve">pers_age_20_34</w:t>
      </w:r>
      <w:r>
        <w:t xml:space="preserve">: Young adults (20-34 years)</w:t>
      </w:r>
    </w:p>
    <w:p>
      <w:pPr>
        <w:numPr>
          <w:ilvl w:val="1"/>
          <w:numId w:val="1018"/>
        </w:numPr>
        <w:pStyle w:val="Compact"/>
      </w:pPr>
      <w:r>
        <w:rPr>
          <w:rStyle w:val="VerbatimChar"/>
        </w:rPr>
        <w:t xml:space="preserve">pers_age_35_64</w:t>
      </w:r>
      <w:r>
        <w:t xml:space="preserve">: Middle-aged adults (35-64 years)</w:t>
      </w:r>
    </w:p>
    <w:p>
      <w:pPr>
        <w:numPr>
          <w:ilvl w:val="1"/>
          <w:numId w:val="1018"/>
        </w:numPr>
        <w:pStyle w:val="Compact"/>
      </w:pPr>
      <w:r>
        <w:rPr>
          <w:rStyle w:val="VerbatimChar"/>
        </w:rPr>
        <w:t xml:space="preserve">pers_age_65_plus</w:t>
      </w:r>
      <w:r>
        <w:t xml:space="preserve">: Seniors (65+ years)</w:t>
      </w:r>
    </w:p>
    <w:p>
      <w:pPr>
        <w:numPr>
          <w:ilvl w:val="0"/>
          <w:numId w:val="1000"/>
        </w:numPr>
      </w:pPr>
      <w:r>
        <w:rPr>
          <w:bCs/>
          <w:b/>
        </w:rPr>
        <w:t xml:space="preserve">Worker Categories</w:t>
      </w:r>
      <w:r>
        <w:t xml:space="preserve">:</w:t>
      </w:r>
    </w:p>
    <w:p>
      <w:pPr>
        <w:numPr>
          <w:ilvl w:val="1"/>
          <w:numId w:val="1019"/>
        </w:numPr>
        <w:pStyle w:val="Compact"/>
      </w:pPr>
      <w:r>
        <w:rPr>
          <w:rStyle w:val="VerbatimChar"/>
        </w:rPr>
        <w:t xml:space="preserve">hh_wrks_0</w:t>
      </w:r>
      <w:r>
        <w:t xml:space="preserve">: Households with no workers</w:t>
      </w:r>
    </w:p>
    <w:p>
      <w:pPr>
        <w:numPr>
          <w:ilvl w:val="1"/>
          <w:numId w:val="1019"/>
        </w:numPr>
        <w:pStyle w:val="Compact"/>
      </w:pPr>
      <w:r>
        <w:rPr>
          <w:rStyle w:val="VerbatimChar"/>
        </w:rPr>
        <w:t xml:space="preserve">hh_wrks_1</w:t>
      </w:r>
      <w:r>
        <w:t xml:space="preserve">: Households with one worker</w:t>
      </w:r>
    </w:p>
    <w:p>
      <w:pPr>
        <w:numPr>
          <w:ilvl w:val="1"/>
          <w:numId w:val="1019"/>
        </w:numPr>
        <w:pStyle w:val="Compact"/>
      </w:pPr>
      <w:r>
        <w:rPr>
          <w:rStyle w:val="VerbatimChar"/>
        </w:rPr>
        <w:t xml:space="preserve">hh_wrks_2</w:t>
      </w:r>
      <w:r>
        <w:t xml:space="preserve">: Households with two workers</w:t>
      </w:r>
    </w:p>
    <w:p>
      <w:pPr>
        <w:numPr>
          <w:ilvl w:val="1"/>
          <w:numId w:val="1019"/>
        </w:numPr>
        <w:pStyle w:val="Compact"/>
      </w:pPr>
      <w:r>
        <w:rPr>
          <w:rStyle w:val="VerbatimChar"/>
        </w:rPr>
        <w:t xml:space="preserve">hh_wrks_3_plus</w:t>
      </w:r>
      <w:r>
        <w:t xml:space="preserve">: Households with three or more workers</w:t>
      </w:r>
    </w:p>
    <w:bookmarkEnd w:id="37"/>
    <w:bookmarkEnd w:id="38"/>
    <w:bookmarkStart w:id="40" w:name="county-level"/>
    <w:p>
      <w:pPr>
        <w:pStyle w:val="Heading3"/>
      </w:pPr>
      <w:r>
        <w:t xml:space="preserve">County Level</w:t>
      </w:r>
    </w:p>
    <w:p>
      <w:pPr>
        <w:pStyle w:val="FirstParagraph"/>
      </w:pPr>
      <w:r>
        <w:t xml:space="preserve">Counties provide the regional context for labor market analysis, covering the 9-county Bay Area region.</w:t>
      </w:r>
    </w:p>
    <w:bookmarkStart w:id="39" w:name="county-control-generation"/>
    <w:p>
      <w:pPr>
        <w:pStyle w:val="Heading4"/>
      </w:pPr>
      <w:r>
        <w:t xml:space="preserve">County Control Generation:</w:t>
      </w:r>
    </w:p>
    <w:p>
      <w:pPr>
        <w:pStyle w:val="FirstParagraph"/>
      </w:pPr>
      <w:r>
        <w:rPr>
          <w:bCs/>
          <w:b/>
        </w:rPr>
        <w:t xml:space="preserve">Occupation Categories</w:t>
      </w:r>
      <w:r>
        <w:t xml:space="preserve"> </w:t>
      </w:r>
      <w:r>
        <w:t xml:space="preserve">(based on ACS occupation classification):</w:t>
      </w:r>
    </w:p>
    <w:p>
      <w:pPr>
        <w:numPr>
          <w:ilvl w:val="0"/>
          <w:numId w:val="1020"/>
        </w:numPr>
        <w:pStyle w:val="Compact"/>
      </w:pPr>
      <w:r>
        <w:rPr>
          <w:bCs/>
          <w:b/>
        </w:rPr>
        <w:t xml:space="preserve">Management/Professional</w:t>
      </w:r>
      <w:r>
        <w:t xml:space="preserve"> </w:t>
      </w:r>
      <w:r>
        <w:t xml:space="preserve">(</w:t>
      </w:r>
      <w:r>
        <w:rPr>
          <w:rStyle w:val="VerbatimChar"/>
        </w:rPr>
        <w:t xml:space="preserve">pers_occ_management</w:t>
      </w:r>
      <w:r>
        <w:t xml:space="preserve">):</w:t>
      </w:r>
    </w:p>
    <w:p>
      <w:pPr>
        <w:numPr>
          <w:ilvl w:val="1"/>
          <w:numId w:val="1021"/>
        </w:numPr>
        <w:pStyle w:val="Compact"/>
      </w:pPr>
      <w:r>
        <w:t xml:space="preserve">Management, business, and financial operations</w:t>
      </w:r>
    </w:p>
    <w:p>
      <w:pPr>
        <w:numPr>
          <w:ilvl w:val="1"/>
          <w:numId w:val="1021"/>
        </w:numPr>
        <w:pStyle w:val="Compact"/>
      </w:pPr>
      <w:r>
        <w:t xml:space="preserve">Includes executives, managers, financial analysts, accountants</w:t>
      </w:r>
    </w:p>
    <w:p>
      <w:pPr>
        <w:numPr>
          <w:ilvl w:val="0"/>
          <w:numId w:val="1020"/>
        </w:numPr>
        <w:pStyle w:val="Compact"/>
      </w:pPr>
      <w:r>
        <w:rPr>
          <w:bCs/>
          <w:b/>
        </w:rPr>
        <w:t xml:space="preserve">Professional/Technical</w:t>
      </w:r>
      <w:r>
        <w:t xml:space="preserve"> </w:t>
      </w:r>
      <w:r>
        <w:t xml:space="preserve">(</w:t>
      </w:r>
      <w:r>
        <w:rPr>
          <w:rStyle w:val="VerbatimChar"/>
        </w:rPr>
        <w:t xml:space="preserve">pers_occ_professional</w:t>
      </w:r>
      <w:r>
        <w:t xml:space="preserve">):</w:t>
      </w:r>
    </w:p>
    <w:p>
      <w:pPr>
        <w:numPr>
          <w:ilvl w:val="1"/>
          <w:numId w:val="1022"/>
        </w:numPr>
        <w:pStyle w:val="Compact"/>
      </w:pPr>
      <w:r>
        <w:t xml:space="preserve">Professional and related occupations</w:t>
      </w:r>
    </w:p>
    <w:p>
      <w:pPr>
        <w:numPr>
          <w:ilvl w:val="1"/>
          <w:numId w:val="1022"/>
        </w:numPr>
        <w:pStyle w:val="Compact"/>
      </w:pPr>
      <w:r>
        <w:t xml:space="preserve">Includes engineers, teachers, healthcare professionals, lawyers</w:t>
      </w:r>
    </w:p>
    <w:p>
      <w:pPr>
        <w:numPr>
          <w:ilvl w:val="0"/>
          <w:numId w:val="1020"/>
        </w:numPr>
        <w:pStyle w:val="Compact"/>
      </w:pPr>
      <w:r>
        <w:rPr>
          <w:bCs/>
          <w:b/>
        </w:rPr>
        <w:t xml:space="preserve">Service Workers</w:t>
      </w:r>
      <w:r>
        <w:t xml:space="preserve"> </w:t>
      </w:r>
      <w:r>
        <w:t xml:space="preserve">(</w:t>
      </w:r>
      <w:r>
        <w:rPr>
          <w:rStyle w:val="VerbatimChar"/>
        </w:rPr>
        <w:t xml:space="preserve">pers_occ_services</w:t>
      </w:r>
      <w:r>
        <w:t xml:space="preserve">):</w:t>
      </w:r>
    </w:p>
    <w:p>
      <w:pPr>
        <w:numPr>
          <w:ilvl w:val="1"/>
          <w:numId w:val="1023"/>
        </w:numPr>
        <w:pStyle w:val="Compact"/>
      </w:pPr>
      <w:r>
        <w:t xml:space="preserve">Service occupations</w:t>
      </w:r>
    </w:p>
    <w:p>
      <w:pPr>
        <w:numPr>
          <w:ilvl w:val="1"/>
          <w:numId w:val="1023"/>
        </w:numPr>
        <w:pStyle w:val="Compact"/>
      </w:pPr>
      <w:r>
        <w:t xml:space="preserve">Includes food service, personal care, protective services, building maintenance</w:t>
      </w:r>
    </w:p>
    <w:p>
      <w:pPr>
        <w:numPr>
          <w:ilvl w:val="0"/>
          <w:numId w:val="1020"/>
        </w:numPr>
        <w:pStyle w:val="Compact"/>
      </w:pPr>
      <w:r>
        <w:rPr>
          <w:bCs/>
          <w:b/>
        </w:rPr>
        <w:t xml:space="preserve">Sales and Office</w:t>
      </w:r>
      <w:r>
        <w:t xml:space="preserve"> </w:t>
      </w:r>
      <w:r>
        <w:t xml:space="preserve">(</w:t>
      </w:r>
      <w:r>
        <w:rPr>
          <w:rStyle w:val="VerbatimChar"/>
        </w:rPr>
        <w:t xml:space="preserve">pers_occ_retail</w:t>
      </w:r>
      <w:r>
        <w:t xml:space="preserve">):</w:t>
      </w:r>
    </w:p>
    <w:p>
      <w:pPr>
        <w:numPr>
          <w:ilvl w:val="1"/>
          <w:numId w:val="1024"/>
        </w:numPr>
        <w:pStyle w:val="Compact"/>
      </w:pPr>
      <w:r>
        <w:t xml:space="preserve">Sales and office occupations</w:t>
      </w:r>
    </w:p>
    <w:p>
      <w:pPr>
        <w:numPr>
          <w:ilvl w:val="1"/>
          <w:numId w:val="1024"/>
        </w:numPr>
        <w:pStyle w:val="Compact"/>
      </w:pPr>
      <w:r>
        <w:t xml:space="preserve">Includes retail salespersons, cashiers, administrative support</w:t>
      </w:r>
    </w:p>
    <w:p>
      <w:pPr>
        <w:numPr>
          <w:ilvl w:val="0"/>
          <w:numId w:val="1020"/>
        </w:numPr>
        <w:pStyle w:val="Compact"/>
      </w:pPr>
      <w:r>
        <w:rPr>
          <w:bCs/>
          <w:b/>
        </w:rPr>
        <w:t xml:space="preserve">Manual/Production</w:t>
      </w:r>
      <w:r>
        <w:t xml:space="preserve"> </w:t>
      </w:r>
      <w:r>
        <w:t xml:space="preserve">(</w:t>
      </w:r>
      <w:r>
        <w:rPr>
          <w:rStyle w:val="VerbatimChar"/>
        </w:rPr>
        <w:t xml:space="preserve">pers_occ_manual_military</w:t>
      </w:r>
      <w:r>
        <w:t xml:space="preserve">):</w:t>
      </w:r>
    </w:p>
    <w:p>
      <w:pPr>
        <w:numPr>
          <w:ilvl w:val="1"/>
          <w:numId w:val="1025"/>
        </w:numPr>
        <w:pStyle w:val="Compact"/>
      </w:pPr>
      <w:r>
        <w:t xml:space="preserve">Production, transportation, and material moving</w:t>
      </w:r>
    </w:p>
    <w:p>
      <w:pPr>
        <w:numPr>
          <w:ilvl w:val="1"/>
          <w:numId w:val="1025"/>
        </w:numPr>
        <w:pStyle w:val="Compact"/>
      </w:pPr>
      <w:r>
        <w:t xml:space="preserve">Combined with military occupations due to small numbers</w:t>
      </w:r>
    </w:p>
    <w:p>
      <w:r>
        <w:pict>
          <v:rect style="width:0;height:1.5pt" o:hralign="center" o:hrstd="t" o:hr="t"/>
        </w:pict>
      </w:r>
    </w:p>
    <w:bookmarkEnd w:id="39"/>
    <w:bookmarkEnd w:id="40"/>
    <w:bookmarkEnd w:id="41"/>
    <w:bookmarkStart w:id="53" w:name="scaling-methodologies"/>
    <w:p>
      <w:pPr>
        <w:pStyle w:val="Heading2"/>
      </w:pPr>
      <w:r>
        <w:t xml:space="preserve">Scaling Methodologies</w:t>
      </w:r>
    </w:p>
    <w:p>
      <w:pPr>
        <w:pStyle w:val="FirstParagraph"/>
      </w:pPr>
      <w:r>
        <w:t xml:space="preserve">The Bay Area PopulationSim model employs sophisticated scaling methodologies to ensure controls reflect current conditions while maintaining internal consistency.</w:t>
      </w:r>
    </w:p>
    <w:bookmarkStart w:id="45" w:name="Xc02035a622d379fc5f9371509e967e2f2eb6db8"/>
    <w:p>
      <w:pPr>
        <w:pStyle w:val="Heading3"/>
      </w:pPr>
      <w:r>
        <w:t xml:space="preserve">Regional ACS Scaling (TAZ Household Categories)</w:t>
      </w:r>
    </w:p>
    <w:bookmarkStart w:id="42" w:name="purpose-and-methodology"/>
    <w:p>
      <w:pPr>
        <w:pStyle w:val="Heading4"/>
      </w:pPr>
      <w:r>
        <w:t xml:space="preserve">Purpose and Methodology</w:t>
      </w:r>
    </w:p>
    <w:p>
      <w:pPr>
        <w:pStyle w:val="FirstParagraph"/>
      </w:pPr>
      <w:r>
        <w:t xml:space="preserve">TAZ-level household controls are scaled to match ACS 2023 1-year regional totals, ensuring that synthetic households reflect the most current demographic conditions.</w:t>
      </w:r>
    </w:p>
    <w:p>
      <w:pPr>
        <w:pStyle w:val="BodyText"/>
      </w:pPr>
      <w:r>
        <w:rPr>
          <w:bCs/>
          <w:b/>
        </w:rPr>
        <w:t xml:space="preserve">Target</w:t>
      </w:r>
      <w:r>
        <w:t xml:space="preserve">: 3,031,788 total households (ACS 2023 1-year estimate for 9-county region)</w:t>
      </w:r>
    </w:p>
    <w:bookmarkEnd w:id="42"/>
    <w:bookmarkStart w:id="43" w:name="scaling-process"/>
    <w:p>
      <w:pPr>
        <w:pStyle w:val="Heading4"/>
      </w:pPr>
      <w:r>
        <w:t xml:space="preserve">Scaling Process:</w:t>
      </w:r>
    </w:p>
    <w:p>
      <w:pPr>
        <w:numPr>
          <w:ilvl w:val="0"/>
          <w:numId w:val="1026"/>
        </w:numPr>
      </w:pPr>
      <w:r>
        <w:rPr>
          <w:bCs/>
          <w:b/>
        </w:rPr>
        <w:t xml:space="preserve">Category Total Calculation</w:t>
      </w:r>
      <w:r>
        <w:t xml:space="preserve">: Sum all TAZ controls within each category</w:t>
      </w:r>
    </w:p>
    <w:p>
      <w:pPr>
        <w:numPr>
          <w:ilvl w:val="0"/>
          <w:numId w:val="1000"/>
        </w:numPr>
        <w:pStyle w:val="SourceCode"/>
      </w:pPr>
      <w:r>
        <w:rPr>
          <w:rStyle w:val="VerbatimChar"/>
        </w:rPr>
        <w:t xml:space="preserve">Example - Household Size:</w:t>
      </w:r>
      <w:r>
        <w:br/>
      </w:r>
      <w:r>
        <w:rPr>
          <w:rStyle w:val="VerbatimChar"/>
        </w:rPr>
        <w:t xml:space="preserve">Original totals: hh_size_1=794,695 + hh_size_2=978,628 + ... = 3,039,990</w:t>
      </w:r>
      <w:r>
        <w:br/>
      </w:r>
      <w:r>
        <w:rPr>
          <w:rStyle w:val="VerbatimChar"/>
        </w:rPr>
        <w:t xml:space="preserve">Target total: 3,031,788 (from ACS 1-year)</w:t>
      </w:r>
      <w:r>
        <w:br/>
      </w:r>
      <w:r>
        <w:rPr>
          <w:rStyle w:val="VerbatimChar"/>
        </w:rPr>
        <w:t xml:space="preserve">Scaling factor: 3,031,788 ÷ 3,039,990 = 0.997302</w:t>
      </w:r>
    </w:p>
    <w:p>
      <w:pPr>
        <w:numPr>
          <w:ilvl w:val="0"/>
          <w:numId w:val="1026"/>
        </w:numPr>
      </w:pPr>
      <w:r>
        <w:rPr>
          <w:bCs/>
          <w:b/>
        </w:rPr>
        <w:t xml:space="preserve">Proportional Scaling</w:t>
      </w:r>
      <w:r>
        <w:t xml:space="preserve">: Apply scaling factor to preserve relative distributions</w:t>
      </w:r>
    </w:p>
    <w:p>
      <w:pPr>
        <w:numPr>
          <w:ilvl w:val="0"/>
          <w:numId w:val="1000"/>
        </w:numPr>
        <w:pStyle w:val="SourceCode"/>
      </w:pPr>
      <w:r>
        <w:rPr>
          <w:rStyle w:val="VerbatimChar"/>
        </w:rPr>
        <w:t xml:space="preserve">Scaled values:</w:t>
      </w:r>
      <w:r>
        <w:br/>
      </w:r>
      <w:r>
        <w:rPr>
          <w:rStyle w:val="VerbatimChar"/>
        </w:rPr>
        <w:t xml:space="preserve">hh_size_1: 794,695 × 0.997302 = 792,933</w:t>
      </w:r>
      <w:r>
        <w:br/>
      </w:r>
      <w:r>
        <w:rPr>
          <w:rStyle w:val="VerbatimChar"/>
        </w:rPr>
        <w:t xml:space="preserve">hh_size_2: 978,628 × 0.997302 = 976,292</w:t>
      </w:r>
    </w:p>
    <w:p>
      <w:pPr>
        <w:numPr>
          <w:ilvl w:val="0"/>
          <w:numId w:val="1026"/>
        </w:numPr>
      </w:pPr>
      <w:r>
        <w:rPr>
          <w:bCs/>
          <w:b/>
        </w:rPr>
        <w:t xml:space="preserve">Integer Rounding</w:t>
      </w:r>
      <w:r>
        <w:t xml:space="preserve">: Convert to whole households while maintaining totals</w:t>
      </w:r>
    </w:p>
    <w:bookmarkEnd w:id="43"/>
    <w:bookmarkStart w:id="44" w:name="categories-scaled"/>
    <w:p>
      <w:pPr>
        <w:pStyle w:val="Heading4"/>
      </w:pPr>
      <w:r>
        <w:t xml:space="preserve">Categories Scaled:</w:t>
      </w:r>
    </w:p>
    <w:p>
      <w:pPr>
        <w:numPr>
          <w:ilvl w:val="0"/>
          <w:numId w:val="1027"/>
        </w:numPr>
        <w:pStyle w:val="Compact"/>
      </w:pPr>
      <w:r>
        <w:rPr>
          <w:bCs/>
          <w:b/>
        </w:rPr>
        <w:t xml:space="preserve">Household Income</w:t>
      </w:r>
      <w:r>
        <w:t xml:space="preserve">: 8 income brackets scaled to regional household total</w:t>
      </w:r>
    </w:p>
    <w:p>
      <w:pPr>
        <w:numPr>
          <w:ilvl w:val="0"/>
          <w:numId w:val="1027"/>
        </w:numPr>
        <w:pStyle w:val="Compact"/>
      </w:pPr>
      <w:r>
        <w:rPr>
          <w:bCs/>
          <w:b/>
        </w:rPr>
        <w:t xml:space="preserve">Household Size</w:t>
      </w:r>
      <w:r>
        <w:t xml:space="preserve">: 6 size categories scaled to regional household total</w:t>
      </w:r>
      <w:r>
        <w:br/>
      </w:r>
    </w:p>
    <w:p>
      <w:pPr>
        <w:numPr>
          <w:ilvl w:val="0"/>
          <w:numId w:val="1027"/>
        </w:numPr>
        <w:pStyle w:val="Compact"/>
      </w:pPr>
      <w:r>
        <w:rPr>
          <w:bCs/>
          <w:b/>
        </w:rPr>
        <w:t xml:space="preserve">Household Workers</w:t>
      </w:r>
      <w:r>
        <w:t xml:space="preserve">: 4 worker categories scaled to regional household total</w:t>
      </w:r>
    </w:p>
    <w:p>
      <w:pPr>
        <w:numPr>
          <w:ilvl w:val="0"/>
          <w:numId w:val="1027"/>
        </w:numPr>
        <w:pStyle w:val="Compact"/>
      </w:pPr>
      <w:r>
        <w:rPr>
          <w:bCs/>
          <w:b/>
        </w:rPr>
        <w:t xml:space="preserve">Household Children</w:t>
      </w:r>
      <w:r>
        <w:t xml:space="preserve">: 2 children categories (with/without) scaled to regional household total</w:t>
      </w:r>
    </w:p>
    <w:bookmarkEnd w:id="44"/>
    <w:bookmarkEnd w:id="45"/>
    <w:bookmarkStart w:id="49" w:name="X1faa57e11a477c2e6ae18614e0315ef43dea55b"/>
    <w:p>
      <w:pPr>
        <w:pStyle w:val="Heading3"/>
      </w:pPr>
      <w:r>
        <w:t xml:space="preserve">County Household Scaling (Person Occupation Controls)</w:t>
      </w:r>
    </w:p>
    <w:bookmarkStart w:id="46" w:name="purpose-and-innovation"/>
    <w:p>
      <w:pPr>
        <w:pStyle w:val="Heading4"/>
      </w:pPr>
      <w:r>
        <w:t xml:space="preserve">Purpose and Innovation</w:t>
      </w:r>
    </w:p>
    <w:p>
      <w:pPr>
        <w:pStyle w:val="FirstParagraph"/>
      </w:pPr>
      <w:r>
        <w:t xml:space="preserve">County occupation controls use a novel scaling approach that leverages household growth patterns as a proxy for worker growth, based on the assumption that worker-to-household ratios by county remain relatively stable between 2020 and 2023.</w:t>
      </w:r>
    </w:p>
    <w:bookmarkEnd w:id="46"/>
    <w:bookmarkStart w:id="47" w:name="scaling-factor-derivation"/>
    <w:p>
      <w:pPr>
        <w:pStyle w:val="Heading4"/>
      </w:pPr>
      <w:r>
        <w:t xml:space="preserve">Scaling Factor Derivation:</w:t>
      </w:r>
    </w:p>
    <w:p>
      <w:pPr>
        <w:pStyle w:val="FirstParagraph"/>
      </w:pPr>
      <w:r>
        <w:t xml:space="preserve">County household scaling factors are calculated by comparing 2020 Census to 2023 ACS household counts:</w:t>
      </w:r>
    </w:p>
    <w:tbl>
      <w:tblPr>
        <w:tblStyle w:val="Table"/>
        <w:tblW w:type="pct" w:w="0.0"/>
        <w:tblLook w:firstRow="1" w:lastRow="0" w:firstColumn="0" w:lastColumn="0" w:noHBand="0" w:noVBand="0" w:val="0020"/>
      </w:tblPr>
      <w:tblGrid/>
      <w:tr>
        <w:tc>
          <w:p>
            <w:pPr>
              <w:pStyle w:val="Compact"/>
              <w:jc w:val="left"/>
            </w:pPr>
            <w:r>
              <w:t xml:space="preserve">County</w:t>
            </w:r>
          </w:p>
        </w:tc>
        <w:tc>
          <w:p>
            <w:pPr>
              <w:pStyle w:val="Compact"/>
              <w:jc w:val="left"/>
            </w:pPr>
            <w:r>
              <w:t xml:space="preserve">2020 Census HH</w:t>
            </w:r>
          </w:p>
        </w:tc>
        <w:tc>
          <w:p>
            <w:pPr>
              <w:pStyle w:val="Compact"/>
              <w:jc w:val="left"/>
            </w:pPr>
            <w:r>
              <w:t xml:space="preserve">2023 ACS HH</w:t>
            </w:r>
          </w:p>
        </w:tc>
        <w:tc>
          <w:p>
            <w:pPr>
              <w:pStyle w:val="Compact"/>
              <w:jc w:val="left"/>
            </w:pPr>
            <w:r>
              <w:t xml:space="preserve">Scaling Factor</w:t>
            </w:r>
          </w:p>
        </w:tc>
      </w:tr>
      <w:tr>
        <w:tc>
          <w:p>
            <w:pPr>
              <w:pStyle w:val="Compact"/>
              <w:jc w:val="left"/>
            </w:pPr>
            <w:r>
              <w:t xml:space="preserve">Alameda</w:t>
            </w:r>
          </w:p>
        </w:tc>
        <w:tc>
          <w:p>
            <w:pPr>
              <w:pStyle w:val="Compact"/>
              <w:jc w:val="left"/>
            </w:pPr>
            <w:r>
              <w:t xml:space="preserve">591,636</w:t>
            </w:r>
          </w:p>
        </w:tc>
        <w:tc>
          <w:p>
            <w:pPr>
              <w:pStyle w:val="Compact"/>
              <w:jc w:val="left"/>
            </w:pPr>
            <w:r>
              <w:t xml:space="preserve">646,309</w:t>
            </w:r>
          </w:p>
        </w:tc>
        <w:tc>
          <w:p>
            <w:pPr>
              <w:pStyle w:val="Compact"/>
              <w:jc w:val="left"/>
            </w:pPr>
            <w:r>
              <w:t xml:space="preserve">1.0924</w:t>
            </w:r>
          </w:p>
        </w:tc>
      </w:tr>
      <w:tr>
        <w:tc>
          <w:p>
            <w:pPr>
              <w:pStyle w:val="Compact"/>
              <w:jc w:val="left"/>
            </w:pPr>
            <w:r>
              <w:t xml:space="preserve">Contra Costa</w:t>
            </w:r>
          </w:p>
        </w:tc>
        <w:tc>
          <w:p>
            <w:pPr>
              <w:pStyle w:val="Compact"/>
              <w:jc w:val="left"/>
            </w:pPr>
            <w:r>
              <w:t xml:space="preserve">407,029</w:t>
            </w:r>
          </w:p>
        </w:tc>
        <w:tc>
          <w:p>
            <w:pPr>
              <w:pStyle w:val="Compact"/>
              <w:jc w:val="left"/>
            </w:pPr>
            <w:r>
              <w:t xml:space="preserve">432,056</w:t>
            </w:r>
          </w:p>
        </w:tc>
        <w:tc>
          <w:p>
            <w:pPr>
              <w:pStyle w:val="Compact"/>
              <w:jc w:val="left"/>
            </w:pPr>
            <w:r>
              <w:t xml:space="preserve">1.0615</w:t>
            </w:r>
          </w:p>
        </w:tc>
      </w:tr>
      <w:tr>
        <w:tc>
          <w:p>
            <w:pPr>
              <w:pStyle w:val="Compact"/>
              <w:jc w:val="left"/>
            </w:pPr>
            <w:r>
              <w:t xml:space="preserve">Marin</w:t>
            </w:r>
          </w:p>
        </w:tc>
        <w:tc>
          <w:p>
            <w:pPr>
              <w:pStyle w:val="Compact"/>
              <w:jc w:val="left"/>
            </w:pPr>
            <w:r>
              <w:t xml:space="preserve">104,167</w:t>
            </w:r>
          </w:p>
        </w:tc>
        <w:tc>
          <w:p>
            <w:pPr>
              <w:pStyle w:val="Compact"/>
              <w:jc w:val="left"/>
            </w:pPr>
            <w:r>
              <w:t xml:space="preserve">112,359</w:t>
            </w:r>
          </w:p>
        </w:tc>
        <w:tc>
          <w:p>
            <w:pPr>
              <w:pStyle w:val="Compact"/>
              <w:jc w:val="left"/>
            </w:pPr>
            <w:r>
              <w:t xml:space="preserve">1.0786</w:t>
            </w:r>
          </w:p>
        </w:tc>
      </w:tr>
      <w:tr>
        <w:tc>
          <w:p>
            <w:pPr>
              <w:pStyle w:val="Compact"/>
              <w:jc w:val="left"/>
            </w:pPr>
            <w:r>
              <w:t xml:space="preserve">Napa</w:t>
            </w:r>
          </w:p>
        </w:tc>
        <w:tc>
          <w:p>
            <w:pPr>
              <w:pStyle w:val="Compact"/>
              <w:jc w:val="left"/>
            </w:pPr>
            <w:r>
              <w:t xml:space="preserve">49,738</w:t>
            </w:r>
          </w:p>
        </w:tc>
        <w:tc>
          <w:p>
            <w:pPr>
              <w:pStyle w:val="Compact"/>
              <w:jc w:val="left"/>
            </w:pPr>
            <w:r>
              <w:t xml:space="preserve">56,046</w:t>
            </w:r>
          </w:p>
        </w:tc>
        <w:tc>
          <w:p>
            <w:pPr>
              <w:pStyle w:val="Compact"/>
              <w:jc w:val="left"/>
            </w:pPr>
            <w:r>
              <w:t xml:space="preserve">1.1268</w:t>
            </w:r>
          </w:p>
        </w:tc>
      </w:tr>
      <w:tr>
        <w:tc>
          <w:p>
            <w:pPr>
              <w:pStyle w:val="Compact"/>
              <w:jc w:val="left"/>
            </w:pPr>
            <w:r>
              <w:t xml:space="preserve">San Francisco</w:t>
            </w:r>
          </w:p>
        </w:tc>
        <w:tc>
          <w:p>
            <w:pPr>
              <w:pStyle w:val="Compact"/>
              <w:jc w:val="left"/>
            </w:pPr>
            <w:r>
              <w:t xml:space="preserve">371,851</w:t>
            </w:r>
          </w:p>
        </w:tc>
        <w:tc>
          <w:p>
            <w:pPr>
              <w:pStyle w:val="Compact"/>
              <w:jc w:val="left"/>
            </w:pPr>
            <w:r>
              <w:t xml:space="preserve">418,143</w:t>
            </w:r>
          </w:p>
        </w:tc>
        <w:tc>
          <w:p>
            <w:pPr>
              <w:pStyle w:val="Compact"/>
              <w:jc w:val="left"/>
            </w:pPr>
            <w:r>
              <w:t xml:space="preserve">1.1245</w:t>
            </w:r>
          </w:p>
        </w:tc>
      </w:tr>
      <w:tr>
        <w:tc>
          <w:p>
            <w:pPr>
              <w:pStyle w:val="Compact"/>
              <w:jc w:val="left"/>
            </w:pPr>
            <w:r>
              <w:t xml:space="preserve">San Mateo</w:t>
            </w:r>
          </w:p>
        </w:tc>
        <w:tc>
          <w:p>
            <w:pPr>
              <w:pStyle w:val="Compact"/>
              <w:jc w:val="left"/>
            </w:pPr>
            <w:r>
              <w:t xml:space="preserve">269,417</w:t>
            </w:r>
          </w:p>
        </w:tc>
        <w:tc>
          <w:p>
            <w:pPr>
              <w:pStyle w:val="Compact"/>
              <w:jc w:val="left"/>
            </w:pPr>
            <w:r>
              <w:t xml:space="preserve">288,325</w:t>
            </w:r>
          </w:p>
        </w:tc>
        <w:tc>
          <w:p>
            <w:pPr>
              <w:pStyle w:val="Compact"/>
              <w:jc w:val="left"/>
            </w:pPr>
            <w:r>
              <w:t xml:space="preserve">1.0702</w:t>
            </w:r>
          </w:p>
        </w:tc>
      </w:tr>
      <w:tr>
        <w:tc>
          <w:p>
            <w:pPr>
              <w:pStyle w:val="Compact"/>
              <w:jc w:val="left"/>
            </w:pPr>
            <w:r>
              <w:t xml:space="preserve">Santa Clara</w:t>
            </w:r>
          </w:p>
        </w:tc>
        <w:tc>
          <w:p>
            <w:pPr>
              <w:pStyle w:val="Compact"/>
              <w:jc w:val="left"/>
            </w:pPr>
            <w:r>
              <w:t xml:space="preserve">656,063</w:t>
            </w:r>
          </w:p>
        </w:tc>
        <w:tc>
          <w:p>
            <w:pPr>
              <w:pStyle w:val="Compact"/>
              <w:jc w:val="left"/>
            </w:pPr>
            <w:r>
              <w:t xml:space="preserve">703,922</w:t>
            </w:r>
          </w:p>
        </w:tc>
        <w:tc>
          <w:p>
            <w:pPr>
              <w:pStyle w:val="Compact"/>
              <w:jc w:val="left"/>
            </w:pPr>
            <w:r>
              <w:t xml:space="preserve">1.0729</w:t>
            </w:r>
          </w:p>
        </w:tc>
      </w:tr>
      <w:tr>
        <w:tc>
          <w:p>
            <w:pPr>
              <w:pStyle w:val="Compact"/>
              <w:jc w:val="left"/>
            </w:pPr>
            <w:r>
              <w:t xml:space="preserve">Solano</w:t>
            </w:r>
          </w:p>
        </w:tc>
        <w:tc>
          <w:p>
            <w:pPr>
              <w:pStyle w:val="Compact"/>
              <w:jc w:val="left"/>
            </w:pPr>
            <w:r>
              <w:t xml:space="preserve">155,924</w:t>
            </w:r>
          </w:p>
        </w:tc>
        <w:tc>
          <w:p>
            <w:pPr>
              <w:pStyle w:val="Compact"/>
              <w:jc w:val="left"/>
            </w:pPr>
            <w:r>
              <w:t xml:space="preserve">165,626</w:t>
            </w:r>
          </w:p>
        </w:tc>
        <w:tc>
          <w:p>
            <w:pPr>
              <w:pStyle w:val="Compact"/>
              <w:jc w:val="left"/>
            </w:pPr>
            <w:r>
              <w:t xml:space="preserve">1.0622</w:t>
            </w:r>
          </w:p>
        </w:tc>
      </w:tr>
      <w:tr>
        <w:tc>
          <w:p>
            <w:pPr>
              <w:pStyle w:val="Compact"/>
              <w:jc w:val="left"/>
            </w:pPr>
            <w:r>
              <w:t xml:space="preserve">Sonoma</w:t>
            </w:r>
          </w:p>
        </w:tc>
        <w:tc>
          <w:p>
            <w:pPr>
              <w:pStyle w:val="Compact"/>
              <w:jc w:val="left"/>
            </w:pPr>
            <w:r>
              <w:t xml:space="preserve">187,701</w:t>
            </w:r>
          </w:p>
        </w:tc>
        <w:tc>
          <w:p>
            <w:pPr>
              <w:pStyle w:val="Compact"/>
              <w:jc w:val="left"/>
            </w:pPr>
            <w:r>
              <w:t xml:space="preserve">209,002</w:t>
            </w:r>
          </w:p>
        </w:tc>
        <w:tc>
          <w:p>
            <w:pPr>
              <w:pStyle w:val="Compact"/>
              <w:jc w:val="left"/>
            </w:pPr>
            <w:r>
              <w:t xml:space="preserve">1.1135</w:t>
            </w:r>
          </w:p>
        </w:tc>
      </w:tr>
    </w:tbl>
    <w:bookmarkEnd w:id="47"/>
    <w:bookmarkStart w:id="48" w:name="application-to-occupation-controls"/>
    <w:p>
      <w:pPr>
        <w:pStyle w:val="Heading4"/>
      </w:pPr>
      <w:r>
        <w:t xml:space="preserve">Application to Occupation Controls:</w:t>
      </w:r>
    </w:p>
    <w:p>
      <w:pPr>
        <w:pStyle w:val="SourceCode"/>
      </w:pPr>
      <w:r>
        <w:rPr>
          <w:rStyle w:val="CommentTok"/>
        </w:rPr>
        <w:t xml:space="preserve"># Example for Alameda County</w:t>
      </w:r>
      <w:r>
        <w:br/>
      </w:r>
      <w:r>
        <w:rPr>
          <w:rStyle w:val="NormalTok"/>
        </w:rPr>
        <w:t xml:space="preserve">original_management </w:t>
      </w:r>
      <w:r>
        <w:rPr>
          <w:rStyle w:val="OperatorTok"/>
        </w:rPr>
        <w:t xml:space="preserve">=</w:t>
      </w:r>
      <w:r>
        <w:rPr>
          <w:rStyle w:val="NormalTok"/>
        </w:rPr>
        <w:t xml:space="preserve"> </w:t>
      </w:r>
      <w:r>
        <w:rPr>
          <w:rStyle w:val="DecValTok"/>
        </w:rPr>
        <w:t xml:space="preserve">118</w:t>
      </w:r>
      <w:r>
        <w:rPr>
          <w:rStyle w:val="NormalTok"/>
        </w:rPr>
        <w:t xml:space="preserve">,</w:t>
      </w:r>
      <w:r>
        <w:rPr>
          <w:rStyle w:val="DecValTok"/>
        </w:rPr>
        <w:t xml:space="preserve">550</w:t>
      </w:r>
      <w:r>
        <w:br/>
      </w:r>
      <w:r>
        <w:rPr>
          <w:rStyle w:val="NormalTok"/>
        </w:rPr>
        <w:t xml:space="preserve">scaled_management </w:t>
      </w:r>
      <w:r>
        <w:rPr>
          <w:rStyle w:val="OperatorTok"/>
        </w:rPr>
        <w:t xml:space="preserve">=</w:t>
      </w:r>
      <w:r>
        <w:rPr>
          <w:rStyle w:val="NormalTok"/>
        </w:rPr>
        <w:t xml:space="preserve"> </w:t>
      </w:r>
      <w:r>
        <w:rPr>
          <w:rStyle w:val="DecValTok"/>
        </w:rPr>
        <w:t xml:space="preserve">118</w:t>
      </w:r>
      <w:r>
        <w:rPr>
          <w:rStyle w:val="NormalTok"/>
        </w:rPr>
        <w:t xml:space="preserve">,</w:t>
      </w:r>
      <w:r>
        <w:rPr>
          <w:rStyle w:val="DecValTok"/>
        </w:rPr>
        <w:t xml:space="preserve">550</w:t>
      </w:r>
      <w:r>
        <w:rPr>
          <w:rStyle w:val="NormalTok"/>
        </w:rPr>
        <w:t xml:space="preserve"> × </w:t>
      </w:r>
      <w:r>
        <w:rPr>
          <w:rStyle w:val="FloatTok"/>
        </w:rPr>
        <w:t xml:space="preserve">1.0924</w:t>
      </w:r>
      <w:r>
        <w:rPr>
          <w:rStyle w:val="NormalTok"/>
        </w:rPr>
        <w:t xml:space="preserve"> </w:t>
      </w:r>
      <w:r>
        <w:rPr>
          <w:rStyle w:val="OperatorTok"/>
        </w:rPr>
        <w:t xml:space="preserve">=</w:t>
      </w:r>
      <w:r>
        <w:rPr>
          <w:rStyle w:val="NormalTok"/>
        </w:rPr>
        <w:t xml:space="preserve"> </w:t>
      </w:r>
      <w:r>
        <w:rPr>
          <w:rStyle w:val="DecValTok"/>
        </w:rPr>
        <w:t xml:space="preserve">129</w:t>
      </w:r>
      <w:r>
        <w:rPr>
          <w:rStyle w:val="NormalTok"/>
        </w:rPr>
        <w:t xml:space="preserve">,</w:t>
      </w:r>
      <w:r>
        <w:rPr>
          <w:rStyle w:val="DecValTok"/>
        </w:rPr>
        <w:t xml:space="preserve">499</w:t>
      </w:r>
    </w:p>
    <w:p>
      <w:pPr>
        <w:pStyle w:val="FirstParagraph"/>
      </w:pPr>
      <w:r>
        <w:t xml:space="preserve">This approach recognizes that while we lack current occupation data at the county level, household growth patterns provide a reasonable proxy for economic and demographic change.</w:t>
      </w:r>
    </w:p>
    <w:bookmarkEnd w:id="48"/>
    <w:bookmarkEnd w:id="49"/>
    <w:bookmarkStart w:id="52" w:name="validation-and-quality-control"/>
    <w:p>
      <w:pPr>
        <w:pStyle w:val="Heading3"/>
      </w:pPr>
      <w:r>
        <w:t xml:space="preserve">Validation and Quality Control</w:t>
      </w:r>
    </w:p>
    <w:bookmarkStart w:id="50" w:name="pre-scaling-validation"/>
    <w:p>
      <w:pPr>
        <w:pStyle w:val="Heading4"/>
      </w:pPr>
      <w:r>
        <w:t xml:space="preserve">Pre-Scaling Validation:</w:t>
      </w:r>
    </w:p>
    <w:p>
      <w:pPr>
        <w:numPr>
          <w:ilvl w:val="0"/>
          <w:numId w:val="1028"/>
        </w:numPr>
        <w:pStyle w:val="Compact"/>
      </w:pPr>
      <w:r>
        <w:rPr>
          <w:bCs/>
          <w:b/>
        </w:rPr>
        <w:t xml:space="preserve">Category Consistency</w:t>
      </w:r>
      <w:r>
        <w:t xml:space="preserve">: Ensure all household categories sum to similar totals</w:t>
      </w:r>
    </w:p>
    <w:p>
      <w:pPr>
        <w:numPr>
          <w:ilvl w:val="0"/>
          <w:numId w:val="1028"/>
        </w:numPr>
        <w:pStyle w:val="Compact"/>
      </w:pPr>
      <w:r>
        <w:rPr>
          <w:bCs/>
          <w:b/>
        </w:rPr>
        <w:t xml:space="preserve">Geographic Coverage</w:t>
      </w:r>
      <w:r>
        <w:t xml:space="preserve">: Verify all zones have reasonable control values</w:t>
      </w:r>
    </w:p>
    <w:p>
      <w:pPr>
        <w:numPr>
          <w:ilvl w:val="0"/>
          <w:numId w:val="1028"/>
        </w:numPr>
        <w:pStyle w:val="Compact"/>
      </w:pPr>
      <w:r>
        <w:rPr>
          <w:bCs/>
          <w:b/>
        </w:rPr>
        <w:t xml:space="preserve">Historical Comparison</w:t>
      </w:r>
      <w:r>
        <w:t xml:space="preserve">: Compare to previous model years for reasonableness</w:t>
      </w:r>
    </w:p>
    <w:bookmarkEnd w:id="50"/>
    <w:bookmarkStart w:id="51" w:name="post-scaling-validation"/>
    <w:p>
      <w:pPr>
        <w:pStyle w:val="Heading4"/>
      </w:pPr>
      <w:r>
        <w:t xml:space="preserve">Post-Scaling Validation:</w:t>
      </w:r>
    </w:p>
    <w:p>
      <w:pPr>
        <w:numPr>
          <w:ilvl w:val="0"/>
          <w:numId w:val="1029"/>
        </w:numPr>
        <w:pStyle w:val="Compact"/>
      </w:pPr>
      <w:r>
        <w:rPr>
          <w:bCs/>
          <w:b/>
        </w:rPr>
        <w:t xml:space="preserve">Target Achievement</w:t>
      </w:r>
      <w:r>
        <w:t xml:space="preserve">: Verify scaled totals match ACS 1-year targets within 0.1%</w:t>
      </w:r>
    </w:p>
    <w:p>
      <w:pPr>
        <w:numPr>
          <w:ilvl w:val="0"/>
          <w:numId w:val="1029"/>
        </w:numPr>
        <w:pStyle w:val="Compact"/>
      </w:pPr>
      <w:r>
        <w:rPr>
          <w:bCs/>
          <w:b/>
        </w:rPr>
        <w:t xml:space="preserve">Distribution Preservation</w:t>
      </w:r>
      <w:r>
        <w:t xml:space="preserve">: Ensure scaling doesn’t distort relative distributions</w:t>
      </w:r>
    </w:p>
    <w:p>
      <w:pPr>
        <w:numPr>
          <w:ilvl w:val="0"/>
          <w:numId w:val="1029"/>
        </w:numPr>
        <w:pStyle w:val="Compact"/>
      </w:pPr>
      <w:r>
        <w:rPr>
          <w:bCs/>
          <w:b/>
        </w:rPr>
        <w:t xml:space="preserve">County Validation</w:t>
      </w:r>
      <w:r>
        <w:t xml:space="preserve">: Confirm county totals align with expected demographic trends</w:t>
      </w:r>
    </w:p>
    <w:p>
      <w:r>
        <w:pict>
          <v:rect style="width:0;height:1.5pt" o:hralign="center" o:hrstd="t" o:hr="t"/>
        </w:pict>
      </w:r>
    </w:p>
    <w:bookmarkEnd w:id="51"/>
    <w:bookmarkEnd w:id="52"/>
    <w:bookmarkEnd w:id="53"/>
    <w:bookmarkStart w:id="62" w:name="quality-assurance-and-validation"/>
    <w:p>
      <w:pPr>
        <w:pStyle w:val="Heading2"/>
      </w:pPr>
      <w:r>
        <w:t xml:space="preserve">Quality Assurance and Validation</w:t>
      </w:r>
    </w:p>
    <w:bookmarkStart w:id="58" w:name="multi-level-validation-framework"/>
    <w:p>
      <w:pPr>
        <w:pStyle w:val="Heading3"/>
      </w:pPr>
      <w:r>
        <w:t xml:space="preserve">Multi-Level Validation Framework</w:t>
      </w:r>
    </w:p>
    <w:bookmarkStart w:id="54" w:name="level-1-data-integrity-checks"/>
    <w:p>
      <w:pPr>
        <w:pStyle w:val="Heading4"/>
      </w:pPr>
      <w:r>
        <w:t xml:space="preserve">Level 1: Data Integrity Checks</w:t>
      </w:r>
    </w:p>
    <w:p>
      <w:pPr>
        <w:numPr>
          <w:ilvl w:val="0"/>
          <w:numId w:val="1030"/>
        </w:numPr>
        <w:pStyle w:val="Compact"/>
      </w:pPr>
      <w:r>
        <w:rPr>
          <w:bCs/>
          <w:b/>
        </w:rPr>
        <w:t xml:space="preserve">Completeness</w:t>
      </w:r>
      <w:r>
        <w:t xml:space="preserve">: Every geographic zone has controls for all required categories</w:t>
      </w:r>
    </w:p>
    <w:p>
      <w:pPr>
        <w:numPr>
          <w:ilvl w:val="0"/>
          <w:numId w:val="1030"/>
        </w:numPr>
        <w:pStyle w:val="Compact"/>
      </w:pPr>
      <w:r>
        <w:rPr>
          <w:bCs/>
          <w:b/>
        </w:rPr>
        <w:t xml:space="preserve">Non-negativity</w:t>
      </w:r>
      <w:r>
        <w:t xml:space="preserve">: No negative values in any control</w:t>
      </w:r>
    </w:p>
    <w:p>
      <w:pPr>
        <w:numPr>
          <w:ilvl w:val="0"/>
          <w:numId w:val="1030"/>
        </w:numPr>
        <w:pStyle w:val="Compact"/>
      </w:pPr>
      <w:r>
        <w:rPr>
          <w:bCs/>
          <w:b/>
        </w:rPr>
        <w:t xml:space="preserve">Reasonableness</w:t>
      </w:r>
      <w:r>
        <w:t xml:space="preserve">: Values fall within expected demographic ranges</w:t>
      </w:r>
    </w:p>
    <w:bookmarkEnd w:id="54"/>
    <w:bookmarkStart w:id="55" w:name="level-2-geographic-consistency"/>
    <w:p>
      <w:pPr>
        <w:pStyle w:val="Heading4"/>
      </w:pPr>
      <w:r>
        <w:t xml:space="preserve">Level 2: Geographic Consistency</w:t>
      </w:r>
    </w:p>
    <w:p>
      <w:pPr>
        <w:numPr>
          <w:ilvl w:val="0"/>
          <w:numId w:val="1031"/>
        </w:numPr>
        <w:pStyle w:val="Compact"/>
      </w:pPr>
      <w:r>
        <w:rPr>
          <w:bCs/>
          <w:b/>
        </w:rPr>
        <w:t xml:space="preserve">Hierarchical Consistency</w:t>
      </w:r>
      <w:r>
        <w:t xml:space="preserve">: MAZ totals aggregate properly to TAZ and county levels</w:t>
      </w:r>
    </w:p>
    <w:p>
      <w:pPr>
        <w:numPr>
          <w:ilvl w:val="0"/>
          <w:numId w:val="1031"/>
        </w:numPr>
        <w:pStyle w:val="Compact"/>
      </w:pPr>
      <w:r>
        <w:rPr>
          <w:bCs/>
          <w:b/>
        </w:rPr>
        <w:t xml:space="preserve">Boundary Validation</w:t>
      </w:r>
      <w:r>
        <w:t xml:space="preserve">: Controls respect geographic boundaries and relationships</w:t>
      </w:r>
    </w:p>
    <w:p>
      <w:pPr>
        <w:numPr>
          <w:ilvl w:val="0"/>
          <w:numId w:val="1031"/>
        </w:numPr>
        <w:pStyle w:val="Compact"/>
      </w:pPr>
      <w:r>
        <w:rPr>
          <w:bCs/>
          <w:b/>
        </w:rPr>
        <w:t xml:space="preserve">Crosswalk Validation</w:t>
      </w:r>
      <w:r>
        <w:t xml:space="preserve">: Geographic aggregations preserve total counts</w:t>
      </w:r>
    </w:p>
    <w:bookmarkEnd w:id="55"/>
    <w:bookmarkStart w:id="56" w:name="level-3-temporal-consistency"/>
    <w:p>
      <w:pPr>
        <w:pStyle w:val="Heading4"/>
      </w:pPr>
      <w:r>
        <w:t xml:space="preserve">Level 3: Temporal Consistency</w:t>
      </w:r>
    </w:p>
    <w:p>
      <w:pPr>
        <w:numPr>
          <w:ilvl w:val="0"/>
          <w:numId w:val="1032"/>
        </w:numPr>
        <w:pStyle w:val="Compact"/>
      </w:pPr>
      <w:r>
        <w:rPr>
          <w:bCs/>
          <w:b/>
        </w:rPr>
        <w:t xml:space="preserve">Trend Analysis</w:t>
      </w:r>
      <w:r>
        <w:t xml:space="preserve">: Current values align with historical demographic trends</w:t>
      </w:r>
    </w:p>
    <w:p>
      <w:pPr>
        <w:numPr>
          <w:ilvl w:val="0"/>
          <w:numId w:val="1032"/>
        </w:numPr>
        <w:pStyle w:val="Compact"/>
      </w:pPr>
      <w:r>
        <w:rPr>
          <w:bCs/>
          <w:b/>
        </w:rPr>
        <w:t xml:space="preserve">Growth Patterns</w:t>
      </w:r>
      <w:r>
        <w:t xml:space="preserve">: Population and household growth follows expected patterns</w:t>
      </w:r>
    </w:p>
    <w:p>
      <w:pPr>
        <w:numPr>
          <w:ilvl w:val="0"/>
          <w:numId w:val="1032"/>
        </w:numPr>
        <w:pStyle w:val="Compact"/>
      </w:pPr>
      <w:r>
        <w:rPr>
          <w:bCs/>
          <w:b/>
        </w:rPr>
        <w:t xml:space="preserve">Economic Indicators</w:t>
      </w:r>
      <w:r>
        <w:t xml:space="preserve">: Occupation and income distributions reflect regional economy</w:t>
      </w:r>
    </w:p>
    <w:bookmarkEnd w:id="56"/>
    <w:bookmarkStart w:id="57" w:name="level-4-cross-category-validation"/>
    <w:p>
      <w:pPr>
        <w:pStyle w:val="Heading4"/>
      </w:pPr>
      <w:r>
        <w:t xml:space="preserve">Level 4: Cross-Category Validation</w:t>
      </w:r>
    </w:p>
    <w:p>
      <w:pPr>
        <w:numPr>
          <w:ilvl w:val="0"/>
          <w:numId w:val="1033"/>
        </w:numPr>
        <w:pStyle w:val="Compact"/>
      </w:pPr>
      <w:r>
        <w:rPr>
          <w:bCs/>
          <w:b/>
        </w:rPr>
        <w:t xml:space="preserve">Internal Consistency</w:t>
      </w:r>
      <w:r>
        <w:t xml:space="preserve">: Different household categories yield similar total household counts</w:t>
      </w:r>
    </w:p>
    <w:p>
      <w:pPr>
        <w:numPr>
          <w:ilvl w:val="0"/>
          <w:numId w:val="1033"/>
        </w:numPr>
        <w:pStyle w:val="Compact"/>
      </w:pPr>
      <w:r>
        <w:rPr>
          <w:bCs/>
          <w:b/>
        </w:rPr>
        <w:t xml:space="preserve">Demographic Logic</w:t>
      </w:r>
      <w:r>
        <w:t xml:space="preserve">: Age, income, and household size relationships are reasonable</w:t>
      </w:r>
    </w:p>
    <w:p>
      <w:pPr>
        <w:numPr>
          <w:ilvl w:val="0"/>
          <w:numId w:val="1033"/>
        </w:numPr>
        <w:pStyle w:val="Compact"/>
      </w:pPr>
      <w:r>
        <w:rPr>
          <w:bCs/>
          <w:b/>
        </w:rPr>
        <w:t xml:space="preserve">Economic Logic</w:t>
      </w:r>
      <w:r>
        <w:t xml:space="preserve">: Worker and occupation distributions align with local economy</w:t>
      </w:r>
    </w:p>
    <w:bookmarkEnd w:id="57"/>
    <w:bookmarkEnd w:id="58"/>
    <w:bookmarkStart w:id="61" w:name="error-detection-and-resolution"/>
    <w:p>
      <w:pPr>
        <w:pStyle w:val="Heading3"/>
      </w:pPr>
      <w:r>
        <w:t xml:space="preserve">Error Detection and Resolution</w:t>
      </w:r>
    </w:p>
    <w:bookmarkStart w:id="59" w:name="automated-quality-checks"/>
    <w:p>
      <w:pPr>
        <w:pStyle w:val="Heading4"/>
      </w:pPr>
      <w:r>
        <w:t xml:space="preserve">Automated Quality Checks:</w:t>
      </w:r>
    </w:p>
    <w:p>
      <w:pPr>
        <w:pStyle w:val="SourceCode"/>
      </w:pPr>
      <w:r>
        <w:rPr>
          <w:rStyle w:val="CommentTok"/>
        </w:rPr>
        <w:t xml:space="preserve"># Example validation check</w:t>
      </w:r>
      <w:r>
        <w:br/>
      </w:r>
      <w:r>
        <w:rPr>
          <w:rStyle w:val="ControlFlowTok"/>
        </w:rPr>
        <w:t xml:space="preserve">if</w:t>
      </w:r>
      <w:r>
        <w:rPr>
          <w:rStyle w:val="NormalTok"/>
        </w:rPr>
        <w:t xml:space="preserve"> </w:t>
      </w:r>
      <w:r>
        <w:rPr>
          <w:rStyle w:val="BuiltInTok"/>
        </w:rPr>
        <w:t xml:space="preserve">abs</w:t>
      </w:r>
      <w:r>
        <w:rPr>
          <w:rStyle w:val="NormalTok"/>
        </w:rPr>
        <w:t xml:space="preserve">(total_households_income </w:t>
      </w:r>
      <w:r>
        <w:rPr>
          <w:rStyle w:val="OperatorTok"/>
        </w:rPr>
        <w:t xml:space="preserve">-</w:t>
      </w:r>
      <w:r>
        <w:rPr>
          <w:rStyle w:val="NormalTok"/>
        </w:rPr>
        <w:t xml:space="preserve"> total_households_size) </w:t>
      </w:r>
      <w:r>
        <w:rPr>
          <w:rStyle w:val="OperatorTok"/>
        </w:rPr>
        <w:t xml:space="preserve">/</w:t>
      </w:r>
      <w:r>
        <w:rPr>
          <w:rStyle w:val="NormalTok"/>
        </w:rPr>
        <w:t xml:space="preserve"> total_households_income </w:t>
      </w:r>
      <w:r>
        <w:rPr>
          <w:rStyle w:val="OperatorTok"/>
        </w:rPr>
        <w:t xml:space="preserve">&gt;</w:t>
      </w:r>
      <w:r>
        <w:rPr>
          <w:rStyle w:val="NormalTok"/>
        </w:rPr>
        <w:t xml:space="preserve"> </w:t>
      </w:r>
      <w:r>
        <w:rPr>
          <w:rStyle w:val="FloatTok"/>
        </w:rPr>
        <w:t xml:space="preserve">0.01</w:t>
      </w:r>
      <w:r>
        <w:rPr>
          <w:rStyle w:val="NormalTok"/>
        </w:rPr>
        <w:t xml:space="preserve">:</w:t>
      </w:r>
      <w:r>
        <w:br/>
      </w:r>
      <w:r>
        <w:rPr>
          <w:rStyle w:val="NormalTok"/>
        </w:rPr>
        <w:t xml:space="preserve">    logger.warning(</w:t>
      </w:r>
      <w:r>
        <w:rPr>
          <w:rStyle w:val="SpecialStringTok"/>
        </w:rPr>
        <w:t xml:space="preserve">f"Household category totals differ by </w:t>
      </w:r>
      <w:r>
        <w:rPr>
          <w:rStyle w:val="SpecialCharTok"/>
        </w:rPr>
        <w:t xml:space="preserve">{</w:t>
      </w:r>
      <w:r>
        <w:rPr>
          <w:rStyle w:val="NormalTok"/>
        </w:rPr>
        <w:t xml:space="preserve">pct_diff</w:t>
      </w:r>
      <w:r>
        <w:rPr>
          <w:rStyle w:val="SpecialCharTok"/>
        </w:rPr>
        <w:t xml:space="preserve">:.1f}</w:t>
      </w:r>
      <w:r>
        <w:rPr>
          <w:rStyle w:val="SpecialStringTok"/>
        </w:rPr>
        <w:t xml:space="preserve">%"</w:t>
      </w:r>
      <w:r>
        <w:rPr>
          <w:rStyle w:val="NormalTok"/>
        </w:rPr>
        <w:t xml:space="preserve">)</w:t>
      </w:r>
      <w:r>
        <w:br/>
      </w:r>
      <w:r>
        <w:rPr>
          <w:rStyle w:val="NormalTok"/>
        </w:rPr>
        <w:t xml:space="preserve">    apply_harmonization()</w:t>
      </w:r>
    </w:p>
    <w:bookmarkEnd w:id="59"/>
    <w:bookmarkStart w:id="60" w:name="manual-review-triggers"/>
    <w:p>
      <w:pPr>
        <w:pStyle w:val="Heading4"/>
      </w:pPr>
      <w:r>
        <w:t xml:space="preserve">Manual Review Triggers:</w:t>
      </w:r>
    </w:p>
    <w:p>
      <w:pPr>
        <w:numPr>
          <w:ilvl w:val="0"/>
          <w:numId w:val="1034"/>
        </w:numPr>
        <w:pStyle w:val="Compact"/>
      </w:pPr>
      <w:r>
        <w:t xml:space="preserve">Geographic zones with unusually high or low control values</w:t>
      </w:r>
    </w:p>
    <w:p>
      <w:pPr>
        <w:numPr>
          <w:ilvl w:val="0"/>
          <w:numId w:val="1034"/>
        </w:numPr>
        <w:pStyle w:val="Compact"/>
      </w:pPr>
      <w:r>
        <w:t xml:space="preserve">Categories where scaling factors exceed ±20%</w:t>
      </w:r>
    </w:p>
    <w:p>
      <w:pPr>
        <w:numPr>
          <w:ilvl w:val="0"/>
          <w:numId w:val="1034"/>
        </w:numPr>
        <w:pStyle w:val="Compact"/>
      </w:pPr>
      <w:r>
        <w:t xml:space="preserve">Counties with occupation distributions that differ significantly from regional patterns</w:t>
      </w:r>
    </w:p>
    <w:p>
      <w:r>
        <w:pict>
          <v:rect style="width:0;height:1.5pt" o:hralign="center" o:hrstd="t" o:hr="t"/>
        </w:pict>
      </w:r>
    </w:p>
    <w:bookmarkEnd w:id="60"/>
    <w:bookmarkEnd w:id="61"/>
    <w:bookmarkEnd w:id="62"/>
    <w:bookmarkStart w:id="70" w:name="output-files-and-structure"/>
    <w:p>
      <w:pPr>
        <w:pStyle w:val="Heading2"/>
      </w:pPr>
      <w:r>
        <w:t xml:space="preserve">Output Files and Structure</w:t>
      </w:r>
    </w:p>
    <w:bookmarkStart w:id="66" w:name="primary-populationsim-input-files"/>
    <w:p>
      <w:pPr>
        <w:pStyle w:val="Heading3"/>
      </w:pPr>
      <w:r>
        <w:t xml:space="preserve">Primary PopulationSim Input Files</w:t>
      </w:r>
    </w:p>
    <w:bookmarkStart w:id="63" w:name="maz-controls-maz_marginals_hhgq.csv"/>
    <w:p>
      <w:pPr>
        <w:pStyle w:val="Heading4"/>
      </w:pPr>
      <w:r>
        <w:t xml:space="preserve">MAZ Controls:</w:t>
      </w:r>
      <w:r>
        <w:t xml:space="preserve"> </w:t>
      </w:r>
      <w:r>
        <w:rPr>
          <w:rStyle w:val="VerbatimChar"/>
        </w:rPr>
        <w:t xml:space="preserve">maz_marginals_hhgq.csv</w:t>
      </w:r>
    </w:p>
    <w:p>
      <w:pPr>
        <w:pStyle w:val="SourceCode"/>
      </w:pPr>
      <w:r>
        <w:rPr>
          <w:rStyle w:val="VerbatimChar"/>
        </w:rPr>
        <w:t xml:space="preserve">MAZ_NODE,numhh_gq,gq_type_univ,gq_type_noninst</w:t>
      </w:r>
      <w:r>
        <w:br/>
      </w:r>
      <w:r>
        <w:rPr>
          <w:rStyle w:val="VerbatimChar"/>
        </w:rPr>
        <w:t xml:space="preserve">10001,185,0,0</w:t>
      </w:r>
      <w:r>
        <w:br/>
      </w:r>
      <w:r>
        <w:rPr>
          <w:rStyle w:val="VerbatimChar"/>
        </w:rPr>
        <w:t xml:space="preserve">10002,221,0,3</w:t>
      </w:r>
      <w:r>
        <w:br/>
      </w:r>
      <w:r>
        <w:rPr>
          <w:rStyle w:val="VerbatimChar"/>
        </w:rPr>
        <w:t xml:space="preserve">10003,181,0,0</w:t>
      </w:r>
      <w:r>
        <w:br/>
      </w:r>
      <w:r>
        <w:rPr>
          <w:rStyle w:val="VerbatimChar"/>
        </w:rPr>
        <w:t xml:space="preserve">...</w:t>
      </w:r>
    </w:p>
    <w:p>
      <w:pPr>
        <w:pStyle w:val="FirstParagraph"/>
      </w:pPr>
      <w:r>
        <w:rPr>
          <w:bCs/>
          <w:b/>
        </w:rPr>
        <w:t xml:space="preserve">Structure</w:t>
      </w:r>
      <w:r>
        <w:t xml:space="preserve">:</w:t>
      </w:r>
      <w:r>
        <w:t xml:space="preserve"> </w:t>
      </w:r>
      <w:r>
        <w:t xml:space="preserve">-</w:t>
      </w:r>
      <w:r>
        <w:t xml:space="preserve"> </w:t>
      </w:r>
      <w:r>
        <w:rPr>
          <w:bCs/>
          <w:b/>
        </w:rPr>
        <w:t xml:space="preserve">Geographic Identifier</w:t>
      </w:r>
      <w:r>
        <w:t xml:space="preserve">:</w:t>
      </w:r>
      <w:r>
        <w:t xml:space="preserve"> </w:t>
      </w:r>
      <w:r>
        <w:rPr>
          <w:rStyle w:val="VerbatimChar"/>
        </w:rPr>
        <w:t xml:space="preserve">MAZ_NODE</w:t>
      </w:r>
      <w:r>
        <w:t xml:space="preserve"> </w:t>
      </w:r>
      <w:r>
        <w:t xml:space="preserve">(matches crosswalk files)</w:t>
      </w:r>
      <w:r>
        <w:t xml:space="preserve"> </w:t>
      </w:r>
      <w:r>
        <w:t xml:space="preserve">-</w:t>
      </w:r>
      <w:r>
        <w:t xml:space="preserve"> </w:t>
      </w:r>
      <w:r>
        <w:rPr>
          <w:bCs/>
          <w:b/>
        </w:rPr>
        <w:t xml:space="preserve">Household + GQ</w:t>
      </w:r>
      <w:r>
        <w:t xml:space="preserve">:</w:t>
      </w:r>
      <w:r>
        <w:t xml:space="preserve"> </w:t>
      </w:r>
      <w:r>
        <w:rPr>
          <w:rStyle w:val="VerbatimChar"/>
        </w:rPr>
        <w:t xml:space="preserve">numhh_gq</w:t>
      </w:r>
      <w:r>
        <w:t xml:space="preserve"> </w:t>
      </w:r>
      <w:r>
        <w:t xml:space="preserve">combines households and group quarters for person synthesis</w:t>
      </w:r>
      <w:r>
        <w:t xml:space="preserve"> </w:t>
      </w:r>
      <w:r>
        <w:t xml:space="preserve">-</w:t>
      </w:r>
      <w:r>
        <w:t xml:space="preserve"> </w:t>
      </w:r>
      <w:r>
        <w:rPr>
          <w:bCs/>
          <w:b/>
        </w:rPr>
        <w:t xml:space="preserve">GQ Categories</w:t>
      </w:r>
      <w:r>
        <w:t xml:space="preserve">: Separate counts for university and other noninstitutional group quarters</w:t>
      </w:r>
    </w:p>
    <w:bookmarkEnd w:id="63"/>
    <w:bookmarkStart w:id="64" w:name="taz-controls-taz_marginals_hhgq.csv"/>
    <w:p>
      <w:pPr>
        <w:pStyle w:val="Heading4"/>
      </w:pPr>
      <w:r>
        <w:t xml:space="preserve">TAZ Controls:</w:t>
      </w:r>
      <w:r>
        <w:t xml:space="preserve"> </w:t>
      </w:r>
      <w:r>
        <w:rPr>
          <w:rStyle w:val="VerbatimChar"/>
        </w:rPr>
        <w:t xml:space="preserve">taz_marginals_hhgq.csv</w:t>
      </w:r>
    </w:p>
    <w:p>
      <w:pPr>
        <w:pStyle w:val="SourceCode"/>
      </w:pPr>
      <w:r>
        <w:rPr>
          <w:rStyle w:val="VerbatimChar"/>
        </w:rPr>
        <w:t xml:space="preserve">TAZ_NODE,inc_lt_20k,inc_20k_45k,inc_45k_60k,...,hh_size_1_gq</w:t>
      </w:r>
      <w:r>
        <w:br/>
      </w:r>
      <w:r>
        <w:rPr>
          <w:rStyle w:val="VerbatimChar"/>
        </w:rPr>
        <w:t xml:space="preserve">301001,23,45,31,...,156</w:t>
      </w:r>
      <w:r>
        <w:br/>
      </w:r>
      <w:r>
        <w:rPr>
          <w:rStyle w:val="VerbatimChar"/>
        </w:rPr>
        <w:t xml:space="preserve">301002,45,67,42,...,203</w:t>
      </w:r>
      <w:r>
        <w:br/>
      </w:r>
      <w:r>
        <w:rPr>
          <w:rStyle w:val="VerbatimChar"/>
        </w:rPr>
        <w:t xml:space="preserve">...</w:t>
      </w:r>
    </w:p>
    <w:p>
      <w:pPr>
        <w:pStyle w:val="FirstParagraph"/>
      </w:pPr>
      <w:r>
        <w:rPr>
          <w:bCs/>
          <w:b/>
        </w:rPr>
        <w:t xml:space="preserve">Structure</w:t>
      </w:r>
      <w:r>
        <w:t xml:space="preserve">:</w:t>
      </w:r>
      <w:r>
        <w:t xml:space="preserve"> </w:t>
      </w:r>
      <w:r>
        <w:t xml:space="preserve">-</w:t>
      </w:r>
      <w:r>
        <w:t xml:space="preserve"> </w:t>
      </w:r>
      <w:r>
        <w:rPr>
          <w:bCs/>
          <w:b/>
        </w:rPr>
        <w:t xml:space="preserve">Household Characteristics</w:t>
      </w:r>
      <w:r>
        <w:t xml:space="preserve">: Income, size, workers, children categories</w:t>
      </w:r>
      <w:r>
        <w:t xml:space="preserve"> </w:t>
      </w:r>
      <w:r>
        <w:t xml:space="preserve">-</w:t>
      </w:r>
      <w:r>
        <w:t xml:space="preserve"> </w:t>
      </w:r>
      <w:r>
        <w:rPr>
          <w:bCs/>
          <w:b/>
        </w:rPr>
        <w:t xml:space="preserve">Person Characteristics</w:t>
      </w:r>
      <w:r>
        <w:t xml:space="preserve">: Age distributions</w:t>
      </w:r>
      <w:r>
        <w:t xml:space="preserve"> </w:t>
      </w:r>
      <w:r>
        <w:t xml:space="preserve">-</w:t>
      </w:r>
      <w:r>
        <w:t xml:space="preserve"> </w:t>
      </w:r>
      <w:r>
        <w:rPr>
          <w:bCs/>
          <w:b/>
        </w:rPr>
        <w:t xml:space="preserve">HHGQ Integration</w:t>
      </w:r>
      <w:r>
        <w:t xml:space="preserve">:</w:t>
      </w:r>
      <w:r>
        <w:t xml:space="preserve"> </w:t>
      </w:r>
      <w:r>
        <w:rPr>
          <w:rStyle w:val="VerbatimChar"/>
        </w:rPr>
        <w:t xml:space="preserve">hh_size_1_gq</w:t>
      </w:r>
      <w:r>
        <w:t xml:space="preserve"> </w:t>
      </w:r>
      <w:r>
        <w:t xml:space="preserve">combines single-person households with group quarters</w:t>
      </w:r>
    </w:p>
    <w:bookmarkEnd w:id="64"/>
    <w:bookmarkStart w:id="65" w:name="county-controls-county_marginals.csv"/>
    <w:p>
      <w:pPr>
        <w:pStyle w:val="Heading4"/>
      </w:pPr>
      <w:r>
        <w:t xml:space="preserve">County Controls:</w:t>
      </w:r>
      <w:r>
        <w:t xml:space="preserve"> </w:t>
      </w:r>
      <w:r>
        <w:rPr>
          <w:rStyle w:val="VerbatimChar"/>
        </w:rPr>
        <w:t xml:space="preserve">county_marginals.csv</w:t>
      </w:r>
    </w:p>
    <w:p>
      <w:pPr>
        <w:pStyle w:val="SourceCode"/>
      </w:pPr>
      <w:r>
        <w:rPr>
          <w:rStyle w:val="VerbatimChar"/>
        </w:rPr>
        <w:t xml:space="preserve">COUNTY,pers_occ_management,pers_occ_professional,pers_occ_services,pers_occ_retail,pers_occ_manual_military</w:t>
      </w:r>
      <w:r>
        <w:br/>
      </w:r>
      <w:r>
        <w:rPr>
          <w:rStyle w:val="VerbatimChar"/>
        </w:rPr>
        <w:t xml:space="preserve">1,129499,378541,201345,123456,98765</w:t>
      </w:r>
      <w:r>
        <w:br/>
      </w:r>
      <w:r>
        <w:rPr>
          <w:rStyle w:val="VerbatimChar"/>
        </w:rPr>
        <w:t xml:space="preserve">2,94523,267834,145678,87654,76543</w:t>
      </w:r>
      <w:r>
        <w:br/>
      </w:r>
      <w:r>
        <w:rPr>
          <w:rStyle w:val="VerbatimChar"/>
        </w:rPr>
        <w:t xml:space="preserve">...</w:t>
      </w:r>
    </w:p>
    <w:p>
      <w:pPr>
        <w:pStyle w:val="FirstParagraph"/>
      </w:pPr>
      <w:r>
        <w:rPr>
          <w:bCs/>
          <w:b/>
        </w:rPr>
        <w:t xml:space="preserve">Structure</w:t>
      </w:r>
      <w:r>
        <w:t xml:space="preserve">:</w:t>
      </w:r>
      <w:r>
        <w:t xml:space="preserve"> </w:t>
      </w:r>
      <w:r>
        <w:t xml:space="preserve">-</w:t>
      </w:r>
      <w:r>
        <w:t xml:space="preserve"> </w:t>
      </w:r>
      <w:r>
        <w:rPr>
          <w:bCs/>
          <w:b/>
        </w:rPr>
        <w:t xml:space="preserve">Geographic Identifier</w:t>
      </w:r>
      <w:r>
        <w:t xml:space="preserve">:</w:t>
      </w:r>
      <w:r>
        <w:t xml:space="preserve"> </w:t>
      </w:r>
      <w:r>
        <w:rPr>
          <w:rStyle w:val="VerbatimChar"/>
        </w:rPr>
        <w:t xml:space="preserve">COUNTY</w:t>
      </w:r>
      <w:r>
        <w:t xml:space="preserve"> </w:t>
      </w:r>
      <w:r>
        <w:t xml:space="preserve">(1-9 for Bay Area counties)</w:t>
      </w:r>
      <w:r>
        <w:t xml:space="preserve"> </w:t>
      </w:r>
      <w:r>
        <w:t xml:space="preserve">-</w:t>
      </w:r>
      <w:r>
        <w:t xml:space="preserve"> </w:t>
      </w:r>
      <w:r>
        <w:rPr>
          <w:bCs/>
          <w:b/>
        </w:rPr>
        <w:t xml:space="preserve">Occupation Categories</w:t>
      </w:r>
      <w:r>
        <w:t xml:space="preserve">: Worker counts by major occupation group</w:t>
      </w:r>
      <w:r>
        <w:t xml:space="preserve"> </w:t>
      </w:r>
      <w:r>
        <w:t xml:space="preserve">-</w:t>
      </w:r>
      <w:r>
        <w:t xml:space="preserve"> </w:t>
      </w:r>
      <w:r>
        <w:rPr>
          <w:bCs/>
          <w:b/>
        </w:rPr>
        <w:t xml:space="preserve">Scaled Values</w:t>
      </w:r>
      <w:r>
        <w:t xml:space="preserve">: Adjusted using county household scaling factors</w:t>
      </w:r>
    </w:p>
    <w:bookmarkEnd w:id="65"/>
    <w:bookmarkEnd w:id="66"/>
    <w:bookmarkStart w:id="69" w:name="supporting-files"/>
    <w:p>
      <w:pPr>
        <w:pStyle w:val="Heading3"/>
      </w:pPr>
      <w:r>
        <w:t xml:space="preserve">Supporting Files</w:t>
      </w:r>
    </w:p>
    <w:bookmarkStart w:id="67" w:name="X0c02315221a51306fecc6125af54bdbd7ef2912"/>
    <w:p>
      <w:pPr>
        <w:pStyle w:val="Heading4"/>
      </w:pPr>
      <w:r>
        <w:t xml:space="preserve">Geographic Crosswalk:</w:t>
      </w:r>
      <w:r>
        <w:t xml:space="preserve"> </w:t>
      </w:r>
      <w:r>
        <w:rPr>
          <w:rStyle w:val="VerbatimChar"/>
        </w:rPr>
        <w:t xml:space="preserve">geo_cross_walk_tm2.csv</w:t>
      </w:r>
    </w:p>
    <w:p>
      <w:pPr>
        <w:pStyle w:val="FirstParagraph"/>
      </w:pPr>
      <w:r>
        <w:t xml:space="preserve">Essential for linking different geographic levels:</w:t>
      </w:r>
    </w:p>
    <w:p>
      <w:pPr>
        <w:pStyle w:val="SourceCode"/>
      </w:pPr>
      <w:r>
        <w:rPr>
          <w:rStyle w:val="VerbatimChar"/>
        </w:rPr>
        <w:t xml:space="preserve">MAZ_NODE,TAZ_NODE,COUNTY,county_name,PUMA</w:t>
      </w:r>
      <w:r>
        <w:br/>
      </w:r>
      <w:r>
        <w:rPr>
          <w:rStyle w:val="VerbatimChar"/>
        </w:rPr>
        <w:t xml:space="preserve">333453,301054,1,Alameda,112</w:t>
      </w:r>
      <w:r>
        <w:br/>
      </w:r>
      <w:r>
        <w:rPr>
          <w:rStyle w:val="VerbatimChar"/>
        </w:rPr>
        <w:t xml:space="preserve">334567,301055,1,Alameda,112</w:t>
      </w:r>
      <w:r>
        <w:br/>
      </w:r>
      <w:r>
        <w:rPr>
          <w:rStyle w:val="VerbatimChar"/>
        </w:rPr>
        <w:t xml:space="preserve">...</w:t>
      </w:r>
    </w:p>
    <w:bookmarkEnd w:id="67"/>
    <w:bookmarkStart w:id="68" w:name="validation-files"/>
    <w:p>
      <w:pPr>
        <w:pStyle w:val="Heading4"/>
      </w:pPr>
      <w:r>
        <w:t xml:space="preserve">Validation Files</w:t>
      </w:r>
    </w:p>
    <w:p>
      <w:pPr>
        <w:pStyle w:val="FirstParagraph"/>
      </w:pPr>
      <w:r>
        <w:rPr>
          <w:bCs/>
          <w:b/>
        </w:rPr>
        <w:t xml:space="preserve">County Summary:</w:t>
      </w:r>
      <w:r>
        <w:rPr>
          <w:bCs/>
          <w:b/>
        </w:rPr>
        <w:t xml:space="preserve"> </w:t>
      </w:r>
      <w:r>
        <w:rPr>
          <w:rStyle w:val="VerbatimChar"/>
          <w:bCs/>
          <w:b/>
        </w:rPr>
        <w:t xml:space="preserve">county_summary_2020_2023.csv</w:t>
      </w:r>
      <w:r>
        <w:t xml:space="preserve"> </w:t>
      </w:r>
      <w:r>
        <w:t xml:space="preserve">Documents scaling factors and validation statistics:</w:t>
      </w:r>
    </w:p>
    <w:p>
      <w:pPr>
        <w:pStyle w:val="SourceCode"/>
      </w:pPr>
      <w:r>
        <w:rPr>
          <w:rStyle w:val="VerbatimChar"/>
        </w:rPr>
        <w:t xml:space="preserve">county_fips,county_name,hh_2020_census,hh_2023_acs,scaling_factor</w:t>
      </w:r>
      <w:r>
        <w:br/>
      </w:r>
      <w:r>
        <w:rPr>
          <w:rStyle w:val="VerbatimChar"/>
        </w:rPr>
        <w:t xml:space="preserve">001,Alameda,591636,646309,1.0924</w:t>
      </w:r>
      <w:r>
        <w:br/>
      </w:r>
      <w:r>
        <w:rPr>
          <w:rStyle w:val="VerbatimChar"/>
        </w:rPr>
        <w:t xml:space="preserve">013,Contra Costa,407029,432056,1.0615</w:t>
      </w:r>
      <w:r>
        <w:br/>
      </w:r>
      <w:r>
        <w:rPr>
          <w:rStyle w:val="VerbatimChar"/>
        </w:rPr>
        <w:t xml:space="preserve">...</w:t>
      </w:r>
    </w:p>
    <w:p>
      <w:pPr>
        <w:pStyle w:val="FirstParagraph"/>
      </w:pPr>
      <w:r>
        <w:rPr>
          <w:bCs/>
          <w:b/>
        </w:rPr>
        <w:t xml:space="preserve">County Targets:</w:t>
      </w:r>
      <w:r>
        <w:rPr>
          <w:bCs/>
          <w:b/>
        </w:rPr>
        <w:t xml:space="preserve"> </w:t>
      </w:r>
      <w:r>
        <w:rPr>
          <w:rStyle w:val="VerbatimChar"/>
          <w:bCs/>
          <w:b/>
        </w:rPr>
        <w:t xml:space="preserve">county_targets_2023.csv</w:t>
      </w:r>
      <w:r>
        <w:t xml:space="preserve"> </w:t>
      </w:r>
      <w:r>
        <w:t xml:space="preserve">Regional validation targets:</w:t>
      </w:r>
    </w:p>
    <w:p>
      <w:pPr>
        <w:pStyle w:val="SourceCode"/>
      </w:pPr>
      <w:r>
        <w:rPr>
          <w:rStyle w:val="VerbatimChar"/>
        </w:rPr>
        <w:t xml:space="preserve">geography,variable,total</w:t>
      </w:r>
      <w:r>
        <w:br/>
      </w:r>
      <w:r>
        <w:rPr>
          <w:rStyle w:val="VerbatimChar"/>
        </w:rPr>
        <w:t xml:space="preserve">regional,households,3031788</w:t>
      </w:r>
      <w:r>
        <w:br/>
      </w:r>
      <w:r>
        <w:rPr>
          <w:rStyle w:val="VerbatimChar"/>
        </w:rPr>
        <w:t xml:space="preserve">regional,population,7508799</w:t>
      </w:r>
      <w:r>
        <w:br/>
      </w:r>
      <w:r>
        <w:rPr>
          <w:rStyle w:val="VerbatimChar"/>
        </w:rPr>
        <w:t xml:space="preserve">001,households,646309</w:t>
      </w:r>
      <w:r>
        <w:br/>
      </w:r>
      <w:r>
        <w:rPr>
          <w:rStyle w:val="VerbatimChar"/>
        </w:rPr>
        <w:t xml:space="preserve">...</w:t>
      </w:r>
    </w:p>
    <w:p>
      <w:r>
        <w:pict>
          <v:rect style="width:0;height:1.5pt" o:hralign="center" o:hrstd="t" o:hr="t"/>
        </w:pict>
      </w:r>
    </w:p>
    <w:bookmarkEnd w:id="68"/>
    <w:bookmarkEnd w:id="69"/>
    <w:bookmarkEnd w:id="70"/>
    <w:bookmarkStart w:id="81" w:name="technical-implementation"/>
    <w:p>
      <w:pPr>
        <w:pStyle w:val="Heading2"/>
      </w:pPr>
      <w:r>
        <w:t xml:space="preserve">Technical Implementation</w:t>
      </w:r>
    </w:p>
    <w:bookmarkStart w:id="74" w:name="system-architecture"/>
    <w:p>
      <w:pPr>
        <w:pStyle w:val="Heading3"/>
      </w:pPr>
      <w:r>
        <w:t xml:space="preserve">System Architecture</w:t>
      </w:r>
    </w:p>
    <w:bookmarkStart w:id="71" w:name="modular-design"/>
    <w:p>
      <w:pPr>
        <w:pStyle w:val="Heading4"/>
      </w:pPr>
      <w:r>
        <w:t xml:space="preserve">Modular Design</w:t>
      </w:r>
    </w:p>
    <w:p>
      <w:pPr>
        <w:pStyle w:val="FirstParagraph"/>
      </w:pPr>
      <w:r>
        <w:t xml:space="preserve">The control generation system is built with modular components:</w:t>
      </w:r>
    </w:p>
    <w:p>
      <w:pPr>
        <w:numPr>
          <w:ilvl w:val="0"/>
          <w:numId w:val="1035"/>
        </w:numPr>
        <w:pStyle w:val="Compact"/>
      </w:pPr>
      <w:r>
        <w:rPr>
          <w:bCs/>
          <w:b/>
        </w:rPr>
        <w:t xml:space="preserve">Data Acquisition Module</w:t>
      </w:r>
      <w:r>
        <w:t xml:space="preserve">: Handles Census API interactions and caching</w:t>
      </w:r>
    </w:p>
    <w:p>
      <w:pPr>
        <w:numPr>
          <w:ilvl w:val="0"/>
          <w:numId w:val="1035"/>
        </w:numPr>
        <w:pStyle w:val="Compact"/>
      </w:pPr>
      <w:r>
        <w:rPr>
          <w:bCs/>
          <w:b/>
        </w:rPr>
        <w:t xml:space="preserve">Geographic Processing Module</w:t>
      </w:r>
      <w:r>
        <w:t xml:space="preserve">: Manages interpolation and aggregation</w:t>
      </w:r>
    </w:p>
    <w:p>
      <w:pPr>
        <w:numPr>
          <w:ilvl w:val="0"/>
          <w:numId w:val="1035"/>
        </w:numPr>
        <w:pStyle w:val="Compact"/>
      </w:pPr>
      <w:r>
        <w:rPr>
          <w:bCs/>
          <w:b/>
        </w:rPr>
        <w:t xml:space="preserve">Scaling Module</w:t>
      </w:r>
      <w:r>
        <w:t xml:space="preserve">: Implements regional and county scaling methodologies</w:t>
      </w:r>
      <w:r>
        <w:br/>
      </w:r>
    </w:p>
    <w:p>
      <w:pPr>
        <w:numPr>
          <w:ilvl w:val="0"/>
          <w:numId w:val="1035"/>
        </w:numPr>
        <w:pStyle w:val="Compact"/>
      </w:pPr>
      <w:r>
        <w:rPr>
          <w:bCs/>
          <w:b/>
        </w:rPr>
        <w:t xml:space="preserve">Validation Module</w:t>
      </w:r>
      <w:r>
        <w:t xml:space="preserve">: Performs quality assurance checks</w:t>
      </w:r>
    </w:p>
    <w:p>
      <w:pPr>
        <w:numPr>
          <w:ilvl w:val="0"/>
          <w:numId w:val="1035"/>
        </w:numPr>
        <w:pStyle w:val="Compact"/>
      </w:pPr>
      <w:r>
        <w:rPr>
          <w:bCs/>
          <w:b/>
        </w:rPr>
        <w:t xml:space="preserve">Output Module</w:t>
      </w:r>
      <w:r>
        <w:t xml:space="preserve">: Generates final control files</w:t>
      </w:r>
    </w:p>
    <w:bookmarkEnd w:id="71"/>
    <w:bookmarkStart w:id="72" w:name="configuration-driven-processing"/>
    <w:p>
      <w:pPr>
        <w:pStyle w:val="Heading4"/>
      </w:pPr>
      <w:r>
        <w:t xml:space="preserve">Configuration-Driven Processing</w:t>
      </w:r>
    </w:p>
    <w:p>
      <w:pPr>
        <w:pStyle w:val="FirstParagraph"/>
      </w:pPr>
      <w:r>
        <w:t xml:space="preserve">All control definitions are specified in configuration files:</w:t>
      </w:r>
    </w:p>
    <w:p>
      <w:pPr>
        <w:pStyle w:val="SourceCode"/>
      </w:pPr>
      <w:r>
        <w:rPr>
          <w:rStyle w:val="CommentTok"/>
        </w:rPr>
        <w:t xml:space="preserve"># Example from unified_tm2_config.py</w:t>
      </w:r>
      <w:r>
        <w:br/>
      </w:r>
      <w:r>
        <w:rPr>
          <w:rStyle w:val="NormalTok"/>
        </w:rPr>
        <w:t xml:space="preserve">HOUSEHOLD_INCOME_CONTROLS </w:t>
      </w:r>
      <w:r>
        <w:rPr>
          <w:rStyle w:val="OperatorTok"/>
        </w:rPr>
        <w:t xml:space="preserve">=</w:t>
      </w:r>
      <w:r>
        <w:rPr>
          <w:rStyle w:val="NormalTok"/>
        </w:rPr>
        <w:t xml:space="preserve"> {</w:t>
      </w:r>
      <w:r>
        <w:br/>
      </w:r>
      <w:r>
        <w:rPr>
          <w:rStyle w:val="NormalTok"/>
        </w:rPr>
        <w:t xml:space="preserve">    </w:t>
      </w:r>
      <w:r>
        <w:rPr>
          <w:rStyle w:val="StringTok"/>
        </w:rPr>
        <w:t xml:space="preserve">'inc_lt_20k'</w:t>
      </w:r>
      <w:r>
        <w:rPr>
          <w:rStyle w:val="NormalTok"/>
        </w:rPr>
        <w:t xml:space="preserve">: {</w:t>
      </w:r>
      <w:r>
        <w:rPr>
          <w:rStyle w:val="StringTok"/>
        </w:rPr>
        <w:t xml:space="preserve">'min'</w:t>
      </w:r>
      <w:r>
        <w:rPr>
          <w:rStyle w:val="NormalTok"/>
        </w:rPr>
        <w:t xml:space="preserve">: </w:t>
      </w:r>
      <w:r>
        <w:rPr>
          <w:rStyle w:val="DecValTok"/>
        </w:rPr>
        <w:t xml:space="preserve">0</w:t>
      </w:r>
      <w:r>
        <w:rPr>
          <w:rStyle w:val="NormalTok"/>
        </w:rPr>
        <w:t xml:space="preserve">, </w:t>
      </w:r>
      <w:r>
        <w:rPr>
          <w:rStyle w:val="StringTok"/>
        </w:rPr>
        <w:t xml:space="preserve">'max'</w:t>
      </w:r>
      <w:r>
        <w:rPr>
          <w:rStyle w:val="NormalTok"/>
        </w:rPr>
        <w:t xml:space="preserve">: </w:t>
      </w:r>
      <w:r>
        <w:rPr>
          <w:rStyle w:val="DecValTok"/>
        </w:rPr>
        <w:t xml:space="preserve">19999</w:t>
      </w:r>
      <w:r>
        <w:rPr>
          <w:rStyle w:val="NormalTok"/>
        </w:rPr>
        <w:t xml:space="preserve">},</w:t>
      </w:r>
      <w:r>
        <w:br/>
      </w:r>
      <w:r>
        <w:rPr>
          <w:rStyle w:val="NormalTok"/>
        </w:rPr>
        <w:t xml:space="preserve">    </w:t>
      </w:r>
      <w:r>
        <w:rPr>
          <w:rStyle w:val="StringTok"/>
        </w:rPr>
        <w:t xml:space="preserve">'inc_20k_45k'</w:t>
      </w:r>
      <w:r>
        <w:rPr>
          <w:rStyle w:val="NormalTok"/>
        </w:rPr>
        <w:t xml:space="preserve">: {</w:t>
      </w:r>
      <w:r>
        <w:rPr>
          <w:rStyle w:val="StringTok"/>
        </w:rPr>
        <w:t xml:space="preserve">'min'</w:t>
      </w:r>
      <w:r>
        <w:rPr>
          <w:rStyle w:val="NormalTok"/>
        </w:rPr>
        <w:t xml:space="preserve">: </w:t>
      </w:r>
      <w:r>
        <w:rPr>
          <w:rStyle w:val="DecValTok"/>
        </w:rPr>
        <w:t xml:space="preserve">20000</w:t>
      </w:r>
      <w:r>
        <w:rPr>
          <w:rStyle w:val="NormalTok"/>
        </w:rPr>
        <w:t xml:space="preserve">, </w:t>
      </w:r>
      <w:r>
        <w:rPr>
          <w:rStyle w:val="StringTok"/>
        </w:rPr>
        <w:t xml:space="preserve">'max'</w:t>
      </w:r>
      <w:r>
        <w:rPr>
          <w:rStyle w:val="NormalTok"/>
        </w:rPr>
        <w:t xml:space="preserve">: </w:t>
      </w:r>
      <w:r>
        <w:rPr>
          <w:rStyle w:val="DecValTok"/>
        </w:rPr>
        <w:t xml:space="preserve">44999</w:t>
      </w:r>
      <w:r>
        <w:rPr>
          <w:rStyle w:val="NormalTok"/>
        </w:rPr>
        <w:t xml:space="preserve">},</w:t>
      </w:r>
      <w:r>
        <w:br/>
      </w:r>
      <w:r>
        <w:rPr>
          <w:rStyle w:val="NormalTok"/>
        </w:rPr>
        <w:t xml:space="preserve">    </w:t>
      </w:r>
      <w:r>
        <w:rPr>
          <w:rStyle w:val="CommentTok"/>
        </w:rPr>
        <w:t xml:space="preserve"># ... additional categories</w:t>
      </w:r>
      <w:r>
        <w:br/>
      </w:r>
      <w:r>
        <w:rPr>
          <w:rStyle w:val="NormalTok"/>
        </w:rPr>
        <w:t xml:space="preserve">}</w:t>
      </w:r>
    </w:p>
    <w:bookmarkEnd w:id="72"/>
    <w:bookmarkStart w:id="73" w:name="error-handling-and-logging"/>
    <w:p>
      <w:pPr>
        <w:pStyle w:val="Heading4"/>
      </w:pPr>
      <w:r>
        <w:t xml:space="preserve">Error Handling and Logging</w:t>
      </w:r>
    </w:p>
    <w:p>
      <w:pPr>
        <w:pStyle w:val="FirstParagraph"/>
      </w:pPr>
      <w:r>
        <w:t xml:space="preserve">Comprehensive logging tracks every step:</w:t>
      </w:r>
      <w:r>
        <w:t xml:space="preserve"> </w:t>
      </w:r>
      <w:r>
        <w:t xml:space="preserve">- Data download and caching operations</w:t>
      </w:r>
      <w:r>
        <w:t xml:space="preserve"> </w:t>
      </w:r>
      <w:r>
        <w:t xml:space="preserve">- Geographic processing and validation</w:t>
      </w:r>
      <w:r>
        <w:t xml:space="preserve"> </w:t>
      </w:r>
      <w:r>
        <w:t xml:space="preserve">- Scaling calculations and results</w:t>
      </w:r>
      <w:r>
        <w:t xml:space="preserve"> </w:t>
      </w:r>
      <w:r>
        <w:t xml:space="preserve">- Quality assurance outcomes</w:t>
      </w:r>
    </w:p>
    <w:bookmarkEnd w:id="73"/>
    <w:bookmarkEnd w:id="74"/>
    <w:bookmarkStart w:id="77" w:name="performance-optimizations"/>
    <w:p>
      <w:pPr>
        <w:pStyle w:val="Heading3"/>
      </w:pPr>
      <w:r>
        <w:t xml:space="preserve">Performance Optimizations</w:t>
      </w:r>
    </w:p>
    <w:bookmarkStart w:id="75" w:name="caching-strategy"/>
    <w:p>
      <w:pPr>
        <w:pStyle w:val="Heading4"/>
      </w:pPr>
      <w:r>
        <w:t xml:space="preserve">Caching Strategy</w:t>
      </w:r>
    </w:p>
    <w:p>
      <w:pPr>
        <w:numPr>
          <w:ilvl w:val="0"/>
          <w:numId w:val="1036"/>
        </w:numPr>
        <w:pStyle w:val="Compact"/>
      </w:pPr>
      <w:r>
        <w:rPr>
          <w:bCs/>
          <w:b/>
        </w:rPr>
        <w:t xml:space="preserve">Census Data</w:t>
      </w:r>
      <w:r>
        <w:t xml:space="preserve">: Downloaded once and cached locally</w:t>
      </w:r>
    </w:p>
    <w:p>
      <w:pPr>
        <w:numPr>
          <w:ilvl w:val="0"/>
          <w:numId w:val="1036"/>
        </w:numPr>
        <w:pStyle w:val="Compact"/>
      </w:pPr>
      <w:r>
        <w:rPr>
          <w:bCs/>
          <w:b/>
        </w:rPr>
        <w:t xml:space="preserve">Geographic Crosswalks</w:t>
      </w:r>
      <w:r>
        <w:t xml:space="preserve">: Processed once and reused</w:t>
      </w:r>
    </w:p>
    <w:p>
      <w:pPr>
        <w:numPr>
          <w:ilvl w:val="0"/>
          <w:numId w:val="1036"/>
        </w:numPr>
        <w:pStyle w:val="Compact"/>
      </w:pPr>
      <w:r>
        <w:rPr>
          <w:bCs/>
          <w:b/>
        </w:rPr>
        <w:t xml:space="preserve">Intermediate Results</w:t>
      </w:r>
      <w:r>
        <w:t xml:space="preserve">: Cached for debugging and reprocessing</w:t>
      </w:r>
    </w:p>
    <w:bookmarkEnd w:id="75"/>
    <w:bookmarkStart w:id="76" w:name="parallel-processing"/>
    <w:p>
      <w:pPr>
        <w:pStyle w:val="Heading4"/>
      </w:pPr>
      <w:r>
        <w:t xml:space="preserve">Parallel Processing</w:t>
      </w:r>
    </w:p>
    <w:p>
      <w:pPr>
        <w:pStyle w:val="FirstParagraph"/>
      </w:pPr>
      <w:r>
        <w:t xml:space="preserve">Where possible, the system uses parallel processing:</w:t>
      </w:r>
      <w:r>
        <w:t xml:space="preserve"> </w:t>
      </w:r>
      <w:r>
        <w:t xml:space="preserve">- Multiple geographic zones processed simultaneously</w:t>
      </w:r>
      <w:r>
        <w:t xml:space="preserve"> </w:t>
      </w:r>
      <w:r>
        <w:t xml:space="preserve">- Independent control categories calculated in parallel</w:t>
      </w:r>
      <w:r>
        <w:t xml:space="preserve"> </w:t>
      </w:r>
      <w:r>
        <w:t xml:space="preserve">- Validation checks run concurrently</w:t>
      </w:r>
    </w:p>
    <w:bookmarkEnd w:id="76"/>
    <w:bookmarkEnd w:id="77"/>
    <w:bookmarkStart w:id="80" w:name="future-enhancements"/>
    <w:p>
      <w:pPr>
        <w:pStyle w:val="Heading3"/>
      </w:pPr>
      <w:r>
        <w:t xml:space="preserve">Future Enhancements</w:t>
      </w:r>
    </w:p>
    <w:bookmarkStart w:id="78" w:name="planned-improvements"/>
    <w:p>
      <w:pPr>
        <w:pStyle w:val="Heading4"/>
      </w:pPr>
      <w:r>
        <w:t xml:space="preserve">Planned Improvements</w:t>
      </w:r>
    </w:p>
    <w:p>
      <w:pPr>
        <w:numPr>
          <w:ilvl w:val="0"/>
          <w:numId w:val="1037"/>
        </w:numPr>
        <w:pStyle w:val="Compact"/>
      </w:pPr>
      <w:r>
        <w:rPr>
          <w:bCs/>
          <w:b/>
        </w:rPr>
        <w:t xml:space="preserve">Dynamic Scaling</w:t>
      </w:r>
      <w:r>
        <w:t xml:space="preserve">: Ability to incorporate new data sources automatically</w:t>
      </w:r>
    </w:p>
    <w:p>
      <w:pPr>
        <w:numPr>
          <w:ilvl w:val="0"/>
          <w:numId w:val="1037"/>
        </w:numPr>
        <w:pStyle w:val="Compact"/>
      </w:pPr>
      <w:r>
        <w:rPr>
          <w:bCs/>
          <w:b/>
        </w:rPr>
        <w:t xml:space="preserve">Machine Learning Integration</w:t>
      </w:r>
      <w:r>
        <w:t xml:space="preserve">: Use ML to improve interpolation accuracy</w:t>
      </w:r>
    </w:p>
    <w:p>
      <w:pPr>
        <w:numPr>
          <w:ilvl w:val="0"/>
          <w:numId w:val="1037"/>
        </w:numPr>
        <w:pStyle w:val="Compact"/>
      </w:pPr>
      <w:r>
        <w:rPr>
          <w:bCs/>
          <w:b/>
        </w:rPr>
        <w:t xml:space="preserve">Real-time Validation</w:t>
      </w:r>
      <w:r>
        <w:t xml:space="preserve">: Continuous quality monitoring during processing</w:t>
      </w:r>
    </w:p>
    <w:p>
      <w:pPr>
        <w:numPr>
          <w:ilvl w:val="0"/>
          <w:numId w:val="1037"/>
        </w:numPr>
        <w:pStyle w:val="Compact"/>
      </w:pPr>
      <w:r>
        <w:rPr>
          <w:bCs/>
          <w:b/>
        </w:rPr>
        <w:t xml:space="preserve">Enhanced Visualization</w:t>
      </w:r>
      <w:r>
        <w:t xml:space="preserve">: Better tools for examining control distributions</w:t>
      </w:r>
    </w:p>
    <w:bookmarkEnd w:id="78"/>
    <w:bookmarkStart w:id="79" w:name="research-opportunities"/>
    <w:p>
      <w:pPr>
        <w:pStyle w:val="Heading4"/>
      </w:pPr>
      <w:r>
        <w:t xml:space="preserve">Research Opportunities</w:t>
      </w:r>
    </w:p>
    <w:p>
      <w:pPr>
        <w:numPr>
          <w:ilvl w:val="0"/>
          <w:numId w:val="1038"/>
        </w:numPr>
        <w:pStyle w:val="Compact"/>
      </w:pPr>
      <w:r>
        <w:rPr>
          <w:bCs/>
          <w:b/>
        </w:rPr>
        <w:t xml:space="preserve">Alternative Scaling Methods</w:t>
      </w:r>
      <w:r>
        <w:t xml:space="preserve">: Explore other approaches to temporal scaling</w:t>
      </w:r>
    </w:p>
    <w:p>
      <w:pPr>
        <w:numPr>
          <w:ilvl w:val="0"/>
          <w:numId w:val="1038"/>
        </w:numPr>
        <w:pStyle w:val="Compact"/>
      </w:pPr>
      <w:r>
        <w:rPr>
          <w:bCs/>
          <w:b/>
        </w:rPr>
        <w:t xml:space="preserve">Uncertainty Quantification</w:t>
      </w:r>
      <w:r>
        <w:t xml:space="preserve">: Better understanding of control accuracy</w:t>
      </w:r>
    </w:p>
    <w:p>
      <w:pPr>
        <w:numPr>
          <w:ilvl w:val="0"/>
          <w:numId w:val="1038"/>
        </w:numPr>
        <w:pStyle w:val="Compact"/>
      </w:pPr>
      <w:r>
        <w:rPr>
          <w:bCs/>
          <w:b/>
        </w:rPr>
        <w:t xml:space="preserve">Behavioral Integration</w:t>
      </w:r>
      <w:r>
        <w:t xml:space="preserve">: Incorporate behavioral data into control generation</w:t>
      </w:r>
    </w:p>
    <w:p>
      <w:r>
        <w:pict>
          <v:rect style="width:0;height:1.5pt" o:hralign="center" o:hrstd="t" o:hr="t"/>
        </w:pict>
      </w:r>
    </w:p>
    <w:bookmarkEnd w:id="79"/>
    <w:bookmarkEnd w:id="80"/>
    <w:bookmarkEnd w:id="81"/>
    <w:bookmarkStart w:id="84" w:name="conclusion"/>
    <w:p>
      <w:pPr>
        <w:pStyle w:val="Heading2"/>
      </w:pPr>
      <w:r>
        <w:t xml:space="preserve">Conclusion</w:t>
      </w:r>
    </w:p>
    <w:p>
      <w:pPr>
        <w:pStyle w:val="FirstParagraph"/>
      </w:pPr>
      <w:r>
        <w:t xml:space="preserve">The Bay Area PopulationSim control generation system represents a sophisticated approach to creating statistical targets for synthetic population generation. By integrating multiple Census data sources, employing advanced geographic processing, and implementing rigorous quality controls, the system produces high-quality controls that accurately reflect the Bay Area’s complex demographic and economic landscape.</w:t>
      </w:r>
    </w:p>
    <w:p>
      <w:pPr>
        <w:pStyle w:val="BodyText"/>
      </w:pPr>
      <w:r>
        <w:t xml:space="preserve">The system’s strength lies in its ability to balance accuracy, currency, and geographic detail while maintaining internal consistency across multiple levels of geography and demographic categories. The innovative county scaling methodology demonstrates how creative approaches can overcome data limitations to produce more accurate models.</w:t>
      </w:r>
    </w:p>
    <w:p>
      <w:pPr>
        <w:pStyle w:val="BodyText"/>
      </w:pPr>
      <w:r>
        <w:t xml:space="preserve">As the Bay Area continues to evolve rapidly, this robust control generation framework provides the foundation for synthetic populations that can accurately represent the region’s diverse communities and support informed planning and policy decisions.</w:t>
      </w:r>
    </w:p>
    <w:p>
      <w:r>
        <w:pict>
          <v:rect style="width:0;height:1.5pt" o:hralign="center" o:hrstd="t" o:hr="t"/>
        </w:pict>
      </w:r>
    </w:p>
    <w:p>
      <w:pPr>
        <w:pStyle w:val="FirstParagraph"/>
      </w:pPr>
      <w:r>
        <w:rPr>
          <w:iCs/>
          <w:i/>
        </w:rPr>
        <w:t xml:space="preserve">For technical details on running the control generation system, see</w:t>
      </w:r>
      <w:r>
        <w:rPr>
          <w:iCs/>
          <w:i/>
        </w:rPr>
        <w:t xml:space="preserve"> </w:t>
      </w:r>
      <w:hyperlink r:id="rId82">
        <w:r>
          <w:rPr>
            <w:rStyle w:val="Hyperlink"/>
            <w:iCs/>
            <w:i/>
          </w:rPr>
          <w:t xml:space="preserve">CONTROL_GENERATION.md</w:t>
        </w:r>
      </w:hyperlink>
      <w:r>
        <w:rPr>
          <w:iCs/>
          <w:i/>
        </w:rPr>
        <w:t xml:space="preserve">. For environment setup, see</w:t>
      </w:r>
      <w:r>
        <w:rPr>
          <w:iCs/>
          <w:i/>
        </w:rPr>
        <w:t xml:space="preserve"> </w:t>
      </w:r>
      <w:hyperlink r:id="rId83">
        <w:r>
          <w:rPr>
            <w:rStyle w:val="Hyperlink"/>
            <w:iCs/>
            <w:i/>
          </w:rPr>
          <w:t xml:space="preserve">ENVIRONMENT_SETUP.md</w:t>
        </w:r>
      </w:hyperlink>
      <w:r>
        <w:rPr>
          <w:iCs/>
          <w:i/>
        </w:rPr>
        <w:t xml:space="preserve">.</w:t>
      </w:r>
    </w:p>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2" Target="CONTROL_GENERATION.md" TargetMode="External" /><Relationship Type="http://schemas.openxmlformats.org/officeDocument/2006/relationships/hyperlink" Id="rId83" Target="ENVIRONMENT_SETUP.md" TargetMode="External" /></Relationships>
</file>

<file path=word/_rels/footnotes.xml.rels><?xml version="1.0" encoding="UTF-8"?><Relationships xmlns="http://schemas.openxmlformats.org/package/2006/relationships"><Relationship Type="http://schemas.openxmlformats.org/officeDocument/2006/relationships/hyperlink" Id="rId82" Target="CONTROL_GENERATION.md" TargetMode="External" /><Relationship Type="http://schemas.openxmlformats.org/officeDocument/2006/relationships/hyperlink" Id="rId83" Target="ENVIRONMENT_SETUP.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2025-10-28T16:42:52Z</dcterms:created>
  <dcterms:modified xsi:type="dcterms:W3CDTF">2025-10-28T16:42:52Z</dcterms:modified>
</cp:coreProperties>
</file>

<file path=docProps/custom.xml><?xml version="1.0" encoding="utf-8"?>
<Properties xmlns="http://schemas.openxmlformats.org/officeDocument/2006/custom-properties" xmlns:vt="http://schemas.openxmlformats.org/officeDocument/2006/docPropsVTypes"/>
</file>