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PopulationSim 2023 County Analysis</w:t>
      </w:r>
    </w:p>
    <w:p>
      <w:pPr>
        <w:jc w:val="center"/>
      </w:pPr>
      <w:r>
        <w:rPr>
          <w:b/>
          <w:sz w:val="32"/>
        </w:rPr>
        <w:t>County-Level Performance and Distribution Analysis</w:t>
      </w:r>
    </w:p>
    <w:p>
      <w:pPr>
        <w:jc w:val="center"/>
      </w:pPr>
      <w:r>
        <w:t>Generated: November 19, 2025</w:t>
      </w:r>
    </w:p>
    <w:p>
      <w:r>
        <w:br/>
        <w:br/>
        <w:br/>
      </w:r>
    </w:p>
    <w:p>
      <w:pPr>
        <w:jc w:val="both"/>
      </w:pPr>
      <w:r>
        <w:t>This report contains county-level performance analysis for the Bay Area 9-county region. Charts show control versus result comparisons, performance metrics, and demographic distributions at the county geography level.</w:t>
      </w:r>
    </w:p>
    <w:p>
      <w:r>
        <w:br w:type="page"/>
      </w:r>
    </w:p>
    <w:p>
      <w:pPr>
        <w:pStyle w:val="Heading1"/>
        <w:jc w:val="center"/>
      </w:pPr>
      <w:r>
        <w:t>County Performance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t>County</w:t>
            </w:r>
          </w:p>
        </w:tc>
        <w:tc>
          <w:tcPr>
            <w:tcW w:type="dxa" w:w="2400"/>
          </w:tcPr>
          <w:p>
            <w:r>
              <w:t>Control Total</w:t>
            </w:r>
          </w:p>
        </w:tc>
        <w:tc>
          <w:tcPr>
            <w:tcW w:type="dxa" w:w="2400"/>
          </w:tcPr>
          <w:p>
            <w:r>
              <w:t>Result Total</w:t>
            </w:r>
          </w:p>
        </w:tc>
        <w:tc>
          <w:tcPr>
            <w:tcW w:type="dxa" w:w="2400"/>
          </w:tcPr>
          <w:p>
            <w:r>
              <w:t>Difference</w:t>
            </w:r>
          </w:p>
        </w:tc>
        <w:tc>
          <w:tcPr>
            <w:tcW w:type="dxa" w:w="2400"/>
          </w:tcPr>
          <w:p>
            <w:r>
              <w:t>Diff %</w:t>
            </w:r>
          </w:p>
        </w:tc>
        <w:tc>
          <w:tcPr>
            <w:tcW w:type="dxa" w:w="2400"/>
          </w:tcPr>
          <w:p>
            <w:r>
              <w:t>MAE</w:t>
            </w:r>
          </w:p>
        </w:tc>
      </w:tr>
      <w:tr>
        <w:tc>
          <w:tcPr>
            <w:tcW w:type="dxa" w:w="2400"/>
          </w:tcPr>
          <w:p>
            <w:r>
              <w:t>San Francisco</w:t>
            </w:r>
          </w:p>
        </w:tc>
        <w:tc>
          <w:tcPr>
            <w:tcW w:type="dxa" w:w="2400"/>
          </w:tcPr>
          <w:p>
            <w:r>
              <w:t>396,119</w:t>
            </w:r>
          </w:p>
        </w:tc>
        <w:tc>
          <w:tcPr>
            <w:tcW w:type="dxa" w:w="2400"/>
          </w:tcPr>
          <w:p>
            <w:r>
              <w:t>395,670</w:t>
            </w:r>
          </w:p>
        </w:tc>
        <w:tc>
          <w:tcPr>
            <w:tcW w:type="dxa" w:w="2400"/>
          </w:tcPr>
          <w:p>
            <w:r>
              <w:t>-449</w:t>
            </w:r>
          </w:p>
        </w:tc>
        <w:tc>
          <w:tcPr>
            <w:tcW w:type="dxa" w:w="2400"/>
          </w:tcPr>
          <w:p>
            <w:r>
              <w:t>-0.113%</w:t>
            </w:r>
          </w:p>
        </w:tc>
        <w:tc>
          <w:tcPr>
            <w:tcW w:type="dxa" w:w="2400"/>
          </w:tcPr>
          <w:p>
            <w:r>
              <w:t>4,128.4</w:t>
            </w:r>
          </w:p>
        </w:tc>
      </w:tr>
      <w:tr>
        <w:tc>
          <w:tcPr>
            <w:tcW w:type="dxa" w:w="2400"/>
          </w:tcPr>
          <w:p>
            <w:r>
              <w:t>San Mateo</w:t>
            </w:r>
          </w:p>
        </w:tc>
        <w:tc>
          <w:tcPr>
            <w:tcW w:type="dxa" w:w="2400"/>
          </w:tcPr>
          <w:p>
            <w:r>
              <w:t>275,368</w:t>
            </w:r>
          </w:p>
        </w:tc>
        <w:tc>
          <w:tcPr>
            <w:tcW w:type="dxa" w:w="2400"/>
          </w:tcPr>
          <w:p>
            <w:r>
              <w:t>275,352</w:t>
            </w:r>
          </w:p>
        </w:tc>
        <w:tc>
          <w:tcPr>
            <w:tcW w:type="dxa" w:w="2400"/>
          </w:tcPr>
          <w:p>
            <w:r>
              <w:t>-16</w:t>
            </w:r>
          </w:p>
        </w:tc>
        <w:tc>
          <w:tcPr>
            <w:tcW w:type="dxa" w:w="2400"/>
          </w:tcPr>
          <w:p>
            <w:r>
              <w:t>-0.006%</w:t>
            </w:r>
          </w:p>
        </w:tc>
        <w:tc>
          <w:tcPr>
            <w:tcW w:type="dxa" w:w="2400"/>
          </w:tcPr>
          <w:p>
            <w:r>
              <w:t>2,719.5</w:t>
            </w:r>
          </w:p>
        </w:tc>
      </w:tr>
      <w:tr>
        <w:tc>
          <w:tcPr>
            <w:tcW w:type="dxa" w:w="2400"/>
          </w:tcPr>
          <w:p>
            <w:r>
              <w:t>Santa Clara</w:t>
            </w:r>
          </w:p>
        </w:tc>
        <w:tc>
          <w:tcPr>
            <w:tcW w:type="dxa" w:w="2400"/>
          </w:tcPr>
          <w:p>
            <w:r>
              <w:t>687,503</w:t>
            </w:r>
          </w:p>
        </w:tc>
        <w:tc>
          <w:tcPr>
            <w:tcW w:type="dxa" w:w="2400"/>
          </w:tcPr>
          <w:p>
            <w:r>
              <w:t>687,199</w:t>
            </w:r>
          </w:p>
        </w:tc>
        <w:tc>
          <w:tcPr>
            <w:tcW w:type="dxa" w:w="2400"/>
          </w:tcPr>
          <w:p>
            <w:r>
              <w:t>-304</w:t>
            </w:r>
          </w:p>
        </w:tc>
        <w:tc>
          <w:tcPr>
            <w:tcW w:type="dxa" w:w="2400"/>
          </w:tcPr>
          <w:p>
            <w:r>
              <w:t>-0.044%</w:t>
            </w:r>
          </w:p>
        </w:tc>
        <w:tc>
          <w:tcPr>
            <w:tcW w:type="dxa" w:w="2400"/>
          </w:tcPr>
          <w:p>
            <w:r>
              <w:t>6,348.5</w:t>
            </w:r>
          </w:p>
        </w:tc>
      </w:tr>
      <w:tr>
        <w:tc>
          <w:tcPr>
            <w:tcW w:type="dxa" w:w="2400"/>
          </w:tcPr>
          <w:p>
            <w:r>
              <w:t>Alameda</w:t>
            </w:r>
          </w:p>
        </w:tc>
        <w:tc>
          <w:tcPr>
            <w:tcW w:type="dxa" w:w="2400"/>
          </w:tcPr>
          <w:p>
            <w:r>
              <w:t>635,505</w:t>
            </w:r>
          </w:p>
        </w:tc>
        <w:tc>
          <w:tcPr>
            <w:tcW w:type="dxa" w:w="2400"/>
          </w:tcPr>
          <w:p>
            <w:r>
              <w:t>634,945</w:t>
            </w:r>
          </w:p>
        </w:tc>
        <w:tc>
          <w:tcPr>
            <w:tcW w:type="dxa" w:w="2400"/>
          </w:tcPr>
          <w:p>
            <w:r>
              <w:t>-560</w:t>
            </w:r>
          </w:p>
        </w:tc>
        <w:tc>
          <w:tcPr>
            <w:tcW w:type="dxa" w:w="2400"/>
          </w:tcPr>
          <w:p>
            <w:r>
              <w:t>-0.088%</w:t>
            </w:r>
          </w:p>
        </w:tc>
        <w:tc>
          <w:tcPr>
            <w:tcW w:type="dxa" w:w="2400"/>
          </w:tcPr>
          <w:p>
            <w:r>
              <w:t>6,520.1</w:t>
            </w:r>
          </w:p>
        </w:tc>
      </w:tr>
      <w:tr>
        <w:tc>
          <w:tcPr>
            <w:tcW w:type="dxa" w:w="2400"/>
          </w:tcPr>
          <w:p>
            <w:r>
              <w:t>Contra Costa</w:t>
            </w:r>
          </w:p>
        </w:tc>
        <w:tc>
          <w:tcPr>
            <w:tcW w:type="dxa" w:w="2400"/>
          </w:tcPr>
          <w:p>
            <w:r>
              <w:t>413,812</w:t>
            </w:r>
          </w:p>
        </w:tc>
        <w:tc>
          <w:tcPr>
            <w:tcW w:type="dxa" w:w="2400"/>
          </w:tcPr>
          <w:p>
            <w:r>
              <w:t>413,706</w:t>
            </w:r>
          </w:p>
        </w:tc>
        <w:tc>
          <w:tcPr>
            <w:tcW w:type="dxa" w:w="2400"/>
          </w:tcPr>
          <w:p>
            <w:r>
              <w:t>-106</w:t>
            </w:r>
          </w:p>
        </w:tc>
        <w:tc>
          <w:tcPr>
            <w:tcW w:type="dxa" w:w="2400"/>
          </w:tcPr>
          <w:p>
            <w:r>
              <w:t>-0.026%</w:t>
            </w:r>
          </w:p>
        </w:tc>
        <w:tc>
          <w:tcPr>
            <w:tcW w:type="dxa" w:w="2400"/>
          </w:tcPr>
          <w:p>
            <w:r>
              <w:t>4,276.8</w:t>
            </w:r>
          </w:p>
        </w:tc>
      </w:tr>
      <w:tr>
        <w:tc>
          <w:tcPr>
            <w:tcW w:type="dxa" w:w="2400"/>
          </w:tcPr>
          <w:p>
            <w:r>
              <w:t>Solano</w:t>
            </w:r>
          </w:p>
        </w:tc>
        <w:tc>
          <w:tcPr>
            <w:tcW w:type="dxa" w:w="2400"/>
          </w:tcPr>
          <w:p>
            <w:r>
              <w:t>158,312</w:t>
            </w:r>
          </w:p>
        </w:tc>
        <w:tc>
          <w:tcPr>
            <w:tcW w:type="dxa" w:w="2400"/>
          </w:tcPr>
          <w:p>
            <w:r>
              <w:t>158,276</w:t>
            </w:r>
          </w:p>
        </w:tc>
        <w:tc>
          <w:tcPr>
            <w:tcW w:type="dxa" w:w="2400"/>
          </w:tcPr>
          <w:p>
            <w:r>
              <w:t>-36</w:t>
            </w:r>
          </w:p>
        </w:tc>
        <w:tc>
          <w:tcPr>
            <w:tcW w:type="dxa" w:w="2400"/>
          </w:tcPr>
          <w:p>
            <w:r>
              <w:t>-0.022%</w:t>
            </w:r>
          </w:p>
        </w:tc>
        <w:tc>
          <w:tcPr>
            <w:tcW w:type="dxa" w:w="2400"/>
          </w:tcPr>
          <w:p>
            <w:r>
              <w:t>1,337.0</w:t>
            </w:r>
          </w:p>
        </w:tc>
      </w:tr>
      <w:tr>
        <w:tc>
          <w:tcPr>
            <w:tcW w:type="dxa" w:w="2400"/>
          </w:tcPr>
          <w:p>
            <w:r>
              <w:t>Napa</w:t>
            </w:r>
          </w:p>
        </w:tc>
        <w:tc>
          <w:tcPr>
            <w:tcW w:type="dxa" w:w="2400"/>
          </w:tcPr>
          <w:p>
            <w:r>
              <w:t>52,721</w:t>
            </w:r>
          </w:p>
        </w:tc>
        <w:tc>
          <w:tcPr>
            <w:tcW w:type="dxa" w:w="2400"/>
          </w:tcPr>
          <w:p>
            <w:r>
              <w:t>52,718</w:t>
            </w:r>
          </w:p>
        </w:tc>
        <w:tc>
          <w:tcPr>
            <w:tcW w:type="dxa" w:w="2400"/>
          </w:tcPr>
          <w:p>
            <w:r>
              <w:t>-3</w:t>
            </w:r>
          </w:p>
        </w:tc>
        <w:tc>
          <w:tcPr>
            <w:tcW w:type="dxa" w:w="2400"/>
          </w:tcPr>
          <w:p>
            <w:r>
              <w:t>-0.006%</w:t>
            </w:r>
          </w:p>
        </w:tc>
        <w:tc>
          <w:tcPr>
            <w:tcW w:type="dxa" w:w="2400"/>
          </w:tcPr>
          <w:p>
            <w:r>
              <w:t>344.7</w:t>
            </w:r>
          </w:p>
        </w:tc>
      </w:tr>
      <w:tr>
        <w:tc>
          <w:tcPr>
            <w:tcW w:type="dxa" w:w="2400"/>
          </w:tcPr>
          <w:p>
            <w:r>
              <w:t>Sonoma</w:t>
            </w:r>
          </w:p>
        </w:tc>
        <w:tc>
          <w:tcPr>
            <w:tcW w:type="dxa" w:w="2400"/>
          </w:tcPr>
          <w:p>
            <w:r>
              <w:t>193,977</w:t>
            </w:r>
          </w:p>
        </w:tc>
        <w:tc>
          <w:tcPr>
            <w:tcW w:type="dxa" w:w="2400"/>
          </w:tcPr>
          <w:p>
            <w:r>
              <w:t>194,051</w:t>
            </w:r>
          </w:p>
        </w:tc>
        <w:tc>
          <w:tcPr>
            <w:tcW w:type="dxa" w:w="2400"/>
          </w:tcPr>
          <w:p>
            <w:r>
              <w:t>74</w:t>
            </w:r>
          </w:p>
        </w:tc>
        <w:tc>
          <w:tcPr>
            <w:tcW w:type="dxa" w:w="2400"/>
          </w:tcPr>
          <w:p>
            <w:r>
              <w:t>0.038%</w:t>
            </w:r>
          </w:p>
        </w:tc>
        <w:tc>
          <w:tcPr>
            <w:tcW w:type="dxa" w:w="2400"/>
          </w:tcPr>
          <w:p>
            <w:r>
              <w:t>1,677.1</w:t>
            </w:r>
          </w:p>
        </w:tc>
      </w:tr>
      <w:tr>
        <w:tc>
          <w:tcPr>
            <w:tcW w:type="dxa" w:w="2400"/>
          </w:tcPr>
          <w:p>
            <w:r>
              <w:t>Marin</w:t>
            </w:r>
          </w:p>
        </w:tc>
        <w:tc>
          <w:tcPr>
            <w:tcW w:type="dxa" w:w="2400"/>
          </w:tcPr>
          <w:p>
            <w:r>
              <w:t>106,933</w:t>
            </w:r>
          </w:p>
        </w:tc>
        <w:tc>
          <w:tcPr>
            <w:tcW w:type="dxa" w:w="2400"/>
          </w:tcPr>
          <w:p>
            <w:r>
              <w:t>106,762</w:t>
            </w:r>
          </w:p>
        </w:tc>
        <w:tc>
          <w:tcPr>
            <w:tcW w:type="dxa" w:w="2400"/>
          </w:tcPr>
          <w:p>
            <w:r>
              <w:t>-171</w:t>
            </w:r>
          </w:p>
        </w:tc>
        <w:tc>
          <w:tcPr>
            <w:tcW w:type="dxa" w:w="2400"/>
          </w:tcPr>
          <w:p>
            <w:r>
              <w:t>-0.160%</w:t>
            </w:r>
          </w:p>
        </w:tc>
        <w:tc>
          <w:tcPr>
            <w:tcW w:type="dxa" w:w="2400"/>
          </w:tcPr>
          <w:p>
            <w:r>
              <w:t>1,000.7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Performance Overview</w:t>
      </w:r>
    </w:p>
    <w:p>
      <w:pPr>
        <w:pStyle w:val="Heading2"/>
        <w:jc w:val="center"/>
      </w:pPr>
      <w:r>
        <w:t>Performance Overview</w:t>
      </w:r>
    </w:p>
    <w:p>
      <w:r>
        <w:drawing>
          <wp:inline xmlns:a="http://schemas.openxmlformats.org/drawingml/2006/main" xmlns:pic="http://schemas.openxmlformats.org/drawingml/2006/picture">
            <wp:extent cx="8686800" cy="247580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y_performanc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24758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Variable Heatmap</w:t>
      </w:r>
    </w:p>
    <w:p>
      <w:r>
        <w:drawing>
          <wp:inline xmlns:a="http://schemas.openxmlformats.org/drawingml/2006/main" xmlns:pic="http://schemas.openxmlformats.org/drawingml/2006/picture">
            <wp:extent cx="8686800" cy="5194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y_variable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194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Demographic Analysis</w:t>
      </w:r>
    </w:p>
    <w:p>
      <w:pPr>
        <w:pStyle w:val="Heading2"/>
        <w:jc w:val="center"/>
      </w:pPr>
      <w:r>
        <w:t>Household Size</w:t>
      </w:r>
    </w:p>
    <w:p>
      <w:r>
        <w:drawing>
          <wp:inline xmlns:a="http://schemas.openxmlformats.org/drawingml/2006/main" xmlns:pic="http://schemas.openxmlformats.org/drawingml/2006/picture">
            <wp:extent cx="8686800" cy="47835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y_household_size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783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Workers</w:t>
      </w:r>
    </w:p>
    <w:p>
      <w:r>
        <w:drawing>
          <wp:inline xmlns:a="http://schemas.openxmlformats.org/drawingml/2006/main" xmlns:pic="http://schemas.openxmlformats.org/drawingml/2006/picture">
            <wp:extent cx="8686800" cy="47835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y_workers_analy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783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Income</w:t>
      </w:r>
    </w:p>
    <w:p>
      <w:r>
        <w:drawing>
          <wp:inline xmlns:a="http://schemas.openxmlformats.org/drawingml/2006/main" xmlns:pic="http://schemas.openxmlformats.org/drawingml/2006/picture">
            <wp:extent cx="8686800" cy="71624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y_income_analy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7162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Detailed Variables</w:t>
      </w:r>
    </w:p>
    <w:p>
      <w:pPr>
        <w:pStyle w:val="Heading2"/>
        <w:jc w:val="center"/>
      </w:pPr>
      <w:r>
        <w:t>Age Groups</w:t>
      </w:r>
    </w:p>
    <w:p>
      <w:r>
        <w:drawing>
          <wp:inline xmlns:a="http://schemas.openxmlformats.org/drawingml/2006/main" xmlns:pic="http://schemas.openxmlformats.org/drawingml/2006/picture">
            <wp:extent cx="8686800" cy="47835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y_age_groups_analy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783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Group Quarters</w:t>
      </w:r>
    </w:p>
    <w:p>
      <w:r>
        <w:drawing>
          <wp:inline xmlns:a="http://schemas.openxmlformats.org/drawingml/2006/main" xmlns:pic="http://schemas.openxmlformats.org/drawingml/2006/picture">
            <wp:extent cx="8686800" cy="24047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y_group_quarters_analys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24047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