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0A6" w:rsidRDefault="006720A6" w:rsidP="006720A6">
      <w:pPr>
        <w:pStyle w:val="CommentText"/>
        <w:rPr>
          <w:sz w:val="32"/>
        </w:rPr>
      </w:pPr>
      <w:r>
        <w:rPr>
          <w:noProof/>
        </w:rPr>
        <mc:AlternateContent>
          <mc:Choice Requires="wps">
            <w:drawing>
              <wp:anchor distT="0" distB="0" distL="114300" distR="114300" simplePos="0" relativeHeight="251661312" behindDoc="0" locked="0" layoutInCell="1" allowOverlap="1" wp14:anchorId="130A3404" wp14:editId="28B2AD5C">
                <wp:simplePos x="0" y="0"/>
                <wp:positionH relativeFrom="column">
                  <wp:posOffset>6009640</wp:posOffset>
                </wp:positionH>
                <wp:positionV relativeFrom="paragraph">
                  <wp:posOffset>-363855</wp:posOffset>
                </wp:positionV>
                <wp:extent cx="609600" cy="5334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461C" w:rsidRPr="009B31AD" w:rsidRDefault="0066461C" w:rsidP="006720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0A3404" id="_x0000_t202" coordsize="21600,21600" o:spt="202" path="m,l,21600r21600,l21600,xe">
                <v:stroke joinstyle="miter"/>
                <v:path gradientshapeok="t" o:connecttype="rect"/>
              </v:shapetype>
              <v:shape id="Text Box 3" o:spid="_x0000_s1026" type="#_x0000_t202" style="position:absolute;margin-left:473.2pt;margin-top:-28.65pt;width:48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sEhsgIAALg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" filled="f" stroked="f">
                <v:textbox>
                  <w:txbxContent>
                    <w:p w:rsidR="0066461C" w:rsidRPr="009B31AD" w:rsidRDefault="0066461C" w:rsidP="006720A6"/>
                  </w:txbxContent>
                </v:textbox>
              </v:shape>
            </w:pict>
          </mc:Fallback>
        </mc:AlternateContent>
      </w:r>
      <w:r>
        <w:rPr>
          <w:noProof/>
        </w:rPr>
        <mc:AlternateContent>
          <mc:Choice Requires="wps">
            <w:drawing>
              <wp:anchor distT="0" distB="0" distL="114300" distR="114300" simplePos="0" relativeHeight="251659264" behindDoc="0" locked="0" layoutInCell="0" allowOverlap="1" wp14:anchorId="30B6A07F" wp14:editId="6937E7E6">
                <wp:simplePos x="0" y="0"/>
                <wp:positionH relativeFrom="column">
                  <wp:posOffset>6185535</wp:posOffset>
                </wp:positionH>
                <wp:positionV relativeFrom="paragraph">
                  <wp:posOffset>-600710</wp:posOffset>
                </wp:positionV>
                <wp:extent cx="457200" cy="27559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7559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66461C" w:rsidRDefault="0066461C" w:rsidP="006720A6">
                            <w:pPr>
                              <w:jc w:val="center"/>
                            </w:pPr>
                            <w:r>
                              <w:t>2b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B6A07F" id="Rectangle 4" o:spid="_x0000_s1027" style="position:absolute;margin-left:487.05pt;margin-top:-47.3pt;width:36pt;height:2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" o:allowincell="f" stroked="f" strokeweight="0">
                <v:textbox inset="0,0,0,0">
                  <w:txbxContent>
                    <w:p w:rsidR="0066461C" w:rsidRDefault="0066461C" w:rsidP="006720A6">
                      <w:pPr>
                        <w:jc w:val="center"/>
                      </w:pPr>
                      <w:r>
                        <w:t>2b</w:t>
                      </w:r>
                    </w:p>
                  </w:txbxContent>
                </v:textbox>
              </v:rect>
            </w:pict>
          </mc:Fallback>
        </mc:AlternateContent>
      </w:r>
      <w:r>
        <w:rPr>
          <w:noProof/>
        </w:rPr>
        <mc:AlternateContent>
          <mc:Choice Requires="wps">
            <w:drawing>
              <wp:anchor distT="0" distB="0" distL="114300" distR="114300" simplePos="0" relativeHeight="251660288" behindDoc="0" locked="0" layoutInCell="0" allowOverlap="1" wp14:anchorId="20C85280" wp14:editId="4011BA36">
                <wp:simplePos x="0" y="0"/>
                <wp:positionH relativeFrom="column">
                  <wp:posOffset>6185535</wp:posOffset>
                </wp:positionH>
                <wp:positionV relativeFrom="paragraph">
                  <wp:posOffset>-600710</wp:posOffset>
                </wp:positionV>
                <wp:extent cx="457200" cy="275590"/>
                <wp:effectExtent l="0"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7559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66461C" w:rsidRDefault="0066461C" w:rsidP="006720A6">
                            <w:pPr>
                              <w:jc w:val="center"/>
                            </w:pPr>
                            <w:r>
                              <w:t>2b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85280" id="Rectangle 5" o:spid="_x0000_s1028" style="position:absolute;margin-left:487.05pt;margin-top:-47.3pt;width:36pt;height:2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" o:allowincell="f" stroked="f" strokeweight="0">
                <v:textbox inset="0,0,0,0">
                  <w:txbxContent>
                    <w:p w:rsidR="0066461C" w:rsidRDefault="0066461C" w:rsidP="006720A6">
                      <w:pPr>
                        <w:jc w:val="center"/>
                      </w:pPr>
                      <w:r>
                        <w:t>2b</w:t>
                      </w:r>
                    </w:p>
                  </w:txbxContent>
                </v:textbox>
              </v:rect>
            </w:pict>
          </mc:Fallback>
        </mc:AlternateContent>
      </w:r>
      <w:r w:rsidR="005B359E">
        <w:rPr>
          <w:noProof/>
          <w:sz w:val="32"/>
        </w:rPr>
        <w:drawing>
          <wp:inline distT="0" distB="0" distL="0" distR="0" wp14:anchorId="03218EED" wp14:editId="3974BD64">
            <wp:extent cx="6223635" cy="17782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TC-memo-head-375-Bea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82409" cy="1795088"/>
                    </a:xfrm>
                    <a:prstGeom prst="rect">
                      <a:avLst/>
                    </a:prstGeom>
                  </pic:spPr>
                </pic:pic>
              </a:graphicData>
            </a:graphic>
          </wp:inline>
        </w:drawing>
      </w:r>
    </w:p>
    <w:tbl>
      <w:tblPr>
        <w:tblW w:w="9810" w:type="dxa"/>
        <w:tblLayout w:type="fixed"/>
        <w:tblCellMar>
          <w:left w:w="80" w:type="dxa"/>
          <w:right w:w="80" w:type="dxa"/>
        </w:tblCellMar>
        <w:tblLook w:val="0000" w:firstRow="0" w:lastRow="0" w:firstColumn="0" w:lastColumn="0" w:noHBand="0" w:noVBand="0"/>
      </w:tblPr>
      <w:tblGrid>
        <w:gridCol w:w="450"/>
        <w:gridCol w:w="6169"/>
        <w:gridCol w:w="1068"/>
        <w:gridCol w:w="2123"/>
      </w:tblGrid>
      <w:tr w:rsidR="006720A6" w:rsidTr="007E0C27">
        <w:trPr>
          <w:trHeight w:val="360"/>
        </w:trPr>
        <w:tc>
          <w:tcPr>
            <w:tcW w:w="450" w:type="dxa"/>
            <w:tcBorders>
              <w:top w:val="nil"/>
              <w:left w:val="nil"/>
              <w:bottom w:val="nil"/>
              <w:right w:val="nil"/>
            </w:tcBorders>
          </w:tcPr>
          <w:p w:rsidR="006720A6" w:rsidRDefault="006720A6" w:rsidP="007E0C27">
            <w:pPr>
              <w:spacing w:line="480" w:lineRule="atLeast"/>
              <w:ind w:left="-180"/>
              <w:jc w:val="right"/>
            </w:pPr>
            <w:r>
              <w:t>TO:</w:t>
            </w:r>
          </w:p>
        </w:tc>
        <w:tc>
          <w:tcPr>
            <w:tcW w:w="6169" w:type="dxa"/>
            <w:tcBorders>
              <w:top w:val="nil"/>
              <w:left w:val="nil"/>
              <w:bottom w:val="nil"/>
              <w:right w:val="nil"/>
            </w:tcBorders>
          </w:tcPr>
          <w:p w:rsidR="006720A6" w:rsidRDefault="005208FD" w:rsidP="00267876">
            <w:pPr>
              <w:spacing w:line="480" w:lineRule="atLeast"/>
              <w:ind w:right="425"/>
            </w:pPr>
            <w:r>
              <w:t>File</w:t>
            </w:r>
          </w:p>
        </w:tc>
        <w:tc>
          <w:tcPr>
            <w:tcW w:w="1068" w:type="dxa"/>
            <w:tcBorders>
              <w:top w:val="nil"/>
              <w:left w:val="nil"/>
              <w:bottom w:val="nil"/>
              <w:right w:val="nil"/>
            </w:tcBorders>
          </w:tcPr>
          <w:p w:rsidR="006720A6" w:rsidRDefault="006720A6" w:rsidP="007E0C27">
            <w:pPr>
              <w:spacing w:after="60" w:line="480" w:lineRule="atLeast"/>
              <w:ind w:left="-225"/>
              <w:jc w:val="right"/>
            </w:pPr>
            <w:r>
              <w:t>DATE:</w:t>
            </w:r>
          </w:p>
        </w:tc>
        <w:tc>
          <w:tcPr>
            <w:tcW w:w="2123" w:type="dxa"/>
            <w:tcBorders>
              <w:top w:val="nil"/>
              <w:left w:val="nil"/>
              <w:bottom w:val="nil"/>
              <w:right w:val="nil"/>
            </w:tcBorders>
          </w:tcPr>
          <w:p w:rsidR="006720A6" w:rsidRDefault="00F37F46" w:rsidP="00DC56A5">
            <w:pPr>
              <w:spacing w:after="60" w:line="480" w:lineRule="atLeast"/>
              <w:ind w:right="170"/>
            </w:pPr>
            <w:r>
              <w:t>July 16</w:t>
            </w:r>
            <w:bookmarkStart w:id="0" w:name="_GoBack"/>
            <w:bookmarkEnd w:id="0"/>
            <w:r w:rsidR="00DC56A5">
              <w:t>, 2020</w:t>
            </w:r>
          </w:p>
        </w:tc>
      </w:tr>
      <w:tr w:rsidR="006720A6" w:rsidTr="007E0C27">
        <w:trPr>
          <w:trHeight w:val="360"/>
        </w:trPr>
        <w:tc>
          <w:tcPr>
            <w:tcW w:w="450" w:type="dxa"/>
            <w:tcBorders>
              <w:top w:val="nil"/>
              <w:left w:val="nil"/>
              <w:bottom w:val="nil"/>
              <w:right w:val="nil"/>
            </w:tcBorders>
          </w:tcPr>
          <w:p w:rsidR="006720A6" w:rsidRDefault="006720A6" w:rsidP="007E0C27">
            <w:pPr>
              <w:spacing w:line="480" w:lineRule="atLeast"/>
              <w:ind w:left="-180"/>
              <w:jc w:val="right"/>
            </w:pPr>
            <w:r>
              <w:t>FR:</w:t>
            </w:r>
          </w:p>
        </w:tc>
        <w:tc>
          <w:tcPr>
            <w:tcW w:w="6169" w:type="dxa"/>
            <w:tcBorders>
              <w:top w:val="nil"/>
              <w:left w:val="nil"/>
              <w:bottom w:val="nil"/>
              <w:right w:val="nil"/>
            </w:tcBorders>
          </w:tcPr>
          <w:p w:rsidR="006720A6" w:rsidRDefault="00751BA0" w:rsidP="007E0C27">
            <w:pPr>
              <w:spacing w:after="60" w:line="480" w:lineRule="atLeast"/>
              <w:ind w:right="425" w:firstLine="10"/>
            </w:pPr>
            <w:r>
              <w:t>Shimon Israel</w:t>
            </w:r>
            <w:r w:rsidR="008659F2">
              <w:t xml:space="preserve"> and Elizabeth Theocharides</w:t>
            </w:r>
          </w:p>
        </w:tc>
        <w:tc>
          <w:tcPr>
            <w:tcW w:w="1068" w:type="dxa"/>
            <w:tcBorders>
              <w:top w:val="nil"/>
              <w:left w:val="nil"/>
              <w:bottom w:val="nil"/>
              <w:right w:val="nil"/>
            </w:tcBorders>
          </w:tcPr>
          <w:p w:rsidR="006720A6" w:rsidRDefault="006720A6" w:rsidP="007E0C27">
            <w:pPr>
              <w:spacing w:after="60" w:line="480" w:lineRule="atLeast"/>
              <w:ind w:left="-225"/>
              <w:jc w:val="right"/>
            </w:pPr>
          </w:p>
        </w:tc>
        <w:tc>
          <w:tcPr>
            <w:tcW w:w="2123" w:type="dxa"/>
            <w:tcBorders>
              <w:top w:val="nil"/>
              <w:left w:val="nil"/>
              <w:bottom w:val="nil"/>
              <w:right w:val="nil"/>
            </w:tcBorders>
          </w:tcPr>
          <w:p w:rsidR="006720A6" w:rsidRDefault="005E58F0" w:rsidP="007E0C27">
            <w:pPr>
              <w:spacing w:after="60" w:line="480" w:lineRule="atLeast"/>
              <w:ind w:left="10" w:right="170"/>
            </w:pPr>
            <w:r>
              <w:t>W.I. 1122</w:t>
            </w:r>
          </w:p>
        </w:tc>
      </w:tr>
      <w:tr w:rsidR="006720A6" w:rsidTr="007E0C27">
        <w:trPr>
          <w:trHeight w:val="360"/>
        </w:trPr>
        <w:tc>
          <w:tcPr>
            <w:tcW w:w="450" w:type="dxa"/>
            <w:tcBorders>
              <w:top w:val="nil"/>
              <w:left w:val="nil"/>
              <w:bottom w:val="nil"/>
              <w:right w:val="nil"/>
            </w:tcBorders>
          </w:tcPr>
          <w:p w:rsidR="006720A6" w:rsidRDefault="006720A6" w:rsidP="007E0C27">
            <w:pPr>
              <w:spacing w:after="240" w:line="480" w:lineRule="atLeast"/>
              <w:ind w:left="-180"/>
              <w:jc w:val="right"/>
            </w:pPr>
            <w:r>
              <w:t>RE:</w:t>
            </w:r>
          </w:p>
        </w:tc>
        <w:tc>
          <w:tcPr>
            <w:tcW w:w="9360" w:type="dxa"/>
            <w:gridSpan w:val="3"/>
            <w:tcBorders>
              <w:top w:val="nil"/>
              <w:left w:val="nil"/>
              <w:bottom w:val="nil"/>
              <w:right w:val="nil"/>
            </w:tcBorders>
          </w:tcPr>
          <w:p w:rsidR="006720A6" w:rsidRDefault="002F49DC" w:rsidP="00610BDF">
            <w:pPr>
              <w:pStyle w:val="Heading4"/>
              <w:spacing w:after="240"/>
            </w:pPr>
            <w:r>
              <w:t xml:space="preserve">2015 </w:t>
            </w:r>
            <w:r w:rsidR="005208FD" w:rsidRPr="005208FD">
              <w:t xml:space="preserve">TM 1.5 TAZ 1454 </w:t>
            </w:r>
            <w:r w:rsidR="005208FD">
              <w:t>Land Use Documentation</w:t>
            </w:r>
          </w:p>
        </w:tc>
      </w:tr>
      <w:tr w:rsidR="006720A6" w:rsidTr="007E0C27">
        <w:trPr>
          <w:trHeight w:val="360"/>
        </w:trPr>
        <w:tc>
          <w:tcPr>
            <w:tcW w:w="450" w:type="dxa"/>
            <w:tcBorders>
              <w:top w:val="nil"/>
              <w:left w:val="nil"/>
              <w:bottom w:val="nil"/>
              <w:right w:val="nil"/>
            </w:tcBorders>
          </w:tcPr>
          <w:p w:rsidR="006720A6" w:rsidRDefault="006720A6" w:rsidP="007E0C27">
            <w:pPr>
              <w:spacing w:after="240" w:line="480" w:lineRule="atLeast"/>
              <w:ind w:left="-180"/>
              <w:jc w:val="right"/>
            </w:pPr>
          </w:p>
        </w:tc>
        <w:tc>
          <w:tcPr>
            <w:tcW w:w="9360" w:type="dxa"/>
            <w:gridSpan w:val="3"/>
            <w:tcBorders>
              <w:top w:val="nil"/>
              <w:left w:val="nil"/>
              <w:bottom w:val="nil"/>
              <w:right w:val="nil"/>
            </w:tcBorders>
          </w:tcPr>
          <w:p w:rsidR="000A0E8F" w:rsidRDefault="000A0E8F" w:rsidP="00F82EF2">
            <w:pPr>
              <w:pStyle w:val="BodyText"/>
              <w:rPr>
                <w:color w:val="auto"/>
              </w:rPr>
            </w:pPr>
          </w:p>
          <w:p w:rsidR="00DC1DBD" w:rsidRDefault="00FE690D" w:rsidP="00FE690D">
            <w:r>
              <w:t xml:space="preserve">This memorandum documents the process for </w:t>
            </w:r>
            <w:r w:rsidR="008A1328">
              <w:t>creating the Travel Model 1.5</w:t>
            </w:r>
            <w:r w:rsidR="007001E2">
              <w:t xml:space="preserve"> TAZ Land Use data</w:t>
            </w:r>
            <w:r w:rsidR="006A08EE">
              <w:t xml:space="preserve"> for the 2015 base year. Data are</w:t>
            </w:r>
            <w:r w:rsidR="0066461C">
              <w:t xml:space="preserve"> collected, </w:t>
            </w:r>
            <w:r w:rsidR="007001E2">
              <w:t>aggregated</w:t>
            </w:r>
            <w:r w:rsidR="0066461C">
              <w:t>, and manipulated</w:t>
            </w:r>
            <w:r w:rsidR="007001E2">
              <w:t xml:space="preserve"> via the R script “</w:t>
            </w:r>
            <w:r w:rsidR="007001E2" w:rsidRPr="007001E2">
              <w:t>ACS 2013-2017 create TAZ data for 2015.R</w:t>
            </w:r>
            <w:r w:rsidR="007001E2">
              <w:t xml:space="preserve">.” </w:t>
            </w:r>
            <w:r w:rsidR="00F96AF8">
              <w:t xml:space="preserve">Where data </w:t>
            </w:r>
            <w:r w:rsidR="002E0BF3">
              <w:t>are</w:t>
            </w:r>
            <w:r w:rsidR="00F96AF8">
              <w:t xml:space="preserve"> available</w:t>
            </w:r>
            <w:r w:rsidR="00327EEA">
              <w:t xml:space="preserve"> from the Decennial Census and the American Community Survey (ACS)</w:t>
            </w:r>
            <w:r w:rsidR="00F96AF8">
              <w:t>,</w:t>
            </w:r>
            <w:r w:rsidR="00A96C2E">
              <w:t xml:space="preserve"> </w:t>
            </w:r>
            <w:r w:rsidR="00591DB0">
              <w:t xml:space="preserve">they are compiled from </w:t>
            </w:r>
            <w:r w:rsidR="00AA666B">
              <w:t xml:space="preserve">Census </w:t>
            </w:r>
            <w:r w:rsidR="00591DB0">
              <w:t>2010</w:t>
            </w:r>
            <w:r w:rsidR="00AA666B">
              <w:t>,</w:t>
            </w:r>
            <w:r w:rsidR="000C0197">
              <w:t xml:space="preserve"> </w:t>
            </w:r>
            <w:r w:rsidR="00591DB0">
              <w:t>ACS 2013-2017</w:t>
            </w:r>
            <w:r w:rsidR="000C0197">
              <w:t>, and the ACS 2013-2017 Public Use Microdata Sample (PUMS)</w:t>
            </w:r>
            <w:r w:rsidR="00F96AF8">
              <w:t>.</w:t>
            </w:r>
            <w:r w:rsidR="00A96C2E">
              <w:t xml:space="preserve"> </w:t>
            </w:r>
            <w:r w:rsidR="00591DB0">
              <w:t>In other case</w:t>
            </w:r>
            <w:r w:rsidR="0066461C">
              <w:t>s</w:t>
            </w:r>
            <w:r w:rsidR="00591DB0">
              <w:t xml:space="preserve">, </w:t>
            </w:r>
            <w:r w:rsidR="00F96AF8">
              <w:t>variables were carried forward from previous Plan Bay Area 20</w:t>
            </w:r>
            <w:r w:rsidR="0066461C">
              <w:t>40 land use datasets, and other variables</w:t>
            </w:r>
            <w:r w:rsidR="00F96AF8">
              <w:t xml:space="preserve"> were derived from </w:t>
            </w:r>
            <w:r w:rsidR="000C0197">
              <w:t xml:space="preserve">yet </w:t>
            </w:r>
            <w:r w:rsidR="00F96AF8">
              <w:t xml:space="preserve">other datasets, as </w:t>
            </w:r>
            <w:r w:rsidR="003C32AF">
              <w:t xml:space="preserve">is </w:t>
            </w:r>
            <w:r w:rsidR="00F96AF8">
              <w:t xml:space="preserve">documented in </w:t>
            </w:r>
            <w:r w:rsidR="0091499B">
              <w:t>the “</w:t>
            </w:r>
            <w:r w:rsidR="0091499B" w:rsidRPr="0091499B">
              <w:t>TAZ1454 2015 Land Use.xlsx</w:t>
            </w:r>
            <w:r w:rsidR="0091499B">
              <w:t>” document</w:t>
            </w:r>
            <w:r w:rsidR="0066461C">
              <w:t xml:space="preserve"> in the main </w:t>
            </w:r>
            <w:proofErr w:type="spellStart"/>
            <w:r w:rsidR="0066461C">
              <w:t>Petrale</w:t>
            </w:r>
            <w:proofErr w:type="spellEnd"/>
            <w:r w:rsidR="0066461C">
              <w:t xml:space="preserve"> GitHub folder</w:t>
            </w:r>
            <w:r w:rsidR="00F96AF8">
              <w:t>.</w:t>
            </w:r>
            <w:r w:rsidR="00591DB0">
              <w:t xml:space="preserve"> Comprehensive documentation comes from this memo, the “Data Sources” sheet in “</w:t>
            </w:r>
            <w:r w:rsidR="00591DB0" w:rsidRPr="0091499B">
              <w:t>TAZ1454 2015 Land Use.xlsx</w:t>
            </w:r>
            <w:r w:rsidR="00591DB0">
              <w:t>”, and the R script “</w:t>
            </w:r>
            <w:r w:rsidR="00591DB0" w:rsidRPr="007001E2">
              <w:t>ACS 2013-2017 create TAZ data for 2015.R</w:t>
            </w:r>
            <w:r w:rsidR="00591DB0">
              <w:t>.”</w:t>
            </w:r>
            <w:r w:rsidR="00A05926">
              <w:t xml:space="preserve"> Additionally, links to other scripts that produced data for this work, most notably PUMS scripts, are provided within this document. </w:t>
            </w:r>
          </w:p>
          <w:p w:rsidR="007F43A9" w:rsidRDefault="007F43A9" w:rsidP="007F43A9">
            <w:pPr>
              <w:pStyle w:val="Heading1"/>
            </w:pPr>
            <w:r>
              <w:t>General Approach for Census- and ACS-Derived Variables</w:t>
            </w:r>
          </w:p>
          <w:p w:rsidR="00DC1DBD" w:rsidRDefault="00DC1DBD" w:rsidP="00FE690D"/>
          <w:p w:rsidR="003C32AF" w:rsidRDefault="00DC1DBD" w:rsidP="00FE690D">
            <w:r>
              <w:t xml:space="preserve">For </w:t>
            </w:r>
            <w:r w:rsidR="00FE4C3B">
              <w:t>census/</w:t>
            </w:r>
            <w:r>
              <w:t xml:space="preserve">ACS-derived variables, </w:t>
            </w:r>
            <w:r w:rsidR="003C32AF">
              <w:t>block</w:t>
            </w:r>
            <w:r w:rsidR="00FE4C3B">
              <w:t>-</w:t>
            </w:r>
            <w:r w:rsidR="003C32AF">
              <w:t xml:space="preserve"> </w:t>
            </w:r>
            <w:r w:rsidR="00FE4C3B">
              <w:t xml:space="preserve">and block </w:t>
            </w:r>
            <w:r w:rsidR="003C32AF">
              <w:t>group-level data were used when available (</w:t>
            </w:r>
            <w:r w:rsidR="00591DB0">
              <w:t xml:space="preserve">i.e., </w:t>
            </w:r>
            <w:r w:rsidR="003C32AF">
              <w:t>not suppress</w:t>
            </w:r>
            <w:r w:rsidR="002E0BF3">
              <w:t xml:space="preserve">ed by the Census Bureau) and tract-level data otherwise. A </w:t>
            </w:r>
            <w:r w:rsidR="00703910">
              <w:t xml:space="preserve">Census </w:t>
            </w:r>
            <w:r w:rsidR="002E0BF3">
              <w:t>block/</w:t>
            </w:r>
            <w:r w:rsidR="00703910">
              <w:t xml:space="preserve">MTC </w:t>
            </w:r>
            <w:r w:rsidR="002E0BF3">
              <w:t>TAZ</w:t>
            </w:r>
            <w:r w:rsidR="008B70A9">
              <w:t xml:space="preserve"> 1454</w:t>
            </w:r>
            <w:r w:rsidR="002E0BF3">
              <w:t xml:space="preserve"> equivalency </w:t>
            </w:r>
            <w:r w:rsidR="00703910">
              <w:t xml:space="preserve">file </w:t>
            </w:r>
            <w:r w:rsidR="002E0BF3">
              <w:t xml:space="preserve">was </w:t>
            </w:r>
            <w:r w:rsidR="00AA666B">
              <w:t xml:space="preserve">created </w:t>
            </w:r>
            <w:r w:rsidR="00703910">
              <w:t xml:space="preserve">via GIS </w:t>
            </w:r>
            <w:r w:rsidR="00AA666B">
              <w:t xml:space="preserve">for use in translating </w:t>
            </w:r>
            <w:r w:rsidR="001D2092">
              <w:t xml:space="preserve">Census/ACS </w:t>
            </w:r>
            <w:r w:rsidR="00AA666B">
              <w:t>block</w:t>
            </w:r>
            <w:r w:rsidR="00703910">
              <w:t>, block group,</w:t>
            </w:r>
            <w:r w:rsidR="00AA666B">
              <w:t xml:space="preserve"> and tract data to </w:t>
            </w:r>
            <w:r w:rsidR="00703910">
              <w:t>MTC’s 1454 TAZ system</w:t>
            </w:r>
            <w:r w:rsidR="00AA666B">
              <w:t xml:space="preserve">. The block share of a block group or tract was determined by the block’s population share from 2010. This share was then applied to </w:t>
            </w:r>
            <w:r w:rsidR="00181E3B">
              <w:t xml:space="preserve">decennial and ACS variables to build up TAZ variables. The R script </w:t>
            </w:r>
            <w:r w:rsidR="00703910">
              <w:t>referenced above demonstrates</w:t>
            </w:r>
            <w:r w:rsidR="00181E3B">
              <w:t xml:space="preserve"> how this is done.</w:t>
            </w:r>
          </w:p>
          <w:p w:rsidR="003C32AF" w:rsidRDefault="003C32AF" w:rsidP="00FE690D"/>
          <w:p w:rsidR="001D2092" w:rsidRDefault="000747D0" w:rsidP="00181E3B">
            <w:r>
              <w:t>After the above step</w:t>
            </w:r>
            <w:r w:rsidR="00703910">
              <w:t>, resulting Census- and ACS-derived data are</w:t>
            </w:r>
            <w:r w:rsidR="00281298">
              <w:t xml:space="preserve"> rounded, and then</w:t>
            </w:r>
            <w:r w:rsidR="00703910">
              <w:t xml:space="preserve"> small adjustments are made such that</w:t>
            </w:r>
            <w:r w:rsidR="00281298">
              <w:t xml:space="preserve"> categorical </w:t>
            </w:r>
            <w:r w:rsidR="00703910">
              <w:t>sub</w:t>
            </w:r>
            <w:r w:rsidR="00281298">
              <w:t>totals</w:t>
            </w:r>
            <w:r w:rsidR="00181E3B">
              <w:t xml:space="preserve"> </w:t>
            </w:r>
            <w:r w:rsidR="00703910">
              <w:t>sum</w:t>
            </w:r>
            <w:r w:rsidR="00281298">
              <w:t xml:space="preserve"> to </w:t>
            </w:r>
            <w:r w:rsidR="00181E3B">
              <w:t xml:space="preserve">match </w:t>
            </w:r>
            <w:r w:rsidR="00703910">
              <w:t>marginal</w:t>
            </w:r>
            <w:r w:rsidR="00181E3B">
              <w:t xml:space="preserve"> totals</w:t>
            </w:r>
            <w:r w:rsidR="00266C2B">
              <w:t xml:space="preserve">. For example, </w:t>
            </w:r>
            <w:r w:rsidR="00703910">
              <w:t xml:space="preserve">households by income should </w:t>
            </w:r>
            <w:r w:rsidR="001D2092">
              <w:t xml:space="preserve">precisely </w:t>
            </w:r>
            <w:r w:rsidR="00703910">
              <w:t>sum across income categories to match</w:t>
            </w:r>
            <w:r w:rsidR="00266C2B">
              <w:t xml:space="preserve"> </w:t>
            </w:r>
            <w:r w:rsidR="000D7A45">
              <w:t xml:space="preserve">the </w:t>
            </w:r>
            <w:r w:rsidR="00266C2B">
              <w:t xml:space="preserve">total </w:t>
            </w:r>
            <w:proofErr w:type="gramStart"/>
            <w:r w:rsidR="00266C2B">
              <w:t>households</w:t>
            </w:r>
            <w:proofErr w:type="gramEnd"/>
            <w:r w:rsidR="000D7A45">
              <w:t xml:space="preserve"> variable</w:t>
            </w:r>
            <w:r w:rsidR="00266C2B">
              <w:t xml:space="preserve">. </w:t>
            </w:r>
            <w:r w:rsidR="001D2092">
              <w:t>This was the approach taken in the below variables:</w:t>
            </w:r>
          </w:p>
          <w:p w:rsidR="001D2092" w:rsidRDefault="001D2092" w:rsidP="001D2092">
            <w:pPr>
              <w:pStyle w:val="ListParagraph"/>
              <w:numPr>
                <w:ilvl w:val="0"/>
                <w:numId w:val="6"/>
              </w:numPr>
            </w:pPr>
            <w:r>
              <w:t>TOTHH</w:t>
            </w:r>
            <w:r w:rsidR="00327EEA">
              <w:t xml:space="preserve">, </w:t>
            </w:r>
            <w:proofErr w:type="spellStart"/>
            <w:r w:rsidR="00327EEA">
              <w:t>hhlds</w:t>
            </w:r>
            <w:proofErr w:type="spellEnd"/>
            <w:r>
              <w:t xml:space="preserve"> – total households</w:t>
            </w:r>
          </w:p>
          <w:p w:rsidR="001D2092" w:rsidRDefault="001D2092" w:rsidP="001D2092">
            <w:pPr>
              <w:pStyle w:val="ListParagraph"/>
              <w:numPr>
                <w:ilvl w:val="0"/>
                <w:numId w:val="6"/>
              </w:numPr>
            </w:pPr>
            <w:r>
              <w:t>HHPOP – population living in households</w:t>
            </w:r>
          </w:p>
          <w:p w:rsidR="001D2092" w:rsidRDefault="001D2092" w:rsidP="001D2092">
            <w:pPr>
              <w:pStyle w:val="ListParagraph"/>
              <w:numPr>
                <w:ilvl w:val="0"/>
                <w:numId w:val="6"/>
              </w:numPr>
            </w:pPr>
            <w:r>
              <w:t>EMPRES – employed residents</w:t>
            </w:r>
          </w:p>
          <w:p w:rsidR="001D2092" w:rsidRDefault="001D2092" w:rsidP="001D2092">
            <w:pPr>
              <w:pStyle w:val="ListParagraph"/>
              <w:numPr>
                <w:ilvl w:val="0"/>
                <w:numId w:val="6"/>
              </w:numPr>
            </w:pPr>
            <w:r>
              <w:t>SFDU – single-family dwelling units</w:t>
            </w:r>
          </w:p>
          <w:p w:rsidR="001D2092" w:rsidRDefault="001D2092" w:rsidP="001D2092">
            <w:pPr>
              <w:pStyle w:val="ListParagraph"/>
              <w:numPr>
                <w:ilvl w:val="0"/>
                <w:numId w:val="6"/>
              </w:numPr>
            </w:pPr>
            <w:r>
              <w:t>MFDU – multi-family dwelling units</w:t>
            </w:r>
          </w:p>
          <w:p w:rsidR="001D2092" w:rsidRDefault="001D2092" w:rsidP="001D2092">
            <w:pPr>
              <w:pStyle w:val="ListParagraph"/>
              <w:numPr>
                <w:ilvl w:val="0"/>
                <w:numId w:val="6"/>
              </w:numPr>
            </w:pPr>
            <w:r>
              <w:t>HHINCQ1-HHINCQ4 – households by household income</w:t>
            </w:r>
          </w:p>
          <w:p w:rsidR="00327EEA" w:rsidRDefault="00327EEA" w:rsidP="001D2092">
            <w:pPr>
              <w:pStyle w:val="ListParagraph"/>
              <w:numPr>
                <w:ilvl w:val="0"/>
                <w:numId w:val="6"/>
              </w:numPr>
            </w:pPr>
            <w:r>
              <w:t>SHPOP620, AGE0004, AGE0519, AGE2044, AGE4564, AGE65P – persons by age</w:t>
            </w:r>
          </w:p>
          <w:p w:rsidR="00C20CFA" w:rsidRDefault="00C20CFA" w:rsidP="00C20CFA">
            <w:pPr>
              <w:pStyle w:val="Heading1"/>
            </w:pPr>
            <w:r>
              <w:lastRenderedPageBreak/>
              <w:t>School Enrollment</w:t>
            </w:r>
          </w:p>
          <w:p w:rsidR="00931B30" w:rsidRDefault="00931B30" w:rsidP="00931B30"/>
          <w:p w:rsidR="00931B30" w:rsidRDefault="00931B30" w:rsidP="00931B30">
            <w:r>
              <w:t xml:space="preserve">School enrollment data includes high school, part-time college, and full-time college enrollment. Separate processes </w:t>
            </w:r>
            <w:r w:rsidR="00502293">
              <w:t>were</w:t>
            </w:r>
            <w:r>
              <w:t xml:space="preserve"> used to gather high school and college </w:t>
            </w:r>
            <w:r w:rsidR="00985302">
              <w:t xml:space="preserve">enrollment </w:t>
            </w:r>
            <w:r>
              <w:t>data:</w:t>
            </w:r>
          </w:p>
          <w:p w:rsidR="002B66EE" w:rsidRDefault="002B66EE" w:rsidP="00931B30"/>
          <w:p w:rsidR="00931B30" w:rsidRDefault="00985302" w:rsidP="00931B30">
            <w:pPr>
              <w:pStyle w:val="ListParagraph"/>
              <w:numPr>
                <w:ilvl w:val="0"/>
                <w:numId w:val="5"/>
              </w:numPr>
            </w:pPr>
            <w:r>
              <w:t>Public and private high school</w:t>
            </w:r>
            <w:r w:rsidR="00790607">
              <w:t xml:space="preserve"> location and</w:t>
            </w:r>
            <w:r>
              <w:t xml:space="preserve"> enrollment data are provided by the California Department of Education</w:t>
            </w:r>
            <w:r w:rsidR="00790607">
              <w:t xml:space="preserve">. </w:t>
            </w:r>
            <w:r w:rsidR="00502293">
              <w:t>The school address information was used to geocode the school locations, and school enrollment information was then summarized by TAZ</w:t>
            </w:r>
            <w:r w:rsidR="00B6421B">
              <w:t xml:space="preserve"> 1454</w:t>
            </w:r>
            <w:r w:rsidR="00502293">
              <w:t>.</w:t>
            </w:r>
          </w:p>
          <w:p w:rsidR="00502293" w:rsidRDefault="00502293" w:rsidP="00931B30">
            <w:pPr>
              <w:pStyle w:val="ListParagraph"/>
              <w:numPr>
                <w:ilvl w:val="0"/>
                <w:numId w:val="5"/>
              </w:numPr>
            </w:pPr>
            <w:r>
              <w:t xml:space="preserve">College enrollment </w:t>
            </w:r>
            <w:r w:rsidR="0017172A">
              <w:t xml:space="preserve">data </w:t>
            </w:r>
            <w:r w:rsidR="002B66EE">
              <w:t>were</w:t>
            </w:r>
            <w:r>
              <w:t xml:space="preserve"> obtained from </w:t>
            </w:r>
            <w:r w:rsidR="009131C7">
              <w:t xml:space="preserve">various </w:t>
            </w:r>
            <w:r>
              <w:t xml:space="preserve">university websites. </w:t>
            </w:r>
            <w:r w:rsidR="009131C7">
              <w:t>Part-time and full-time enrollment numbers were largely carried over from 2010 data. Where updated part-time a</w:t>
            </w:r>
            <w:r w:rsidR="002B66EE">
              <w:t>nd full-time enrollment data were found, they</w:t>
            </w:r>
            <w:r w:rsidR="009131C7">
              <w:t xml:space="preserve"> replaced the 2010 data. W</w:t>
            </w:r>
            <w:r w:rsidR="002B66EE">
              <w:t>here updated aggregate enrollment data were found for a school, but the part-/</w:t>
            </w:r>
            <w:r w:rsidR="009131C7">
              <w:t>full-time distribution</w:t>
            </w:r>
            <w:r w:rsidR="002B66EE">
              <w:t xml:space="preserve"> was lacking, the </w:t>
            </w:r>
            <w:r w:rsidR="009131C7">
              <w:t>2010 part-time and full-time proportions</w:t>
            </w:r>
            <w:r w:rsidR="002B66EE">
              <w:t xml:space="preserve"> were applied to 2015 totals to derive updated cell values</w:t>
            </w:r>
            <w:r w:rsidR="009131C7">
              <w:t xml:space="preserve">. </w:t>
            </w:r>
          </w:p>
          <w:p w:rsidR="005817E3" w:rsidRDefault="00EF032B" w:rsidP="005817E3">
            <w:pPr>
              <w:pStyle w:val="Heading1"/>
            </w:pPr>
            <w:r>
              <w:t>Parking Cost</w:t>
            </w:r>
          </w:p>
          <w:p w:rsidR="005817E3" w:rsidRDefault="005817E3" w:rsidP="005817E3"/>
          <w:p w:rsidR="008055E7" w:rsidRDefault="002B66EE" w:rsidP="005817E3">
            <w:r>
              <w:t>Parking cost data are</w:t>
            </w:r>
            <w:r w:rsidR="005817E3">
              <w:t xml:space="preserve"> taken from Plan Bay Area 2040, the 2015 land use data. </w:t>
            </w:r>
          </w:p>
          <w:p w:rsidR="008055E7" w:rsidRDefault="008055E7" w:rsidP="008055E7">
            <w:pPr>
              <w:pStyle w:val="Heading1"/>
            </w:pPr>
            <w:r>
              <w:t>Group Quarters Population</w:t>
            </w:r>
          </w:p>
          <w:p w:rsidR="008055E7" w:rsidRDefault="008055E7" w:rsidP="008055E7"/>
          <w:p w:rsidR="008055E7" w:rsidRDefault="008055E7" w:rsidP="008055E7">
            <w:r>
              <w:t xml:space="preserve">Group quarters population </w:t>
            </w:r>
            <w:r w:rsidR="004F0E48">
              <w:t xml:space="preserve">disaggregated </w:t>
            </w:r>
            <w:r>
              <w:t>by institutional/non-institutional type is not provided for small-area ACS data. In order to overcome this data limitation, the following steps were undertaken to develop TAZ-level non-institutional group quarters population:</w:t>
            </w:r>
          </w:p>
          <w:p w:rsidR="008055E7" w:rsidRDefault="008055E7" w:rsidP="008055E7"/>
          <w:p w:rsidR="008055E7" w:rsidRDefault="008055E7" w:rsidP="008055E7">
            <w:pPr>
              <w:pStyle w:val="ListParagraph"/>
              <w:numPr>
                <w:ilvl w:val="0"/>
                <w:numId w:val="4"/>
              </w:numPr>
            </w:pPr>
            <w:r>
              <w:t xml:space="preserve">Non-institutional group quarters (university, military, and other) were summed from the 2010 decennial data and partitioned to TAZs, as is described above for other variables. </w:t>
            </w:r>
          </w:p>
          <w:p w:rsidR="008055E7" w:rsidRDefault="008055E7" w:rsidP="008055E7">
            <w:pPr>
              <w:pStyle w:val="ListParagraph"/>
              <w:numPr>
                <w:ilvl w:val="0"/>
                <w:numId w:val="4"/>
              </w:numPr>
            </w:pPr>
            <w:r>
              <w:t xml:space="preserve">MTC staff researched college dorm (non-institutional) growth in three TAZs – 353, 354, and 1008. The GQ growth was added to </w:t>
            </w:r>
            <w:r w:rsidR="0005793E">
              <w:t xml:space="preserve">the 2010 GQ values for </w:t>
            </w:r>
            <w:r>
              <w:t>these TAZs.</w:t>
            </w:r>
          </w:p>
          <w:p w:rsidR="008055E7" w:rsidRDefault="008055E7" w:rsidP="008055E7">
            <w:pPr>
              <w:pStyle w:val="ListParagraph"/>
              <w:numPr>
                <w:ilvl w:val="0"/>
                <w:numId w:val="4"/>
              </w:numPr>
            </w:pPr>
            <w:r>
              <w:t>Non-institutional GQ population for 2015 was determined at the county</w:t>
            </w:r>
            <w:r w:rsidR="004F0E48">
              <w:t xml:space="preserve"> </w:t>
            </w:r>
            <w:r>
              <w:t>level using PUMS</w:t>
            </w:r>
            <w:r w:rsidR="004F0E48">
              <w:t xml:space="preserve"> 2013-2017</w:t>
            </w:r>
            <w:r>
              <w:t xml:space="preserve"> data. County-level correction factors were created by comparing the adjusted 2010 numbers (determined in steps 1 and 2) with the 2015 totals. </w:t>
            </w:r>
          </w:p>
          <w:p w:rsidR="008055E7" w:rsidRPr="005817E3" w:rsidRDefault="008055E7" w:rsidP="005817E3">
            <w:pPr>
              <w:pStyle w:val="ListParagraph"/>
              <w:numPr>
                <w:ilvl w:val="0"/>
                <w:numId w:val="4"/>
              </w:numPr>
            </w:pPr>
            <w:r>
              <w:t>County-level</w:t>
            </w:r>
            <w:r w:rsidR="0005793E">
              <w:t xml:space="preserve"> scaling</w:t>
            </w:r>
            <w:r>
              <w:t xml:space="preserve"> correction factors were then applied at the TAZ level to produce the final </w:t>
            </w:r>
            <w:r w:rsidR="0005793E">
              <w:t xml:space="preserve">TAZ </w:t>
            </w:r>
            <w:r>
              <w:t>GQ values</w:t>
            </w:r>
            <w:r w:rsidR="0005793E">
              <w:t>, such that their sum equals the 2015 regional total</w:t>
            </w:r>
            <w:r>
              <w:t xml:space="preserve">. </w:t>
            </w:r>
          </w:p>
          <w:p w:rsidR="00C20CFA" w:rsidRDefault="00C20CFA" w:rsidP="00C20CFA">
            <w:pPr>
              <w:pStyle w:val="Heading1"/>
            </w:pPr>
            <w:r>
              <w:t>Employment</w:t>
            </w:r>
          </w:p>
          <w:p w:rsidR="00B6421B" w:rsidRDefault="00B6421B" w:rsidP="00B6421B"/>
          <w:p w:rsidR="00B6421B" w:rsidRDefault="00332F71" w:rsidP="00B6421B">
            <w:r>
              <w:t>The</w:t>
            </w:r>
            <w:r w:rsidR="00F82F01">
              <w:t xml:space="preserve"> </w:t>
            </w:r>
            <w:r>
              <w:t xml:space="preserve">Bay Area TAZ 1454 </w:t>
            </w:r>
            <w:r w:rsidR="00F82F01">
              <w:t xml:space="preserve">employment total for 2015 </w:t>
            </w:r>
            <w:r>
              <w:t xml:space="preserve">is </w:t>
            </w:r>
            <w:r w:rsidR="00006F06">
              <w:t xml:space="preserve">a </w:t>
            </w:r>
            <w:r>
              <w:t>controlled</w:t>
            </w:r>
            <w:r w:rsidR="00006F06">
              <w:t xml:space="preserve"> value of 4,005,318, and comes from the </w:t>
            </w:r>
            <w:r>
              <w:t xml:space="preserve">REMI </w:t>
            </w:r>
            <w:r w:rsidR="00006F06">
              <w:t>regional model</w:t>
            </w:r>
            <w:r w:rsidR="00F82F01">
              <w:t>.</w:t>
            </w:r>
            <w:r w:rsidR="00F82F01">
              <w:rPr>
                <w:rStyle w:val="FootnoteReference"/>
              </w:rPr>
              <w:footnoteReference w:id="1"/>
            </w:r>
            <w:r w:rsidR="00F82F01">
              <w:t xml:space="preserve"> </w:t>
            </w:r>
            <w:r w:rsidR="008223BB">
              <w:t>TAZ-l</w:t>
            </w:r>
            <w:r w:rsidR="00006F06">
              <w:t xml:space="preserve">evel distribution </w:t>
            </w:r>
            <w:r w:rsidR="008223BB">
              <w:t xml:space="preserve">comes from </w:t>
            </w:r>
            <w:r w:rsidR="008D1A17">
              <w:t>2015 ESRI Business Locations Data</w:t>
            </w:r>
            <w:r>
              <w:t>, and the employment total for each TAZ is scaled up such that the regional total matches the REMI value</w:t>
            </w:r>
            <w:r w:rsidR="008D1A17">
              <w:t xml:space="preserve">. </w:t>
            </w:r>
          </w:p>
          <w:p w:rsidR="00006F06" w:rsidRDefault="00006F06" w:rsidP="00B6421B"/>
          <w:p w:rsidR="00AC213A" w:rsidRDefault="00A64EB6" w:rsidP="00B6421B">
            <w:r>
              <w:t xml:space="preserve">The net </w:t>
            </w:r>
            <w:proofErr w:type="spellStart"/>
            <w:r>
              <w:t>incommute</w:t>
            </w:r>
            <w:proofErr w:type="spellEnd"/>
            <w:r>
              <w:t xml:space="preserve"> for the region is subtracted from the regional total to account for </w:t>
            </w:r>
            <w:r w:rsidR="00AC213A">
              <w:t xml:space="preserve">Bay Area jobholders living outside the region. </w:t>
            </w:r>
            <w:r w:rsidR="00A43303">
              <w:t xml:space="preserve">Because the travel model assumes all jobs are held by workers within the region (and that all workers work within the region), both workers living outside the region commuting in and workers inside the region commuting out are excluded. </w:t>
            </w:r>
            <w:r w:rsidR="00AC213A">
              <w:t>The formula for calculating net commute is described below:</w:t>
            </w:r>
          </w:p>
          <w:p w:rsidR="00AC213A" w:rsidRDefault="00AC213A" w:rsidP="00B6421B"/>
          <w:p w:rsidR="00AC213A" w:rsidRDefault="00AC213A" w:rsidP="00B6421B">
            <w:r>
              <w:t xml:space="preserve">Net </w:t>
            </w:r>
            <w:proofErr w:type="spellStart"/>
            <w:r>
              <w:t>incommuters</w:t>
            </w:r>
            <w:proofErr w:type="spellEnd"/>
            <w:r>
              <w:t xml:space="preserve"> = (total workers at</w:t>
            </w:r>
            <w:r w:rsidR="0097169C">
              <w:t xml:space="preserve"> work) – (</w:t>
            </w:r>
            <w:r w:rsidR="00A43303">
              <w:t>workers, working within and outside region)</w:t>
            </w:r>
            <w:r w:rsidR="0097169C">
              <w:t xml:space="preserve"> </w:t>
            </w:r>
            <w:r>
              <w:t xml:space="preserve"> </w:t>
            </w:r>
          </w:p>
          <w:p w:rsidR="00AC213A" w:rsidRDefault="00AC213A" w:rsidP="00B6421B"/>
          <w:p w:rsidR="00006F06" w:rsidRDefault="00006F06" w:rsidP="00B6421B">
            <w:r>
              <w:t xml:space="preserve">Net </w:t>
            </w:r>
            <w:proofErr w:type="spellStart"/>
            <w:r>
              <w:t>incommute</w:t>
            </w:r>
            <w:proofErr w:type="spellEnd"/>
            <w:r>
              <w:t xml:space="preserve"> is subtracted from regional total via the following steps:</w:t>
            </w:r>
          </w:p>
          <w:p w:rsidR="00006F06" w:rsidRDefault="00006F06" w:rsidP="00B6421B"/>
          <w:p w:rsidR="00A64EB6" w:rsidRDefault="00A64EB6" w:rsidP="00A64EB6">
            <w:pPr>
              <w:pStyle w:val="ListParagraph"/>
              <w:numPr>
                <w:ilvl w:val="0"/>
                <w:numId w:val="7"/>
              </w:numPr>
            </w:pPr>
            <w:r>
              <w:t>Net</w:t>
            </w:r>
            <w:r w:rsidR="00006F06">
              <w:t xml:space="preserve"> </w:t>
            </w:r>
            <w:proofErr w:type="spellStart"/>
            <w:r w:rsidR="00006F06">
              <w:t>incommute</w:t>
            </w:r>
            <w:proofErr w:type="spellEnd"/>
            <w:r w:rsidR="00006F06">
              <w:t xml:space="preserve"> is determined by </w:t>
            </w:r>
            <w:r>
              <w:t>from the following formula:</w:t>
            </w:r>
          </w:p>
          <w:p w:rsidR="00006F06" w:rsidRPr="00B6421B" w:rsidRDefault="00006F06" w:rsidP="00A64EB6">
            <w:pPr>
              <w:pStyle w:val="ListParagraph"/>
            </w:pPr>
            <w:r>
              <w:t>subtracting workers living and working within the Bay Area (from PUMS 2013-2017) from total workers at work (ACS 2013-2017</w:t>
            </w:r>
            <w:r w:rsidR="00A64EB6">
              <w:t xml:space="preserve">, Table </w:t>
            </w:r>
            <w:proofErr w:type="spellStart"/>
            <w:r w:rsidR="00A64EB6" w:rsidRPr="00A64EB6">
              <w:t>Table</w:t>
            </w:r>
            <w:proofErr w:type="spellEnd"/>
            <w:r w:rsidR="00A64EB6" w:rsidRPr="00A64EB6">
              <w:t xml:space="preserve"> B08526</w:t>
            </w:r>
          </w:p>
          <w:p w:rsidR="000A0E8F" w:rsidRDefault="002F49DC" w:rsidP="002F49DC">
            <w:pPr>
              <w:pStyle w:val="Heading1"/>
            </w:pPr>
            <w:r>
              <w:t>Residential Workers</w:t>
            </w:r>
          </w:p>
          <w:p w:rsidR="002F49DC" w:rsidRDefault="002F49DC" w:rsidP="002F49DC"/>
          <w:p w:rsidR="002F49DC" w:rsidRDefault="002F49DC" w:rsidP="002F49DC">
            <w:r>
              <w:t xml:space="preserve">The number of </w:t>
            </w:r>
            <w:r w:rsidR="00204D55">
              <w:t xml:space="preserve">total </w:t>
            </w:r>
            <w:r w:rsidR="003D7C23">
              <w:t>employed residents</w:t>
            </w:r>
            <w:r>
              <w:t xml:space="preserve"> is derived from ACS 2013-2017</w:t>
            </w:r>
            <w:r w:rsidR="0027302F">
              <w:t xml:space="preserve">, Table B23025. The </w:t>
            </w:r>
            <w:r w:rsidR="00382F19">
              <w:t xml:space="preserve">initial </w:t>
            </w:r>
            <w:r w:rsidR="00703A85">
              <w:t>distribution</w:t>
            </w:r>
            <w:r w:rsidR="0027302F">
              <w:t xml:space="preserve"> of households by </w:t>
            </w:r>
            <w:r w:rsidR="00270E6B">
              <w:t xml:space="preserve">household </w:t>
            </w:r>
            <w:r w:rsidR="0027302F">
              <w:t xml:space="preserve">workers comes from </w:t>
            </w:r>
            <w:r w:rsidR="00703A85">
              <w:t>Table B08202</w:t>
            </w:r>
            <w:r w:rsidR="00A30FDF">
              <w:t xml:space="preserve"> for the same period</w:t>
            </w:r>
            <w:r w:rsidR="00703A85">
              <w:t xml:space="preserve">. This </w:t>
            </w:r>
            <w:r w:rsidR="00A30FDF">
              <w:t xml:space="preserve">household </w:t>
            </w:r>
            <w:r w:rsidR="00703A85">
              <w:t>distribution</w:t>
            </w:r>
            <w:r w:rsidR="0027302F">
              <w:t>, however, is skewed</w:t>
            </w:r>
            <w:r w:rsidR="00204D55">
              <w:t xml:space="preserve"> (relative to PUMS data)</w:t>
            </w:r>
            <w:r w:rsidR="0027302F">
              <w:t xml:space="preserve"> toward zero-worker household</w:t>
            </w:r>
            <w:r w:rsidR="00382F19">
              <w:t xml:space="preserve">s because its universe </w:t>
            </w:r>
            <w:r w:rsidR="0027302F">
              <w:t xml:space="preserve">only </w:t>
            </w:r>
            <w:r w:rsidR="00382F19">
              <w:t xml:space="preserve">includes </w:t>
            </w:r>
            <w:r w:rsidR="0027302F">
              <w:t xml:space="preserve">workers at work during the ACS survey reference week. That is, workers with a job but not at work (e.g., </w:t>
            </w:r>
            <w:r w:rsidR="00204D55">
              <w:t xml:space="preserve">employees who are </w:t>
            </w:r>
            <w:r w:rsidR="0027302F">
              <w:t>ill, on vacation, at personal appointments, etc.) are not included here</w:t>
            </w:r>
            <w:r w:rsidR="00270E6B">
              <w:t>. In addition, household weights from ACS data appear to undercount workers</w:t>
            </w:r>
            <w:r w:rsidR="00703A85">
              <w:t xml:space="preserve"> in large</w:t>
            </w:r>
            <w:r w:rsidR="00A30FDF">
              <w:t>r</w:t>
            </w:r>
            <w:r w:rsidR="00703A85">
              <w:t xml:space="preserve"> households</w:t>
            </w:r>
            <w:r w:rsidR="00382F19">
              <w:t xml:space="preserve"> (with more </w:t>
            </w:r>
            <w:r w:rsidR="00A30FDF">
              <w:t xml:space="preserve">3-plus </w:t>
            </w:r>
            <w:r w:rsidR="00382F19">
              <w:t>workers)</w:t>
            </w:r>
            <w:r w:rsidR="00204D55">
              <w:t>, and the person weights app</w:t>
            </w:r>
            <w:r w:rsidR="00A30FDF">
              <w:t xml:space="preserve">ear more accurate. The approach used for reconciling households by number of workers relies on </w:t>
            </w:r>
            <w:r w:rsidR="00204D55">
              <w:t>PUMS person weights to correct for worker undercounts.</w:t>
            </w:r>
          </w:p>
          <w:p w:rsidR="00270E6B" w:rsidRDefault="00270E6B" w:rsidP="002F49DC"/>
          <w:p w:rsidR="00CE68BE" w:rsidRDefault="00204D55" w:rsidP="00881F4F">
            <w:r>
              <w:t>PUMS</w:t>
            </w:r>
            <w:r w:rsidR="0052623B">
              <w:t xml:space="preserve"> data from </w:t>
            </w:r>
            <w:r w:rsidR="00270E6B">
              <w:t>2013-2017</w:t>
            </w:r>
            <w:r w:rsidR="00881F4F">
              <w:t xml:space="preserve"> PUMS</w:t>
            </w:r>
            <w:r w:rsidR="00270E6B">
              <w:t xml:space="preserve"> were used to develop correction factors</w:t>
            </w:r>
            <w:r>
              <w:t xml:space="preserve"> </w:t>
            </w:r>
            <w:r w:rsidR="00027DA4">
              <w:t xml:space="preserve">for </w:t>
            </w:r>
            <w:r w:rsidR="00491471">
              <w:t>TAZ-level households by number of workers</w:t>
            </w:r>
            <w:r w:rsidR="00027DA4">
              <w:t>. The process is described in the below steps (with a supporting data summary</w:t>
            </w:r>
            <w:r w:rsidR="00CC10CD">
              <w:t xml:space="preserve"> in Table 1, below)</w:t>
            </w:r>
            <w:r w:rsidR="00491471">
              <w:t>:</w:t>
            </w:r>
          </w:p>
          <w:p w:rsidR="00491471" w:rsidRDefault="00491471" w:rsidP="00881F4F"/>
          <w:p w:rsidR="00A433E2" w:rsidRDefault="00A433E2" w:rsidP="00CF1B8F">
            <w:pPr>
              <w:pStyle w:val="ListParagraph"/>
              <w:numPr>
                <w:ilvl w:val="0"/>
                <w:numId w:val="3"/>
              </w:numPr>
            </w:pPr>
            <w:r>
              <w:t xml:space="preserve">The number of households by workers </w:t>
            </w:r>
            <w:r w:rsidR="00382F19">
              <w:t>and implied workers in each household</w:t>
            </w:r>
            <w:r w:rsidR="00CF1B8F">
              <w:t xml:space="preserve"> category </w:t>
            </w:r>
            <w:r>
              <w:t xml:space="preserve">are derived from </w:t>
            </w:r>
            <w:r w:rsidR="00CF1B8F">
              <w:t xml:space="preserve">ACS 2013-2017 </w:t>
            </w:r>
            <w:r>
              <w:t>Table B08202 (Column 1).</w:t>
            </w:r>
            <w:r w:rsidR="00CF1B8F">
              <w:t xml:space="preserve"> The average number of workers for the 3-plus worker category was calculated from the 2012-2016 PUMS as approximately </w:t>
            </w:r>
            <w:r w:rsidR="00CF1B8F" w:rsidRPr="00CF1B8F">
              <w:t>3.</w:t>
            </w:r>
            <w:r w:rsidR="00CF1B8F">
              <w:t>41 (</w:t>
            </w:r>
            <w:r w:rsidR="00CF1B8F" w:rsidRPr="00CF1B8F">
              <w:t>3.40695036711661</w:t>
            </w:r>
            <w:r w:rsidR="00CF1B8F">
              <w:t xml:space="preserve"> was applied).</w:t>
            </w:r>
            <w:r w:rsidR="00027DA4">
              <w:t xml:space="preserve"> </w:t>
            </w:r>
          </w:p>
          <w:p w:rsidR="00835DD8" w:rsidRDefault="00835DD8" w:rsidP="00835DD8">
            <w:pPr>
              <w:pStyle w:val="ListParagraph"/>
            </w:pPr>
          </w:p>
          <w:p w:rsidR="00CF1B8F" w:rsidRDefault="00CF1B8F" w:rsidP="00CF1B8F">
            <w:pPr>
              <w:pStyle w:val="ListParagraph"/>
              <w:numPr>
                <w:ilvl w:val="0"/>
                <w:numId w:val="3"/>
              </w:numPr>
            </w:pPr>
            <w:r>
              <w:t>Total workers within each household category</w:t>
            </w:r>
            <w:r w:rsidR="00E83FA3">
              <w:t xml:space="preserve"> (from </w:t>
            </w:r>
            <w:r w:rsidR="00527D57">
              <w:t xml:space="preserve">the </w:t>
            </w:r>
            <w:r w:rsidR="00E83FA3">
              <w:t xml:space="preserve">person weights </w:t>
            </w:r>
            <w:r w:rsidR="00527D57">
              <w:t>in the</w:t>
            </w:r>
            <w:r w:rsidR="00E83FA3">
              <w:t xml:space="preserve"> 2012-2016 PUMS)</w:t>
            </w:r>
            <w:r>
              <w:t>, along with implied households (1-worker</w:t>
            </w:r>
            <w:r w:rsidR="00B24F47">
              <w:t xml:space="preserve"> </w:t>
            </w:r>
            <w:r>
              <w:t>/</w:t>
            </w:r>
            <w:r w:rsidR="00B24F47">
              <w:t xml:space="preserve"> </w:t>
            </w:r>
            <w:r>
              <w:t>1, 2-wo</w:t>
            </w:r>
            <w:r w:rsidR="007969CB">
              <w:t>rk</w:t>
            </w:r>
            <w:r w:rsidR="000812FA">
              <w:t>er</w:t>
            </w:r>
            <w:r w:rsidR="00B24F47">
              <w:t xml:space="preserve"> </w:t>
            </w:r>
            <w:r w:rsidR="000812FA">
              <w:t>/</w:t>
            </w:r>
            <w:r w:rsidR="00B24F47">
              <w:t xml:space="preserve"> </w:t>
            </w:r>
            <w:r w:rsidR="000812FA">
              <w:t>2, and 3-plus worker</w:t>
            </w:r>
            <w:r w:rsidR="00B24F47">
              <w:t xml:space="preserve"> </w:t>
            </w:r>
            <w:r w:rsidR="000812FA">
              <w:t>/</w:t>
            </w:r>
            <w:r w:rsidR="00B24F47">
              <w:t xml:space="preserve"> </w:t>
            </w:r>
            <w:r w:rsidR="000812FA">
              <w:t>3.41) are</w:t>
            </w:r>
            <w:r w:rsidR="007969CB">
              <w:t xml:space="preserve"> listed in Column 2. </w:t>
            </w:r>
            <w:r w:rsidR="00CD1AEA">
              <w:t xml:space="preserve">0-worker households are calculated as the difference of total households minus the sum of the 1-, 2-, and 3-plus-worker households. </w:t>
            </w:r>
          </w:p>
          <w:p w:rsidR="00835DD8" w:rsidRDefault="00835DD8" w:rsidP="00835DD8"/>
          <w:p w:rsidR="00CC10CD" w:rsidRDefault="00DF02ED" w:rsidP="00DF02ED">
            <w:pPr>
              <w:pStyle w:val="ListParagraph"/>
              <w:numPr>
                <w:ilvl w:val="0"/>
                <w:numId w:val="3"/>
              </w:numPr>
            </w:pPr>
            <w:r>
              <w:t xml:space="preserve">In Column 3, the </w:t>
            </w:r>
            <w:r w:rsidR="00B24F47">
              <w:t xml:space="preserve">ACS 2013-2017 </w:t>
            </w:r>
            <w:r>
              <w:t>aggregate</w:t>
            </w:r>
            <w:r w:rsidR="007969CB">
              <w:t xml:space="preserve"> </w:t>
            </w:r>
            <w:r w:rsidR="000812FA">
              <w:t xml:space="preserve">household </w:t>
            </w:r>
            <w:r>
              <w:t xml:space="preserve">county </w:t>
            </w:r>
            <w:r w:rsidR="000812FA">
              <w:t>totals come from</w:t>
            </w:r>
            <w:r>
              <w:t xml:space="preserve"> Table B08202</w:t>
            </w:r>
            <w:r w:rsidR="00B24F47">
              <w:t>,</w:t>
            </w:r>
            <w:r>
              <w:t xml:space="preserve"> and the aggregate work</w:t>
            </w:r>
            <w:r w:rsidR="003D7059">
              <w:t>er</w:t>
            </w:r>
            <w:r>
              <w:t xml:space="preserve"> county totals </w:t>
            </w:r>
            <w:r w:rsidR="00B24F47">
              <w:t xml:space="preserve">for the same period </w:t>
            </w:r>
            <w:r>
              <w:t xml:space="preserve">come from </w:t>
            </w:r>
            <w:r w:rsidR="00CC10CD">
              <w:t>Table B23025.</w:t>
            </w:r>
            <w:r>
              <w:t xml:space="preserve"> </w:t>
            </w:r>
            <w:r w:rsidR="00CC10CD">
              <w:t xml:space="preserve">Only the </w:t>
            </w:r>
            <w:r w:rsidR="00CE426F">
              <w:t xml:space="preserve">relative </w:t>
            </w:r>
            <w:r w:rsidR="00CC10CD">
              <w:t>distribution</w:t>
            </w:r>
            <w:r w:rsidR="003D7059">
              <w:t xml:space="preserve">s within each </w:t>
            </w:r>
            <w:r w:rsidR="002A7FA0">
              <w:t>county need</w:t>
            </w:r>
            <w:r w:rsidR="00CC10CD">
              <w:t xml:space="preserve"> to be reconciled. </w:t>
            </w:r>
            <w:r w:rsidR="002A7FA0">
              <w:t>In order to do this, w</w:t>
            </w:r>
            <w:r w:rsidR="00CE426F">
              <w:t xml:space="preserve">orker distribution </w:t>
            </w:r>
            <w:r w:rsidR="00CE426F" w:rsidRPr="0001124E">
              <w:rPr>
                <w:u w:val="single"/>
              </w:rPr>
              <w:t>shares</w:t>
            </w:r>
            <w:r w:rsidR="00CE426F">
              <w:t xml:space="preserve"> </w:t>
            </w:r>
            <w:r w:rsidR="002A7FA0">
              <w:t xml:space="preserve">from the PUMS 2012-2016 </w:t>
            </w:r>
            <w:r w:rsidR="00CE426F">
              <w:t>within each county ar</w:t>
            </w:r>
            <w:r w:rsidR="0021038D">
              <w:t>e assumed correct</w:t>
            </w:r>
            <w:r w:rsidR="002A7FA0">
              <w:t xml:space="preserve"> for 2013-2017</w:t>
            </w:r>
            <w:r w:rsidR="0021038D">
              <w:t>. Category values are then inflated so they sum to county totals; the inflation factor is</w:t>
            </w:r>
            <w:r w:rsidR="003D7C23">
              <w:t xml:space="preserve"> Column 3 Total Workers / Column 2 T</w:t>
            </w:r>
            <w:r w:rsidR="0021038D">
              <w:t xml:space="preserve">otal </w:t>
            </w:r>
            <w:r w:rsidR="003D7C23">
              <w:t>W</w:t>
            </w:r>
            <w:r w:rsidR="0021038D">
              <w:t>orkers</w:t>
            </w:r>
            <w:r w:rsidR="0001124E">
              <w:t>, respective to each county</w:t>
            </w:r>
            <w:r w:rsidR="0021038D">
              <w:t xml:space="preserve"> (e.g., 827,795 / 802,511 for Alameda County)</w:t>
            </w:r>
            <w:r w:rsidR="00CE426F">
              <w:t xml:space="preserve">. </w:t>
            </w:r>
            <w:r w:rsidR="00384505">
              <w:t xml:space="preserve">The </w:t>
            </w:r>
            <w:r w:rsidR="00835DD8">
              <w:t xml:space="preserve">implied household distribution is derived </w:t>
            </w:r>
            <w:r w:rsidR="002A7FA0">
              <w:t xml:space="preserve">from the worker counts </w:t>
            </w:r>
            <w:r w:rsidR="00835DD8">
              <w:t>as above</w:t>
            </w:r>
            <w:r w:rsidR="002A7FA0">
              <w:t>,</w:t>
            </w:r>
            <w:r w:rsidR="00835DD8">
              <w:t xml:space="preserve"> in Step 2.</w:t>
            </w:r>
          </w:p>
          <w:p w:rsidR="00835DD8" w:rsidRDefault="00835DD8" w:rsidP="00835DD8"/>
          <w:p w:rsidR="00CC10CD" w:rsidRDefault="00835DD8" w:rsidP="00491471">
            <w:pPr>
              <w:pStyle w:val="ListParagraph"/>
              <w:numPr>
                <w:ilvl w:val="0"/>
                <w:numId w:val="3"/>
              </w:numPr>
            </w:pPr>
            <w:r>
              <w:t>T</w:t>
            </w:r>
            <w:r w:rsidR="002A7FA0">
              <w:t xml:space="preserve">he final step creates factors for correcting ACS 2013-2017 Table B08202 values at the TAZ level (Column 4). </w:t>
            </w:r>
            <w:r w:rsidR="003D7C23">
              <w:t>These factors are the quotient of Column 3 Implied Households divided by Column 1 Total Households. The resulting factors were applied in the TAZ-building script</w:t>
            </w:r>
            <w:r w:rsidR="0001124E">
              <w:t>, respective to each county and workers</w:t>
            </w:r>
            <w:r w:rsidR="00DA3D96">
              <w:t xml:space="preserve"> per </w:t>
            </w:r>
            <w:r w:rsidR="0001124E">
              <w:t>household category</w:t>
            </w:r>
            <w:r w:rsidR="003D7C23">
              <w:t>.</w:t>
            </w:r>
          </w:p>
          <w:p w:rsidR="00784910" w:rsidRDefault="00784910" w:rsidP="00784910">
            <w:pPr>
              <w:pStyle w:val="ListParagraph"/>
            </w:pPr>
          </w:p>
          <w:p w:rsidR="00784910" w:rsidRDefault="00784910" w:rsidP="00491471">
            <w:pPr>
              <w:pStyle w:val="ListParagraph"/>
              <w:numPr>
                <w:ilvl w:val="0"/>
                <w:numId w:val="3"/>
              </w:numPr>
            </w:pPr>
            <w:r>
              <w:t xml:space="preserve">It is noteworthy that group quarters workers (e.g., working college students in dorms) are included in the employed residents data, ACS Table B23025, and </w:t>
            </w:r>
            <w:r w:rsidR="002B2CA6">
              <w:t xml:space="preserve">in </w:t>
            </w:r>
            <w:r>
              <w:t xml:space="preserve">the PUMS </w:t>
            </w:r>
            <w:r>
              <w:lastRenderedPageBreak/>
              <w:t xml:space="preserve">person weights. They are, however, excluded </w:t>
            </w:r>
            <w:r w:rsidR="00CC3092">
              <w:t xml:space="preserve">from households by number of workers, Table B08202, and from the household weights in the PUMS data (group </w:t>
            </w:r>
            <w:proofErr w:type="gramStart"/>
            <w:r w:rsidR="00CC3092">
              <w:t>quarters</w:t>
            </w:r>
            <w:proofErr w:type="gramEnd"/>
            <w:r w:rsidR="00CC3092">
              <w:t xml:space="preserve"> records are actually given a 0-weight placeholder value in the household file). The approach outlined here uses the full worker univers</w:t>
            </w:r>
            <w:r w:rsidR="008A1868">
              <w:t>e, those in both households and group quarters, and</w:t>
            </w:r>
            <w:r w:rsidR="00CC3092">
              <w:t xml:space="preserve"> </w:t>
            </w:r>
            <w:r w:rsidR="00CC3092" w:rsidRPr="00CC3092">
              <w:rPr>
                <w:u w:val="single"/>
              </w:rPr>
              <w:t>includes</w:t>
            </w:r>
            <w:r w:rsidR="00CC3092">
              <w:t xml:space="preserve"> group quarters workers </w:t>
            </w:r>
            <w:r w:rsidR="002B2CA6">
              <w:t xml:space="preserve">in the final outputted dataset – both in total employed residents and in households by number of workers. “Households” in the latter case include both households and group quarters units. </w:t>
            </w:r>
          </w:p>
          <w:p w:rsidR="00CE68BE" w:rsidRDefault="00CE68BE" w:rsidP="00F82EF2">
            <w:pPr>
              <w:pStyle w:val="BodyText"/>
              <w:rPr>
                <w:color w:val="auto"/>
              </w:rPr>
            </w:pPr>
          </w:p>
          <w:p w:rsidR="00CE68BE" w:rsidRDefault="00CE68BE" w:rsidP="00F82EF2">
            <w:pPr>
              <w:pStyle w:val="BodyText"/>
              <w:rPr>
                <w:color w:val="auto"/>
              </w:rPr>
            </w:pPr>
          </w:p>
          <w:p w:rsidR="00CE68BE" w:rsidRDefault="00CE68BE" w:rsidP="00F82EF2">
            <w:pPr>
              <w:pStyle w:val="BodyText"/>
              <w:rPr>
                <w:color w:val="auto"/>
              </w:rPr>
            </w:pPr>
          </w:p>
          <w:p w:rsidR="00CE68BE" w:rsidRDefault="00CE68BE" w:rsidP="00F82EF2">
            <w:pPr>
              <w:pStyle w:val="BodyText"/>
              <w:rPr>
                <w:color w:val="auto"/>
              </w:rPr>
            </w:pPr>
          </w:p>
          <w:p w:rsidR="00CE68BE" w:rsidRDefault="00CE68BE" w:rsidP="00F82EF2">
            <w:pPr>
              <w:pStyle w:val="BodyText"/>
              <w:rPr>
                <w:color w:val="auto"/>
              </w:rPr>
            </w:pPr>
          </w:p>
          <w:p w:rsidR="000A0E8F" w:rsidRDefault="000A0E8F" w:rsidP="00F82EF2">
            <w:pPr>
              <w:pStyle w:val="BodyText"/>
              <w:rPr>
                <w:color w:val="auto"/>
              </w:rPr>
            </w:pPr>
          </w:p>
          <w:p w:rsidR="006720A6" w:rsidRPr="00604432" w:rsidRDefault="006720A6" w:rsidP="00F82EF2">
            <w:pPr>
              <w:pStyle w:val="BodyText"/>
            </w:pPr>
          </w:p>
        </w:tc>
      </w:tr>
      <w:tr w:rsidR="006720A6" w:rsidTr="007E0C27">
        <w:trPr>
          <w:trHeight w:val="360"/>
        </w:trPr>
        <w:tc>
          <w:tcPr>
            <w:tcW w:w="450" w:type="dxa"/>
            <w:tcBorders>
              <w:top w:val="nil"/>
              <w:left w:val="nil"/>
              <w:bottom w:val="nil"/>
              <w:right w:val="nil"/>
            </w:tcBorders>
          </w:tcPr>
          <w:p w:rsidR="006720A6" w:rsidRDefault="006720A6" w:rsidP="007E0C27">
            <w:pPr>
              <w:spacing w:after="240" w:line="480" w:lineRule="atLeast"/>
              <w:ind w:left="-180"/>
              <w:jc w:val="right"/>
            </w:pPr>
          </w:p>
        </w:tc>
        <w:tc>
          <w:tcPr>
            <w:tcW w:w="9360" w:type="dxa"/>
            <w:gridSpan w:val="3"/>
            <w:tcBorders>
              <w:top w:val="nil"/>
              <w:left w:val="nil"/>
              <w:bottom w:val="nil"/>
              <w:right w:val="nil"/>
            </w:tcBorders>
          </w:tcPr>
          <w:p w:rsidR="006720A6" w:rsidRPr="00604432" w:rsidRDefault="006720A6" w:rsidP="007E0C27"/>
        </w:tc>
      </w:tr>
      <w:tr w:rsidR="00F82EF2" w:rsidTr="007E0C27">
        <w:trPr>
          <w:trHeight w:val="360"/>
        </w:trPr>
        <w:tc>
          <w:tcPr>
            <w:tcW w:w="450" w:type="dxa"/>
            <w:tcBorders>
              <w:top w:val="nil"/>
              <w:left w:val="nil"/>
              <w:bottom w:val="nil"/>
              <w:right w:val="nil"/>
            </w:tcBorders>
          </w:tcPr>
          <w:p w:rsidR="00F82EF2" w:rsidRDefault="00F82EF2" w:rsidP="007E0C27">
            <w:pPr>
              <w:spacing w:after="240" w:line="480" w:lineRule="atLeast"/>
              <w:ind w:left="-180"/>
              <w:jc w:val="right"/>
            </w:pPr>
          </w:p>
        </w:tc>
        <w:tc>
          <w:tcPr>
            <w:tcW w:w="9360" w:type="dxa"/>
            <w:gridSpan w:val="3"/>
            <w:tcBorders>
              <w:top w:val="nil"/>
              <w:left w:val="nil"/>
              <w:bottom w:val="nil"/>
              <w:right w:val="nil"/>
            </w:tcBorders>
          </w:tcPr>
          <w:p w:rsidR="0015706C" w:rsidRDefault="0015706C" w:rsidP="00F82EF2">
            <w:pPr>
              <w:pStyle w:val="BodyText"/>
              <w:rPr>
                <w:color w:val="auto"/>
                <w:szCs w:val="24"/>
              </w:rPr>
            </w:pPr>
          </w:p>
          <w:p w:rsidR="00F82EF2" w:rsidRDefault="00F82EF2" w:rsidP="00F82EF2">
            <w:pPr>
              <w:pStyle w:val="BodyText"/>
              <w:rPr>
                <w:color w:val="auto"/>
              </w:rPr>
            </w:pPr>
          </w:p>
        </w:tc>
      </w:tr>
    </w:tbl>
    <w:p w:rsidR="007E0C27" w:rsidRDefault="007E0C27" w:rsidP="00F82EF2">
      <w:pPr>
        <w:sectPr w:rsidR="007E0C27" w:rsidSect="00AB5A50">
          <w:pgSz w:w="12240" w:h="15840" w:code="1"/>
          <w:pgMar w:top="720" w:right="2880" w:bottom="720" w:left="1008" w:header="720" w:footer="720" w:gutter="0"/>
          <w:cols w:space="720"/>
        </w:sectPr>
      </w:pPr>
    </w:p>
    <w:p w:rsidR="00E562CF" w:rsidRPr="00E562CF" w:rsidRDefault="002F49DC" w:rsidP="00E562CF">
      <w:pPr>
        <w:pStyle w:val="Caption"/>
        <w:keepNext/>
        <w:rPr>
          <w:rFonts w:asciiTheme="minorHAnsi" w:hAnsiTheme="minorHAnsi" w:cstheme="minorHAnsi"/>
          <w:b/>
          <w:i w:val="0"/>
          <w:color w:val="auto"/>
          <w:sz w:val="24"/>
          <w:szCs w:val="24"/>
        </w:rPr>
      </w:pPr>
      <w:r>
        <w:rPr>
          <w:rFonts w:asciiTheme="minorHAnsi" w:hAnsiTheme="minorHAnsi" w:cstheme="minorHAnsi"/>
          <w:b/>
          <w:i w:val="0"/>
          <w:color w:val="auto"/>
          <w:sz w:val="24"/>
          <w:szCs w:val="24"/>
        </w:rPr>
        <w:lastRenderedPageBreak/>
        <w:t xml:space="preserve">Table 1: </w:t>
      </w:r>
      <w:r w:rsidR="00E562CF" w:rsidRPr="00E562CF">
        <w:rPr>
          <w:rFonts w:asciiTheme="minorHAnsi" w:hAnsiTheme="minorHAnsi" w:cstheme="minorHAnsi"/>
          <w:b/>
          <w:i w:val="0"/>
          <w:color w:val="auto"/>
          <w:sz w:val="24"/>
          <w:szCs w:val="24"/>
        </w:rPr>
        <w:t xml:space="preserve">Households by Number of Workers </w:t>
      </w:r>
    </w:p>
    <w:tbl>
      <w:tblPr>
        <w:tblW w:w="13640" w:type="dxa"/>
        <w:tblLook w:val="04A0" w:firstRow="1" w:lastRow="0" w:firstColumn="1" w:lastColumn="0" w:noHBand="0" w:noVBand="1"/>
      </w:tblPr>
      <w:tblGrid>
        <w:gridCol w:w="1436"/>
        <w:gridCol w:w="1316"/>
        <w:gridCol w:w="1630"/>
        <w:gridCol w:w="1565"/>
        <w:gridCol w:w="1785"/>
        <w:gridCol w:w="1275"/>
        <w:gridCol w:w="1541"/>
        <w:gridCol w:w="1312"/>
        <w:gridCol w:w="1780"/>
      </w:tblGrid>
      <w:tr w:rsidR="00A765FF" w:rsidRPr="007E0C27" w:rsidTr="00A765FF">
        <w:trPr>
          <w:trHeight w:val="305"/>
          <w:tblHeader/>
        </w:trPr>
        <w:tc>
          <w:tcPr>
            <w:tcW w:w="1436" w:type="dxa"/>
            <w:tcBorders>
              <w:top w:val="single" w:sz="4" w:space="0" w:color="auto"/>
              <w:bottom w:val="single" w:sz="4" w:space="0" w:color="auto"/>
              <w:right w:val="nil"/>
            </w:tcBorders>
            <w:shd w:val="clear" w:color="auto" w:fill="auto"/>
            <w:noWrap/>
            <w:vAlign w:val="bottom"/>
          </w:tcPr>
          <w:p w:rsidR="00A765FF" w:rsidRPr="007E0C27" w:rsidRDefault="00A765FF" w:rsidP="007E0C27">
            <w:pPr>
              <w:overflowPunct/>
              <w:autoSpaceDE/>
              <w:autoSpaceDN/>
              <w:adjustRightInd/>
              <w:textAlignment w:val="auto"/>
              <w:rPr>
                <w:rFonts w:ascii="Calibri" w:hAnsi="Calibri" w:cs="Calibri"/>
                <w:color w:val="000000"/>
                <w:sz w:val="22"/>
                <w:szCs w:val="22"/>
              </w:rPr>
            </w:pPr>
          </w:p>
        </w:tc>
        <w:tc>
          <w:tcPr>
            <w:tcW w:w="1316" w:type="dxa"/>
            <w:tcBorders>
              <w:top w:val="single" w:sz="4" w:space="0" w:color="auto"/>
              <w:left w:val="nil"/>
              <w:bottom w:val="single" w:sz="4" w:space="0" w:color="auto"/>
              <w:right w:val="nil"/>
            </w:tcBorders>
            <w:shd w:val="clear" w:color="auto" w:fill="auto"/>
            <w:noWrap/>
            <w:vAlign w:val="bottom"/>
          </w:tcPr>
          <w:p w:rsidR="00A765FF" w:rsidRPr="007E0C27" w:rsidRDefault="00A765FF" w:rsidP="007E0C27">
            <w:pPr>
              <w:overflowPunct/>
              <w:autoSpaceDE/>
              <w:autoSpaceDN/>
              <w:adjustRightInd/>
              <w:textAlignment w:val="auto"/>
              <w:rPr>
                <w:rFonts w:ascii="Calibri" w:hAnsi="Calibri" w:cs="Calibri"/>
                <w:color w:val="000000"/>
                <w:sz w:val="22"/>
                <w:szCs w:val="22"/>
              </w:rPr>
            </w:pPr>
          </w:p>
        </w:tc>
        <w:tc>
          <w:tcPr>
            <w:tcW w:w="3195"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A765FF" w:rsidRPr="007E0C27" w:rsidRDefault="00A765FF" w:rsidP="007E0C27">
            <w:pPr>
              <w:overflowPunct/>
              <w:autoSpaceDE/>
              <w:autoSpaceDN/>
              <w:adjustRightInd/>
              <w:jc w:val="center"/>
              <w:textAlignment w:val="auto"/>
              <w:rPr>
                <w:rFonts w:ascii="Calibri" w:hAnsi="Calibri" w:cs="Calibri"/>
                <w:color w:val="000000"/>
                <w:sz w:val="22"/>
                <w:szCs w:val="22"/>
              </w:rPr>
            </w:pPr>
            <w:r>
              <w:rPr>
                <w:rFonts w:ascii="Calibri" w:hAnsi="Calibri" w:cs="Calibri"/>
                <w:color w:val="000000"/>
                <w:sz w:val="22"/>
                <w:szCs w:val="22"/>
              </w:rPr>
              <w:t>1</w:t>
            </w:r>
          </w:p>
        </w:tc>
        <w:tc>
          <w:tcPr>
            <w:tcW w:w="3060" w:type="dxa"/>
            <w:gridSpan w:val="2"/>
            <w:tcBorders>
              <w:top w:val="single" w:sz="4" w:space="0" w:color="auto"/>
              <w:left w:val="nil"/>
              <w:bottom w:val="single" w:sz="4" w:space="0" w:color="auto"/>
              <w:right w:val="single" w:sz="4" w:space="0" w:color="000000"/>
            </w:tcBorders>
            <w:shd w:val="clear" w:color="auto" w:fill="auto"/>
            <w:vAlign w:val="bottom"/>
          </w:tcPr>
          <w:p w:rsidR="00A765FF" w:rsidRPr="007E0C27" w:rsidRDefault="00A765FF" w:rsidP="007E0C27">
            <w:pPr>
              <w:overflowPunct/>
              <w:autoSpaceDE/>
              <w:autoSpaceDN/>
              <w:adjustRightInd/>
              <w:jc w:val="center"/>
              <w:textAlignment w:val="auto"/>
              <w:rPr>
                <w:rFonts w:ascii="Calibri" w:hAnsi="Calibri" w:cs="Calibri"/>
                <w:color w:val="000000"/>
                <w:sz w:val="22"/>
                <w:szCs w:val="22"/>
              </w:rPr>
            </w:pPr>
            <w:r>
              <w:rPr>
                <w:rFonts w:ascii="Calibri" w:hAnsi="Calibri" w:cs="Calibri"/>
                <w:color w:val="000000"/>
                <w:sz w:val="22"/>
                <w:szCs w:val="22"/>
              </w:rPr>
              <w:t>2</w:t>
            </w:r>
          </w:p>
        </w:tc>
        <w:tc>
          <w:tcPr>
            <w:tcW w:w="2853" w:type="dxa"/>
            <w:gridSpan w:val="2"/>
            <w:tcBorders>
              <w:top w:val="single" w:sz="4" w:space="0" w:color="auto"/>
              <w:left w:val="nil"/>
              <w:bottom w:val="single" w:sz="4" w:space="0" w:color="auto"/>
              <w:right w:val="single" w:sz="4" w:space="0" w:color="000000"/>
            </w:tcBorders>
            <w:shd w:val="clear" w:color="auto" w:fill="auto"/>
            <w:vAlign w:val="bottom"/>
          </w:tcPr>
          <w:p w:rsidR="00A765FF" w:rsidRPr="007E0C27" w:rsidRDefault="00A765FF" w:rsidP="007E0C27">
            <w:pPr>
              <w:overflowPunct/>
              <w:autoSpaceDE/>
              <w:autoSpaceDN/>
              <w:adjustRightInd/>
              <w:jc w:val="center"/>
              <w:textAlignment w:val="auto"/>
              <w:rPr>
                <w:rFonts w:ascii="Calibri" w:hAnsi="Calibri" w:cs="Calibri"/>
                <w:color w:val="000000"/>
                <w:sz w:val="22"/>
                <w:szCs w:val="22"/>
              </w:rPr>
            </w:pPr>
            <w:r>
              <w:rPr>
                <w:rFonts w:ascii="Calibri" w:hAnsi="Calibri" w:cs="Calibri"/>
                <w:color w:val="000000"/>
                <w:sz w:val="22"/>
                <w:szCs w:val="22"/>
              </w:rPr>
              <w:t>3</w:t>
            </w:r>
          </w:p>
        </w:tc>
        <w:tc>
          <w:tcPr>
            <w:tcW w:w="1780" w:type="dxa"/>
            <w:tcBorders>
              <w:top w:val="single" w:sz="4" w:space="0" w:color="auto"/>
              <w:left w:val="nil"/>
              <w:bottom w:val="single" w:sz="4" w:space="0" w:color="auto"/>
              <w:right w:val="nil"/>
            </w:tcBorders>
            <w:shd w:val="clear" w:color="auto" w:fill="auto"/>
            <w:vAlign w:val="bottom"/>
          </w:tcPr>
          <w:p w:rsidR="00A765FF" w:rsidRPr="007E0C27" w:rsidRDefault="00A765FF" w:rsidP="007E0C27">
            <w:pPr>
              <w:overflowPunct/>
              <w:autoSpaceDE/>
              <w:autoSpaceDN/>
              <w:adjustRightInd/>
              <w:jc w:val="center"/>
              <w:textAlignment w:val="auto"/>
              <w:rPr>
                <w:rFonts w:ascii="Calibri" w:hAnsi="Calibri" w:cs="Calibri"/>
                <w:color w:val="000000"/>
                <w:sz w:val="22"/>
                <w:szCs w:val="22"/>
              </w:rPr>
            </w:pPr>
            <w:r>
              <w:rPr>
                <w:rFonts w:ascii="Calibri" w:hAnsi="Calibri" w:cs="Calibri"/>
                <w:color w:val="000000"/>
                <w:sz w:val="22"/>
                <w:szCs w:val="22"/>
              </w:rPr>
              <w:t>4</w:t>
            </w:r>
          </w:p>
        </w:tc>
      </w:tr>
      <w:tr w:rsidR="007E0C27" w:rsidRPr="007E0C27" w:rsidTr="00FC42CC">
        <w:trPr>
          <w:trHeight w:val="1215"/>
          <w:tblHeader/>
        </w:trPr>
        <w:tc>
          <w:tcPr>
            <w:tcW w:w="1436" w:type="dxa"/>
            <w:tcBorders>
              <w:top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single" w:sz="4" w:space="0" w:color="auto"/>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3195" w:type="dxa"/>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rsidR="007E0C27" w:rsidRPr="007E0C27" w:rsidRDefault="007E0C27" w:rsidP="007E0C27">
            <w:pPr>
              <w:overflowPunct/>
              <w:autoSpaceDE/>
              <w:autoSpaceDN/>
              <w:adjustRightInd/>
              <w:jc w:val="center"/>
              <w:textAlignment w:val="auto"/>
              <w:rPr>
                <w:rFonts w:ascii="Calibri" w:hAnsi="Calibri" w:cs="Calibri"/>
                <w:color w:val="000000"/>
                <w:sz w:val="22"/>
                <w:szCs w:val="22"/>
              </w:rPr>
            </w:pPr>
            <w:r w:rsidRPr="007E0C27">
              <w:rPr>
                <w:rFonts w:ascii="Calibri" w:hAnsi="Calibri" w:cs="Calibri"/>
                <w:color w:val="000000"/>
                <w:sz w:val="22"/>
                <w:szCs w:val="22"/>
              </w:rPr>
              <w:t>ACS 2013-2017</w:t>
            </w:r>
            <w:r w:rsidRPr="007E0C27">
              <w:rPr>
                <w:rFonts w:ascii="Calibri" w:hAnsi="Calibri" w:cs="Calibri"/>
                <w:color w:val="000000"/>
                <w:sz w:val="22"/>
                <w:szCs w:val="22"/>
              </w:rPr>
              <w:br/>
              <w:t>Table B08202 - HH Size by Number of Workers in HH</w:t>
            </w:r>
          </w:p>
        </w:tc>
        <w:tc>
          <w:tcPr>
            <w:tcW w:w="3060" w:type="dxa"/>
            <w:gridSpan w:val="2"/>
            <w:tcBorders>
              <w:top w:val="single" w:sz="4" w:space="0" w:color="auto"/>
              <w:left w:val="nil"/>
              <w:bottom w:val="single" w:sz="4" w:space="0" w:color="auto"/>
              <w:right w:val="single" w:sz="4" w:space="0" w:color="000000"/>
            </w:tcBorders>
            <w:shd w:val="clear" w:color="auto" w:fill="auto"/>
            <w:vAlign w:val="bottom"/>
            <w:hideMark/>
          </w:tcPr>
          <w:p w:rsidR="007E0C27" w:rsidRPr="007E0C27" w:rsidRDefault="007E0C27" w:rsidP="007E0C27">
            <w:pPr>
              <w:overflowPunct/>
              <w:autoSpaceDE/>
              <w:autoSpaceDN/>
              <w:adjustRightInd/>
              <w:jc w:val="center"/>
              <w:textAlignment w:val="auto"/>
              <w:rPr>
                <w:rFonts w:ascii="Calibri" w:hAnsi="Calibri" w:cs="Calibri"/>
                <w:color w:val="000000"/>
                <w:sz w:val="22"/>
                <w:szCs w:val="22"/>
              </w:rPr>
            </w:pPr>
            <w:r w:rsidRPr="007E0C27">
              <w:rPr>
                <w:rFonts w:ascii="Calibri" w:hAnsi="Calibri" w:cs="Calibri"/>
                <w:color w:val="000000"/>
                <w:sz w:val="22"/>
                <w:szCs w:val="22"/>
              </w:rPr>
              <w:t>PUMS 2012-2016 Workers (ESR==1,2,4,5), Using Person Weights</w:t>
            </w:r>
          </w:p>
        </w:tc>
        <w:tc>
          <w:tcPr>
            <w:tcW w:w="2853" w:type="dxa"/>
            <w:gridSpan w:val="2"/>
            <w:tcBorders>
              <w:top w:val="single" w:sz="4" w:space="0" w:color="auto"/>
              <w:left w:val="nil"/>
              <w:bottom w:val="single" w:sz="4" w:space="0" w:color="auto"/>
              <w:right w:val="single" w:sz="4" w:space="0" w:color="000000"/>
            </w:tcBorders>
            <w:shd w:val="clear" w:color="auto" w:fill="auto"/>
            <w:vAlign w:val="bottom"/>
            <w:hideMark/>
          </w:tcPr>
          <w:p w:rsidR="007E0C27" w:rsidRPr="007E0C27" w:rsidRDefault="00DF02ED" w:rsidP="00DF02ED">
            <w:pPr>
              <w:overflowPunct/>
              <w:autoSpaceDE/>
              <w:autoSpaceDN/>
              <w:adjustRightInd/>
              <w:jc w:val="center"/>
              <w:textAlignment w:val="auto"/>
              <w:rPr>
                <w:rFonts w:ascii="Calibri" w:hAnsi="Calibri" w:cs="Calibri"/>
                <w:color w:val="000000"/>
                <w:sz w:val="22"/>
                <w:szCs w:val="22"/>
              </w:rPr>
            </w:pPr>
            <w:r>
              <w:rPr>
                <w:rFonts w:ascii="Calibri" w:hAnsi="Calibri" w:cs="Calibri"/>
                <w:color w:val="000000"/>
                <w:sz w:val="22"/>
                <w:szCs w:val="22"/>
              </w:rPr>
              <w:t>ACS 2013-2017 Refactored with County Total Households (Table B08202) and Workers (Table B23025)</w:t>
            </w:r>
            <w:r w:rsidR="007E0C27" w:rsidRPr="007E0C27">
              <w:rPr>
                <w:rFonts w:ascii="Calibri" w:hAnsi="Calibri" w:cs="Calibri"/>
                <w:color w:val="000000"/>
                <w:sz w:val="22"/>
                <w:szCs w:val="22"/>
              </w:rPr>
              <w:t xml:space="preserve"> </w:t>
            </w:r>
          </w:p>
        </w:tc>
        <w:tc>
          <w:tcPr>
            <w:tcW w:w="1780" w:type="dxa"/>
            <w:tcBorders>
              <w:top w:val="single" w:sz="4" w:space="0" w:color="auto"/>
              <w:left w:val="nil"/>
              <w:bottom w:val="single" w:sz="4" w:space="0" w:color="auto"/>
              <w:right w:val="nil"/>
            </w:tcBorders>
            <w:shd w:val="clear" w:color="auto" w:fill="auto"/>
            <w:vAlign w:val="bottom"/>
            <w:hideMark/>
          </w:tcPr>
          <w:p w:rsidR="007E0C27" w:rsidRPr="007E0C27" w:rsidRDefault="007E0C27" w:rsidP="000812FA">
            <w:pPr>
              <w:overflowPunct/>
              <w:autoSpaceDE/>
              <w:autoSpaceDN/>
              <w:adjustRightInd/>
              <w:jc w:val="center"/>
              <w:textAlignment w:val="auto"/>
              <w:rPr>
                <w:rFonts w:ascii="Calibri" w:hAnsi="Calibri" w:cs="Calibri"/>
                <w:color w:val="000000"/>
                <w:sz w:val="22"/>
                <w:szCs w:val="22"/>
              </w:rPr>
            </w:pPr>
            <w:r w:rsidRPr="007E0C27">
              <w:rPr>
                <w:rFonts w:ascii="Calibri" w:hAnsi="Calibri" w:cs="Calibri"/>
                <w:color w:val="000000"/>
                <w:sz w:val="22"/>
                <w:szCs w:val="22"/>
              </w:rPr>
              <w:t>County-Level Correction Factors for</w:t>
            </w:r>
            <w:r w:rsidR="000812FA">
              <w:rPr>
                <w:rFonts w:ascii="Calibri" w:hAnsi="Calibri" w:cs="Calibri"/>
                <w:color w:val="000000"/>
                <w:sz w:val="22"/>
                <w:szCs w:val="22"/>
              </w:rPr>
              <w:t xml:space="preserve"> TAZ Application</w:t>
            </w:r>
          </w:p>
        </w:tc>
      </w:tr>
      <w:tr w:rsidR="007E0C27" w:rsidRPr="007E0C27" w:rsidTr="00FC42CC">
        <w:trPr>
          <w:trHeight w:val="315"/>
          <w:tblHeader/>
        </w:trPr>
        <w:tc>
          <w:tcPr>
            <w:tcW w:w="1436" w:type="dxa"/>
            <w:tcBorders>
              <w:top w:val="nil"/>
              <w:bottom w:val="double" w:sz="6"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County</w:t>
            </w:r>
          </w:p>
        </w:tc>
        <w:tc>
          <w:tcPr>
            <w:tcW w:w="1316" w:type="dxa"/>
            <w:tcBorders>
              <w:top w:val="nil"/>
              <w:left w:val="nil"/>
              <w:bottom w:val="double" w:sz="6"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HH Workers</w:t>
            </w:r>
          </w:p>
        </w:tc>
        <w:tc>
          <w:tcPr>
            <w:tcW w:w="1630" w:type="dxa"/>
            <w:tcBorders>
              <w:top w:val="nil"/>
              <w:left w:val="single" w:sz="4" w:space="0" w:color="auto"/>
              <w:bottom w:val="double" w:sz="6"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Total Households</w:t>
            </w:r>
          </w:p>
        </w:tc>
        <w:tc>
          <w:tcPr>
            <w:tcW w:w="1565" w:type="dxa"/>
            <w:tcBorders>
              <w:top w:val="nil"/>
              <w:left w:val="nil"/>
              <w:bottom w:val="double" w:sz="6"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Implied Workers</w:t>
            </w:r>
          </w:p>
        </w:tc>
        <w:tc>
          <w:tcPr>
            <w:tcW w:w="1785" w:type="dxa"/>
            <w:tcBorders>
              <w:top w:val="single" w:sz="4" w:space="0" w:color="auto"/>
              <w:left w:val="nil"/>
              <w:bottom w:val="doub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Implied Households</w:t>
            </w:r>
          </w:p>
        </w:tc>
        <w:tc>
          <w:tcPr>
            <w:tcW w:w="1275" w:type="dxa"/>
            <w:tcBorders>
              <w:top w:val="single" w:sz="4" w:space="0" w:color="auto"/>
              <w:left w:val="nil"/>
              <w:bottom w:val="doub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Total Workers</w:t>
            </w:r>
          </w:p>
        </w:tc>
        <w:tc>
          <w:tcPr>
            <w:tcW w:w="1541" w:type="dxa"/>
            <w:tcBorders>
              <w:top w:val="nil"/>
              <w:left w:val="nil"/>
              <w:bottom w:val="double" w:sz="6" w:space="0" w:color="auto"/>
              <w:right w:val="nil"/>
            </w:tcBorders>
            <w:shd w:val="clear" w:color="auto" w:fill="auto"/>
            <w:noWrap/>
            <w:vAlign w:val="bottom"/>
            <w:hideMark/>
          </w:tcPr>
          <w:p w:rsidR="007E0C27" w:rsidRPr="007E0C27" w:rsidRDefault="00835DD8" w:rsidP="007E0C2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 xml:space="preserve">Implied </w:t>
            </w:r>
            <w:r w:rsidR="007E0C27" w:rsidRPr="007E0C27">
              <w:rPr>
                <w:rFonts w:ascii="Calibri" w:hAnsi="Calibri" w:cs="Calibri"/>
                <w:color w:val="000000"/>
                <w:sz w:val="22"/>
                <w:szCs w:val="22"/>
              </w:rPr>
              <w:t>Households</w:t>
            </w:r>
          </w:p>
        </w:tc>
        <w:tc>
          <w:tcPr>
            <w:tcW w:w="1312" w:type="dxa"/>
            <w:tcBorders>
              <w:top w:val="nil"/>
              <w:left w:val="nil"/>
              <w:bottom w:val="double" w:sz="6"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Workers</w:t>
            </w:r>
          </w:p>
        </w:tc>
        <w:tc>
          <w:tcPr>
            <w:tcW w:w="1780" w:type="dxa"/>
            <w:tcBorders>
              <w:top w:val="nil"/>
              <w:left w:val="nil"/>
              <w:bottom w:val="double" w:sz="6"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Households</w:t>
            </w:r>
          </w:p>
        </w:tc>
      </w:tr>
      <w:tr w:rsidR="007E0C27" w:rsidRPr="007E0C27" w:rsidTr="00FC42CC">
        <w:trPr>
          <w:trHeight w:val="315"/>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Alameda</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140,827</w:t>
            </w:r>
          </w:p>
        </w:tc>
        <w:tc>
          <w:tcPr>
            <w:tcW w:w="1565" w:type="dxa"/>
            <w:tcBorders>
              <w:top w:val="double" w:sz="4" w:space="0" w:color="auto"/>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double" w:sz="4" w:space="0" w:color="auto"/>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89,345</w:t>
            </w:r>
          </w:p>
        </w:tc>
        <w:tc>
          <w:tcPr>
            <w:tcW w:w="1275" w:type="dxa"/>
            <w:tcBorders>
              <w:top w:val="double" w:sz="4" w:space="0" w:color="auto"/>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79,159</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0.562</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213,190</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213,190</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227,654</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227,654</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234,826</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234,826</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1.101</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168,962</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337,924</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190,241</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380,481</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196,234</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392,468</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1.161</w:t>
            </w: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46,091</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157,030</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57,053</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194,376</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58,850</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200,500</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1.277</w:t>
            </w:r>
          </w:p>
        </w:tc>
      </w:tr>
      <w:tr w:rsidR="0085550E" w:rsidRPr="007E0C27" w:rsidTr="00F83B98">
        <w:trPr>
          <w:trHeight w:val="300"/>
        </w:trPr>
        <w:tc>
          <w:tcPr>
            <w:tcW w:w="2752" w:type="dxa"/>
            <w:gridSpan w:val="2"/>
            <w:tcBorders>
              <w:top w:val="nil"/>
              <w:bottom w:val="single" w:sz="4" w:space="0" w:color="auto"/>
              <w:right w:val="nil"/>
            </w:tcBorders>
            <w:shd w:val="clear" w:color="auto" w:fill="auto"/>
            <w:noWrap/>
            <w:vAlign w:val="bottom"/>
            <w:hideMark/>
          </w:tcPr>
          <w:p w:rsidR="0085550E" w:rsidRPr="007E0C27" w:rsidRDefault="0085550E" w:rsidP="0085550E">
            <w:pPr>
              <w:overflowPunct/>
              <w:autoSpaceDE/>
              <w:autoSpaceDN/>
              <w:adjustRightInd/>
              <w:textAlignment w:val="auto"/>
              <w:rPr>
                <w:rFonts w:ascii="Calibri" w:hAnsi="Calibri" w:cs="Calibri"/>
                <w:color w:val="000000"/>
                <w:sz w:val="22"/>
                <w:szCs w:val="22"/>
              </w:rPr>
            </w:pPr>
            <w:r>
              <w:rPr>
                <w:rFonts w:ascii="Calibri" w:hAnsi="Calibri" w:cs="Calibri"/>
                <w:color w:val="000000"/>
                <w:sz w:val="22"/>
                <w:szCs w:val="22"/>
              </w:rPr>
              <w:t>Alameda Total</w:t>
            </w:r>
            <w:r w:rsidRPr="007E0C27">
              <w:rPr>
                <w:rFonts w:ascii="Calibri" w:hAnsi="Calibri" w:cs="Calibri"/>
                <w:color w:val="000000"/>
                <w:sz w:val="22"/>
                <w:szCs w:val="22"/>
              </w:rPr>
              <w:t> </w:t>
            </w:r>
          </w:p>
        </w:tc>
        <w:tc>
          <w:tcPr>
            <w:tcW w:w="1630" w:type="dxa"/>
            <w:tcBorders>
              <w:top w:val="nil"/>
              <w:left w:val="single" w:sz="4" w:space="0" w:color="auto"/>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569,070</w:t>
            </w:r>
          </w:p>
        </w:tc>
        <w:tc>
          <w:tcPr>
            <w:tcW w:w="1565" w:type="dxa"/>
            <w:tcBorders>
              <w:top w:val="nil"/>
              <w:left w:val="nil"/>
              <w:bottom w:val="single" w:sz="4" w:space="0" w:color="auto"/>
              <w:right w:val="single" w:sz="4" w:space="0" w:color="auto"/>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708,144</w:t>
            </w:r>
          </w:p>
        </w:tc>
        <w:tc>
          <w:tcPr>
            <w:tcW w:w="1785" w:type="dxa"/>
            <w:tcBorders>
              <w:top w:val="single" w:sz="4" w:space="0" w:color="auto"/>
              <w:left w:val="single" w:sz="4" w:space="0" w:color="auto"/>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564,292</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802,511</w:t>
            </w:r>
          </w:p>
        </w:tc>
        <w:tc>
          <w:tcPr>
            <w:tcW w:w="1541" w:type="dxa"/>
            <w:tcBorders>
              <w:top w:val="nil"/>
              <w:left w:val="nil"/>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569,070</w:t>
            </w:r>
          </w:p>
        </w:tc>
        <w:tc>
          <w:tcPr>
            <w:tcW w:w="1312" w:type="dxa"/>
            <w:tcBorders>
              <w:top w:val="single" w:sz="4" w:space="0" w:color="auto"/>
              <w:left w:val="nil"/>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827,795</w:t>
            </w:r>
          </w:p>
        </w:tc>
        <w:tc>
          <w:tcPr>
            <w:tcW w:w="1780" w:type="dxa"/>
            <w:tcBorders>
              <w:top w:val="nil"/>
              <w:left w:val="single" w:sz="4" w:space="0" w:color="auto"/>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1.000</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Contra Costa</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92,670</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single" w:sz="4" w:space="0" w:color="auto"/>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76,635</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70,245</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0.758</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145,079</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145,079</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150,795</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150,795</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154,891</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154,891</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1.068</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117,893</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235,786</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123,855</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247,709</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127,219</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254,438</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1.079</w:t>
            </w: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33,955</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115,683</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36,256</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123,524</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37,241</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126,880</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1.097</w:t>
            </w:r>
          </w:p>
        </w:tc>
      </w:tr>
      <w:tr w:rsidR="007E0C27" w:rsidRPr="007E0C27" w:rsidTr="00F83B98">
        <w:trPr>
          <w:trHeight w:val="300"/>
        </w:trPr>
        <w:tc>
          <w:tcPr>
            <w:tcW w:w="2752" w:type="dxa"/>
            <w:gridSpan w:val="2"/>
            <w:tcBorders>
              <w:top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Contra Costa Total</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389,597</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496,548</w:t>
            </w:r>
          </w:p>
        </w:tc>
        <w:tc>
          <w:tcPr>
            <w:tcW w:w="1785" w:type="dxa"/>
            <w:tcBorders>
              <w:top w:val="single" w:sz="4" w:space="0" w:color="auto"/>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387,541</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522,028</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389,597</w:t>
            </w:r>
          </w:p>
        </w:tc>
        <w:tc>
          <w:tcPr>
            <w:tcW w:w="1312" w:type="dxa"/>
            <w:tcBorders>
              <w:top w:val="single" w:sz="4" w:space="0" w:color="auto"/>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536,209</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1.000</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Marin</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27,347</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single" w:sz="4" w:space="0" w:color="auto"/>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22,933</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22,657</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0.829</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41,727</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41,727</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42,776</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42,776</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43,155</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43,155</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1.034</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30,126</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60,252</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31,982</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63,963</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32,265</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64,529</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1.071</w:t>
            </w: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5,646</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19,236</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6,710</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22,861</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6,769</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23,063</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1.199</w:t>
            </w: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Marin Total</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104,846</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121,215</w:t>
            </w:r>
          </w:p>
        </w:tc>
        <w:tc>
          <w:tcPr>
            <w:tcW w:w="1785" w:type="dxa"/>
            <w:tcBorders>
              <w:top w:val="single" w:sz="4" w:space="0" w:color="auto"/>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104,401</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129,600</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104,846</w:t>
            </w:r>
          </w:p>
        </w:tc>
        <w:tc>
          <w:tcPr>
            <w:tcW w:w="1312" w:type="dxa"/>
            <w:tcBorders>
              <w:top w:val="single" w:sz="4" w:space="0" w:color="auto"/>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130,747</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1.000</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Napa</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12,572</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single" w:sz="4" w:space="0" w:color="auto"/>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9,623</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8,700</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0.692</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16,470</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16,470</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17,628</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17,628</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17,890</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17,890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1.086</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15,313</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30,626</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16,278</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32,555</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16,519</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33,039</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1.079</w:t>
            </w: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4,689</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15,975</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5,847</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19,921</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5,934</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20,217</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1.266</w:t>
            </w: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Napa Total</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49,044</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63,071</w:t>
            </w:r>
          </w:p>
        </w:tc>
        <w:tc>
          <w:tcPr>
            <w:tcW w:w="1785" w:type="dxa"/>
            <w:tcBorders>
              <w:top w:val="single" w:sz="4" w:space="0" w:color="auto"/>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49,376</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70,104</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49,044</w:t>
            </w:r>
          </w:p>
        </w:tc>
        <w:tc>
          <w:tcPr>
            <w:tcW w:w="1312" w:type="dxa"/>
            <w:tcBorders>
              <w:top w:val="single" w:sz="4" w:space="0" w:color="auto"/>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71,146</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1.000</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San Francisco</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82,119</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single" w:sz="4" w:space="0" w:color="auto"/>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62,273</w:t>
            </w:r>
          </w:p>
        </w:tc>
        <w:tc>
          <w:tcPr>
            <w:tcW w:w="1275" w:type="dxa"/>
            <w:tcBorders>
              <w:top w:val="single" w:sz="4" w:space="0" w:color="auto"/>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single" w:sz="4" w:space="0" w:color="auto"/>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55,581</w:t>
            </w:r>
          </w:p>
        </w:tc>
        <w:tc>
          <w:tcPr>
            <w:tcW w:w="1312" w:type="dxa"/>
            <w:tcBorders>
              <w:top w:val="single" w:sz="4" w:space="0" w:color="auto"/>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0.677</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139,605</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139,605</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147,713</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147,713</w:t>
            </w:r>
          </w:p>
        </w:tc>
        <w:tc>
          <w:tcPr>
            <w:tcW w:w="1541"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152,059</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152,059</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1.089</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106,022</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212,044</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111,596</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223,192</w:t>
            </w:r>
          </w:p>
        </w:tc>
        <w:tc>
          <w:tcPr>
            <w:tcW w:w="1541"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114,880</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229,759</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1.084</w:t>
            </w: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31,026</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105,704</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35,216</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119,980</w:t>
            </w:r>
          </w:p>
        </w:tc>
        <w:tc>
          <w:tcPr>
            <w:tcW w:w="1541"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36,252</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123,510</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1.168</w:t>
            </w:r>
          </w:p>
        </w:tc>
      </w:tr>
      <w:tr w:rsidR="007E0C27" w:rsidRPr="007E0C27" w:rsidTr="00F83B98">
        <w:trPr>
          <w:trHeight w:val="300"/>
        </w:trPr>
        <w:tc>
          <w:tcPr>
            <w:tcW w:w="2752" w:type="dxa"/>
            <w:gridSpan w:val="2"/>
            <w:tcBorders>
              <w:top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San Francisco Total</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358,772</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457,353</w:t>
            </w:r>
          </w:p>
        </w:tc>
        <w:tc>
          <w:tcPr>
            <w:tcW w:w="1785" w:type="dxa"/>
            <w:tcBorders>
              <w:top w:val="single" w:sz="4" w:space="0" w:color="auto"/>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356,798</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490,885</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358,772</w:t>
            </w:r>
          </w:p>
        </w:tc>
        <w:tc>
          <w:tcPr>
            <w:tcW w:w="1312" w:type="dxa"/>
            <w:tcBorders>
              <w:top w:val="single" w:sz="4" w:space="0" w:color="auto"/>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505,329</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1.000</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lastRenderedPageBreak/>
              <w:t>San Mateo</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50,750</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37,149</w:t>
            </w:r>
          </w:p>
        </w:tc>
        <w:tc>
          <w:tcPr>
            <w:tcW w:w="1275" w:type="dxa"/>
            <w:tcBorders>
              <w:top w:val="single" w:sz="4" w:space="0" w:color="auto"/>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32,948</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0.649</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95,393</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95,393</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98,428</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98,428</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100,621</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100,621</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1.055</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86,422</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172,844</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91,986</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183,971</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94,035</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188,070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1.088</w:t>
            </w: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29,231</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99,589</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33,448</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113,954</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34,193</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116,493</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1.170</w:t>
            </w:r>
          </w:p>
        </w:tc>
      </w:tr>
      <w:tr w:rsidR="007E0C27" w:rsidRPr="007E0C27" w:rsidTr="00F83B98">
        <w:trPr>
          <w:trHeight w:val="300"/>
        </w:trPr>
        <w:tc>
          <w:tcPr>
            <w:tcW w:w="2752" w:type="dxa"/>
            <w:gridSpan w:val="2"/>
            <w:tcBorders>
              <w:top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San Mateo Total</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261,796</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367,826</w:t>
            </w:r>
          </w:p>
        </w:tc>
        <w:tc>
          <w:tcPr>
            <w:tcW w:w="1785" w:type="dxa"/>
            <w:tcBorders>
              <w:top w:val="single" w:sz="4" w:space="0" w:color="auto"/>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261,010</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396,353</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261,796</w:t>
            </w:r>
          </w:p>
        </w:tc>
        <w:tc>
          <w:tcPr>
            <w:tcW w:w="1312" w:type="dxa"/>
            <w:tcBorders>
              <w:top w:val="single" w:sz="4" w:space="0" w:color="auto"/>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405,183</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1.000</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Santa Clara</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118,875</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single" w:sz="4" w:space="0" w:color="auto"/>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80,898</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68,980</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0.580</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240,595</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240,595</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254,546</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254,546</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261,911</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261,911</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1.089</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204,894</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409,788</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217,338</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434,676</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223,627</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447,254</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1.091</w:t>
            </w: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66,087</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225,155</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73,797</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251,423</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75,932</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258,698</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1.149</w:t>
            </w:r>
          </w:p>
        </w:tc>
      </w:tr>
      <w:tr w:rsidR="007E0C27" w:rsidRPr="007E0C27" w:rsidTr="00F83B98">
        <w:trPr>
          <w:trHeight w:val="300"/>
        </w:trPr>
        <w:tc>
          <w:tcPr>
            <w:tcW w:w="2752" w:type="dxa"/>
            <w:gridSpan w:val="2"/>
            <w:tcBorders>
              <w:top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Santa Clara Total</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630,451</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875,538</w:t>
            </w:r>
          </w:p>
        </w:tc>
        <w:tc>
          <w:tcPr>
            <w:tcW w:w="1785" w:type="dxa"/>
            <w:tcBorders>
              <w:top w:val="single" w:sz="4" w:space="0" w:color="auto"/>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626,579</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940,645</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630,451</w:t>
            </w:r>
          </w:p>
        </w:tc>
        <w:tc>
          <w:tcPr>
            <w:tcW w:w="1312" w:type="dxa"/>
            <w:tcBorders>
              <w:top w:val="single" w:sz="4" w:space="0" w:color="auto"/>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967,863</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1.000</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Solano</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37,665</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single" w:sz="4" w:space="0" w:color="auto"/>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29,363</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28,171</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0.748</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54,266</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54,266</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56,558</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56,558</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58,133</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58,133</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1.071</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41,863</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83,726</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45,329</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90,657</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46,591</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93,182</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1.113</w:t>
            </w: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13,558</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46,191</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14,065</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47,919</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14,457</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49,254</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1.066</w:t>
            </w: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Solano Total</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147,352</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184,183</w:t>
            </w:r>
          </w:p>
        </w:tc>
        <w:tc>
          <w:tcPr>
            <w:tcW w:w="1785" w:type="dxa"/>
            <w:tcBorders>
              <w:top w:val="single" w:sz="4" w:space="0" w:color="auto"/>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145,315</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195,134</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147,352</w:t>
            </w:r>
          </w:p>
        </w:tc>
        <w:tc>
          <w:tcPr>
            <w:tcW w:w="1312" w:type="dxa"/>
            <w:tcBorders>
              <w:top w:val="single" w:sz="4" w:space="0" w:color="auto"/>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200,569</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1.000</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Sonoma</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51,489</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single" w:sz="4" w:space="0" w:color="auto"/>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41,782</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40,335</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0.783</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69,025</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69,025</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72,614</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72,614</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73,828</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73,828</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1.070</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53,747</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107,494</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57,596</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115,192</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58,559</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117,118</w:t>
            </w:r>
          </w:p>
        </w:tc>
        <w:tc>
          <w:tcPr>
            <w:tcW w:w="178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1.090</w:t>
            </w: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15,797</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53,820</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17,051</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58,093</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17,336</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59,064</w:t>
            </w:r>
          </w:p>
        </w:tc>
        <w:tc>
          <w:tcPr>
            <w:tcW w:w="178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1.097</w:t>
            </w:r>
          </w:p>
        </w:tc>
      </w:tr>
      <w:tr w:rsidR="00EE762A" w:rsidRPr="007E0C27" w:rsidTr="00F83B98">
        <w:trPr>
          <w:trHeight w:val="300"/>
        </w:trPr>
        <w:tc>
          <w:tcPr>
            <w:tcW w:w="2752" w:type="dxa"/>
            <w:gridSpan w:val="2"/>
            <w:tcBorders>
              <w:top w:val="nil"/>
              <w:bottom w:val="single" w:sz="4" w:space="0" w:color="auto"/>
              <w:right w:val="nil"/>
            </w:tcBorders>
            <w:shd w:val="clear" w:color="auto" w:fill="auto"/>
            <w:noWrap/>
            <w:vAlign w:val="bottom"/>
            <w:hideMark/>
          </w:tcPr>
          <w:p w:rsidR="00EE762A" w:rsidRPr="007E0C27" w:rsidRDefault="00EE762A" w:rsidP="00EE762A">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Sonoma Total </w:t>
            </w:r>
          </w:p>
        </w:tc>
        <w:tc>
          <w:tcPr>
            <w:tcW w:w="1630" w:type="dxa"/>
            <w:tcBorders>
              <w:top w:val="nil"/>
              <w:left w:val="single" w:sz="4" w:space="0" w:color="auto"/>
              <w:bottom w:val="single" w:sz="4" w:space="0" w:color="auto"/>
              <w:right w:val="nil"/>
            </w:tcBorders>
            <w:shd w:val="clear" w:color="auto" w:fill="auto"/>
            <w:noWrap/>
            <w:vAlign w:val="bottom"/>
            <w:hideMark/>
          </w:tcPr>
          <w:p w:rsidR="00EE762A" w:rsidRPr="007E0C27" w:rsidRDefault="00EE762A"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190,058</w:t>
            </w:r>
          </w:p>
        </w:tc>
        <w:tc>
          <w:tcPr>
            <w:tcW w:w="1565" w:type="dxa"/>
            <w:tcBorders>
              <w:top w:val="nil"/>
              <w:left w:val="nil"/>
              <w:bottom w:val="single" w:sz="4" w:space="0" w:color="auto"/>
              <w:right w:val="single" w:sz="4" w:space="0" w:color="auto"/>
            </w:tcBorders>
            <w:shd w:val="clear" w:color="auto" w:fill="auto"/>
            <w:noWrap/>
            <w:vAlign w:val="bottom"/>
            <w:hideMark/>
          </w:tcPr>
          <w:p w:rsidR="00EE762A" w:rsidRPr="007E0C27" w:rsidRDefault="00EE762A"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230,339</w:t>
            </w:r>
          </w:p>
        </w:tc>
        <w:tc>
          <w:tcPr>
            <w:tcW w:w="1785" w:type="dxa"/>
            <w:tcBorders>
              <w:top w:val="single" w:sz="4" w:space="0" w:color="auto"/>
              <w:left w:val="single" w:sz="4" w:space="0" w:color="auto"/>
              <w:bottom w:val="single" w:sz="4" w:space="0" w:color="auto"/>
              <w:right w:val="nil"/>
            </w:tcBorders>
            <w:shd w:val="clear" w:color="auto" w:fill="auto"/>
            <w:noWrap/>
            <w:vAlign w:val="bottom"/>
            <w:hideMark/>
          </w:tcPr>
          <w:p w:rsidR="00EE762A" w:rsidRPr="007E0C27" w:rsidRDefault="00EE762A"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189,043</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EE762A" w:rsidRPr="007E0C27" w:rsidRDefault="00EE762A"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245,899</w:t>
            </w:r>
          </w:p>
        </w:tc>
        <w:tc>
          <w:tcPr>
            <w:tcW w:w="1541" w:type="dxa"/>
            <w:tcBorders>
              <w:top w:val="nil"/>
              <w:left w:val="nil"/>
              <w:bottom w:val="single" w:sz="4" w:space="0" w:color="auto"/>
              <w:right w:val="nil"/>
            </w:tcBorders>
            <w:shd w:val="clear" w:color="auto" w:fill="auto"/>
            <w:noWrap/>
            <w:vAlign w:val="bottom"/>
            <w:hideMark/>
          </w:tcPr>
          <w:p w:rsidR="00EE762A" w:rsidRPr="007E0C27" w:rsidRDefault="00EE762A"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190,058</w:t>
            </w:r>
          </w:p>
        </w:tc>
        <w:tc>
          <w:tcPr>
            <w:tcW w:w="1312" w:type="dxa"/>
            <w:tcBorders>
              <w:top w:val="single" w:sz="4" w:space="0" w:color="auto"/>
              <w:left w:val="nil"/>
              <w:bottom w:val="single" w:sz="4" w:space="0" w:color="auto"/>
              <w:right w:val="nil"/>
            </w:tcBorders>
            <w:shd w:val="clear" w:color="auto" w:fill="auto"/>
            <w:noWrap/>
            <w:vAlign w:val="bottom"/>
            <w:hideMark/>
          </w:tcPr>
          <w:p w:rsidR="00EE762A" w:rsidRPr="007E0C27" w:rsidRDefault="00EE762A"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250,010</w:t>
            </w:r>
          </w:p>
        </w:tc>
        <w:tc>
          <w:tcPr>
            <w:tcW w:w="1780" w:type="dxa"/>
            <w:tcBorders>
              <w:top w:val="nil"/>
              <w:left w:val="single" w:sz="4" w:space="0" w:color="auto"/>
              <w:bottom w:val="single" w:sz="4" w:space="0" w:color="auto"/>
              <w:right w:val="nil"/>
            </w:tcBorders>
            <w:shd w:val="clear" w:color="auto" w:fill="auto"/>
            <w:noWrap/>
            <w:vAlign w:val="bottom"/>
            <w:hideMark/>
          </w:tcPr>
          <w:p w:rsidR="00EE762A" w:rsidRPr="007E0C27" w:rsidRDefault="00EE762A"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1.000</w:t>
            </w: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Bay Area</w:t>
            </w: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0_workers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614,314</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5" w:type="dxa"/>
            <w:tcBorders>
              <w:top w:val="single" w:sz="4" w:space="0" w:color="auto"/>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450,001</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406,776</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0</w:t>
            </w:r>
          </w:p>
        </w:tc>
        <w:tc>
          <w:tcPr>
            <w:tcW w:w="1780" w:type="dxa"/>
            <w:tcBorders>
              <w:top w:val="nil"/>
              <w:left w:val="single" w:sz="4" w:space="0" w:color="auto"/>
              <w:bottom w:val="nil"/>
              <w:right w:val="nil"/>
            </w:tcBorders>
            <w:shd w:val="clear" w:color="auto" w:fill="auto"/>
            <w:noWrap/>
            <w:vAlign w:val="bottom"/>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1_worker</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1,015,350</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1,015,350</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1,068,712</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1,068,712</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1,097,315</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1,097,315</w:t>
            </w:r>
          </w:p>
        </w:tc>
        <w:tc>
          <w:tcPr>
            <w:tcW w:w="1780" w:type="dxa"/>
            <w:tcBorders>
              <w:top w:val="nil"/>
              <w:left w:val="single" w:sz="4" w:space="0" w:color="auto"/>
              <w:bottom w:val="nil"/>
              <w:right w:val="nil"/>
            </w:tcBorders>
            <w:shd w:val="clear" w:color="auto" w:fill="auto"/>
            <w:noWrap/>
            <w:vAlign w:val="bottom"/>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r>
      <w:tr w:rsidR="007E0C27" w:rsidRPr="007E0C27" w:rsidTr="00F83B98">
        <w:trPr>
          <w:trHeight w:val="300"/>
        </w:trPr>
        <w:tc>
          <w:tcPr>
            <w:tcW w:w="1436" w:type="dxa"/>
            <w:tcBorders>
              <w:top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2_workers</w:t>
            </w:r>
          </w:p>
        </w:tc>
        <w:tc>
          <w:tcPr>
            <w:tcW w:w="1630"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825,242</w:t>
            </w:r>
          </w:p>
        </w:tc>
        <w:tc>
          <w:tcPr>
            <w:tcW w:w="156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1,650,484</w:t>
            </w:r>
          </w:p>
        </w:tc>
        <w:tc>
          <w:tcPr>
            <w:tcW w:w="1785" w:type="dxa"/>
            <w:tcBorders>
              <w:top w:val="nil"/>
              <w:left w:val="single" w:sz="4" w:space="0" w:color="auto"/>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886,198</w:t>
            </w:r>
          </w:p>
        </w:tc>
        <w:tc>
          <w:tcPr>
            <w:tcW w:w="1275" w:type="dxa"/>
            <w:tcBorders>
              <w:top w:val="nil"/>
              <w:left w:val="nil"/>
              <w:bottom w:val="nil"/>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1,772,396</w:t>
            </w:r>
          </w:p>
        </w:tc>
        <w:tc>
          <w:tcPr>
            <w:tcW w:w="1541"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909,928</w:t>
            </w:r>
          </w:p>
        </w:tc>
        <w:tc>
          <w:tcPr>
            <w:tcW w:w="1312" w:type="dxa"/>
            <w:tcBorders>
              <w:top w:val="nil"/>
              <w:left w:val="nil"/>
              <w:bottom w:val="nil"/>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1,819,857</w:t>
            </w:r>
          </w:p>
        </w:tc>
        <w:tc>
          <w:tcPr>
            <w:tcW w:w="1780" w:type="dxa"/>
            <w:tcBorders>
              <w:top w:val="nil"/>
              <w:left w:val="single" w:sz="4" w:space="0" w:color="auto"/>
              <w:bottom w:val="nil"/>
              <w:right w:val="nil"/>
            </w:tcBorders>
            <w:shd w:val="clear" w:color="auto" w:fill="auto"/>
            <w:noWrap/>
            <w:vAlign w:val="bottom"/>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r>
      <w:tr w:rsidR="007E0C27" w:rsidRPr="007E0C27" w:rsidTr="00F83B98">
        <w:trPr>
          <w:trHeight w:val="300"/>
        </w:trPr>
        <w:tc>
          <w:tcPr>
            <w:tcW w:w="1436" w:type="dxa"/>
            <w:tcBorders>
              <w:top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 </w:t>
            </w:r>
          </w:p>
        </w:tc>
        <w:tc>
          <w:tcPr>
            <w:tcW w:w="1316"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3p_workers</w:t>
            </w:r>
          </w:p>
        </w:tc>
        <w:tc>
          <w:tcPr>
            <w:tcW w:w="1630"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246,080</w:t>
            </w:r>
          </w:p>
        </w:tc>
        <w:tc>
          <w:tcPr>
            <w:tcW w:w="156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838,382</w:t>
            </w:r>
          </w:p>
        </w:tc>
        <w:tc>
          <w:tcPr>
            <w:tcW w:w="1785" w:type="dxa"/>
            <w:tcBorders>
              <w:top w:val="nil"/>
              <w:left w:val="single" w:sz="4" w:space="0" w:color="auto"/>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279,444</w:t>
            </w:r>
          </w:p>
        </w:tc>
        <w:tc>
          <w:tcPr>
            <w:tcW w:w="1275" w:type="dxa"/>
            <w:tcBorders>
              <w:top w:val="nil"/>
              <w:left w:val="nil"/>
              <w:bottom w:val="single" w:sz="4" w:space="0" w:color="auto"/>
              <w:right w:val="single" w:sz="4" w:space="0" w:color="auto"/>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952,051</w:t>
            </w:r>
          </w:p>
        </w:tc>
        <w:tc>
          <w:tcPr>
            <w:tcW w:w="1541"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286,966</w:t>
            </w:r>
          </w:p>
        </w:tc>
        <w:tc>
          <w:tcPr>
            <w:tcW w:w="1312" w:type="dxa"/>
            <w:tcBorders>
              <w:top w:val="nil"/>
              <w:left w:val="nil"/>
              <w:bottom w:val="single" w:sz="4" w:space="0" w:color="auto"/>
              <w:right w:val="nil"/>
            </w:tcBorders>
            <w:shd w:val="clear" w:color="auto" w:fill="auto"/>
            <w:noWrap/>
            <w:vAlign w:val="bottom"/>
            <w:hideMark/>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977,679</w:t>
            </w:r>
          </w:p>
        </w:tc>
        <w:tc>
          <w:tcPr>
            <w:tcW w:w="1780" w:type="dxa"/>
            <w:tcBorders>
              <w:top w:val="nil"/>
              <w:left w:val="single" w:sz="4" w:space="0" w:color="auto"/>
              <w:bottom w:val="single" w:sz="4" w:space="0" w:color="auto"/>
              <w:right w:val="nil"/>
            </w:tcBorders>
            <w:shd w:val="clear" w:color="auto" w:fill="auto"/>
            <w:noWrap/>
            <w:vAlign w:val="bottom"/>
          </w:tcPr>
          <w:p w:rsidR="007E0C27" w:rsidRPr="007E0C27" w:rsidRDefault="007E0C27" w:rsidP="007E0C27">
            <w:pPr>
              <w:overflowPunct/>
              <w:autoSpaceDE/>
              <w:autoSpaceDN/>
              <w:adjustRightInd/>
              <w:jc w:val="right"/>
              <w:textAlignment w:val="auto"/>
              <w:rPr>
                <w:rFonts w:ascii="Calibri" w:hAnsi="Calibri" w:cs="Calibri"/>
                <w:color w:val="000000"/>
                <w:sz w:val="22"/>
                <w:szCs w:val="22"/>
              </w:rPr>
            </w:pPr>
          </w:p>
        </w:tc>
      </w:tr>
      <w:tr w:rsidR="0085550E" w:rsidRPr="007E0C27" w:rsidTr="00F83B98">
        <w:trPr>
          <w:trHeight w:val="300"/>
        </w:trPr>
        <w:tc>
          <w:tcPr>
            <w:tcW w:w="2752" w:type="dxa"/>
            <w:gridSpan w:val="2"/>
            <w:tcBorders>
              <w:top w:val="nil"/>
              <w:bottom w:val="single" w:sz="4" w:space="0" w:color="auto"/>
              <w:right w:val="nil"/>
            </w:tcBorders>
            <w:shd w:val="clear" w:color="auto" w:fill="auto"/>
            <w:noWrap/>
            <w:vAlign w:val="bottom"/>
            <w:hideMark/>
          </w:tcPr>
          <w:p w:rsidR="0085550E" w:rsidRPr="007E0C27" w:rsidRDefault="0085550E" w:rsidP="0085550E">
            <w:pPr>
              <w:overflowPunct/>
              <w:autoSpaceDE/>
              <w:autoSpaceDN/>
              <w:adjustRightInd/>
              <w:textAlignment w:val="auto"/>
              <w:rPr>
                <w:rFonts w:ascii="Calibri" w:hAnsi="Calibri" w:cs="Calibri"/>
                <w:color w:val="000000"/>
                <w:sz w:val="22"/>
                <w:szCs w:val="22"/>
              </w:rPr>
            </w:pPr>
            <w:r w:rsidRPr="007E0C27">
              <w:rPr>
                <w:rFonts w:ascii="Calibri" w:hAnsi="Calibri" w:cs="Calibri"/>
                <w:color w:val="000000"/>
                <w:sz w:val="22"/>
                <w:szCs w:val="22"/>
              </w:rPr>
              <w:t>Bay Area Total </w:t>
            </w:r>
          </w:p>
        </w:tc>
        <w:tc>
          <w:tcPr>
            <w:tcW w:w="1630" w:type="dxa"/>
            <w:tcBorders>
              <w:top w:val="nil"/>
              <w:left w:val="single" w:sz="4" w:space="0" w:color="auto"/>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2,700,986</w:t>
            </w:r>
          </w:p>
        </w:tc>
        <w:tc>
          <w:tcPr>
            <w:tcW w:w="1565" w:type="dxa"/>
            <w:tcBorders>
              <w:top w:val="nil"/>
              <w:left w:val="nil"/>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3,504,216</w:t>
            </w:r>
          </w:p>
        </w:tc>
        <w:tc>
          <w:tcPr>
            <w:tcW w:w="1785" w:type="dxa"/>
            <w:tcBorders>
              <w:top w:val="nil"/>
              <w:left w:val="nil"/>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2,684,355</w:t>
            </w:r>
          </w:p>
        </w:tc>
        <w:tc>
          <w:tcPr>
            <w:tcW w:w="1275" w:type="dxa"/>
            <w:tcBorders>
              <w:top w:val="nil"/>
              <w:left w:val="nil"/>
              <w:bottom w:val="single" w:sz="4" w:space="0" w:color="auto"/>
              <w:right w:val="single" w:sz="4" w:space="0" w:color="auto"/>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3,793,159</w:t>
            </w:r>
          </w:p>
        </w:tc>
        <w:tc>
          <w:tcPr>
            <w:tcW w:w="1541" w:type="dxa"/>
            <w:tcBorders>
              <w:top w:val="nil"/>
              <w:left w:val="nil"/>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2,700,986</w:t>
            </w:r>
          </w:p>
        </w:tc>
        <w:tc>
          <w:tcPr>
            <w:tcW w:w="1312" w:type="dxa"/>
            <w:tcBorders>
              <w:top w:val="nil"/>
              <w:left w:val="nil"/>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r w:rsidRPr="007E0C27">
              <w:rPr>
                <w:rFonts w:ascii="Calibri" w:hAnsi="Calibri" w:cs="Calibri"/>
                <w:color w:val="000000"/>
                <w:sz w:val="22"/>
                <w:szCs w:val="22"/>
              </w:rPr>
              <w:t>3,894,851</w:t>
            </w:r>
          </w:p>
        </w:tc>
        <w:tc>
          <w:tcPr>
            <w:tcW w:w="1780" w:type="dxa"/>
            <w:tcBorders>
              <w:top w:val="nil"/>
              <w:left w:val="single" w:sz="4" w:space="0" w:color="auto"/>
              <w:bottom w:val="single" w:sz="4" w:space="0" w:color="auto"/>
              <w:right w:val="nil"/>
            </w:tcBorders>
            <w:shd w:val="clear" w:color="auto" w:fill="auto"/>
            <w:noWrap/>
            <w:vAlign w:val="bottom"/>
            <w:hideMark/>
          </w:tcPr>
          <w:p w:rsidR="0085550E" w:rsidRPr="007E0C27" w:rsidRDefault="0085550E" w:rsidP="007E0C27">
            <w:pPr>
              <w:overflowPunct/>
              <w:autoSpaceDE/>
              <w:autoSpaceDN/>
              <w:adjustRightInd/>
              <w:jc w:val="right"/>
              <w:textAlignment w:val="auto"/>
              <w:rPr>
                <w:rFonts w:ascii="Calibri" w:hAnsi="Calibri" w:cs="Calibri"/>
                <w:color w:val="000000"/>
                <w:sz w:val="22"/>
                <w:szCs w:val="22"/>
              </w:rPr>
            </w:pPr>
          </w:p>
        </w:tc>
      </w:tr>
    </w:tbl>
    <w:p w:rsidR="00881F4F" w:rsidRDefault="00881F4F" w:rsidP="00F82EF2">
      <w:pPr>
        <w:sectPr w:rsidR="00881F4F" w:rsidSect="00A433E2">
          <w:pgSz w:w="15840" w:h="12240" w:orient="landscape" w:code="1"/>
          <w:pgMar w:top="864" w:right="720" w:bottom="864" w:left="720" w:header="720" w:footer="720" w:gutter="0"/>
          <w:cols w:space="720"/>
          <w:docGrid w:linePitch="326"/>
        </w:sectPr>
      </w:pPr>
    </w:p>
    <w:p w:rsidR="007E0C27" w:rsidRDefault="007E0C27" w:rsidP="00F82EF2"/>
    <w:p w:rsidR="00491471" w:rsidRDefault="00491471" w:rsidP="00F82EF2"/>
    <w:p w:rsidR="00491471" w:rsidRDefault="00491471" w:rsidP="00F82EF2"/>
    <w:p w:rsidR="00491471" w:rsidRDefault="00491471" w:rsidP="00F82EF2"/>
    <w:p w:rsidR="00491471" w:rsidRDefault="00491471" w:rsidP="00F82EF2">
      <w:r>
        <w:rPr>
          <w:szCs w:val="24"/>
        </w:rPr>
        <w:t>SI</w:t>
      </w:r>
      <w:r>
        <w:rPr>
          <w:sz w:val="18"/>
          <w:szCs w:val="18"/>
        </w:rPr>
        <w:br/>
      </w:r>
      <w:r w:rsidRPr="00DD5033">
        <w:rPr>
          <w:sz w:val="18"/>
          <w:szCs w:val="18"/>
        </w:rPr>
        <w:fldChar w:fldCharType="begin"/>
      </w:r>
      <w:r w:rsidRPr="00DD5033">
        <w:rPr>
          <w:sz w:val="18"/>
          <w:szCs w:val="18"/>
        </w:rPr>
        <w:instrText xml:space="preserve"> FILENAME  \p  \* MERGEFORMAT </w:instrText>
      </w:r>
      <w:r w:rsidRPr="00DD5033">
        <w:rPr>
          <w:sz w:val="18"/>
          <w:szCs w:val="18"/>
        </w:rPr>
        <w:fldChar w:fldCharType="separate"/>
      </w:r>
      <w:r>
        <w:rPr>
          <w:noProof/>
          <w:sz w:val="18"/>
          <w:szCs w:val="18"/>
        </w:rPr>
        <w:t>X:\petrale\output\TM 1.5 TAZ 1454 Land Use Documentation Memo.docx</w:t>
      </w:r>
      <w:r w:rsidRPr="00DD5033">
        <w:rPr>
          <w:sz w:val="18"/>
          <w:szCs w:val="18"/>
        </w:rPr>
        <w:fldChar w:fldCharType="end"/>
      </w:r>
    </w:p>
    <w:sectPr w:rsidR="00491471" w:rsidSect="00881F4F">
      <w:pgSz w:w="12240" w:h="15840" w:code="1"/>
      <w:pgMar w:top="720" w:right="1080" w:bottom="720" w:left="1152"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5B0" w:rsidRDefault="009415B0" w:rsidP="00CA03B7">
      <w:r>
        <w:separator/>
      </w:r>
    </w:p>
  </w:endnote>
  <w:endnote w:type="continuationSeparator" w:id="0">
    <w:p w:rsidR="009415B0" w:rsidRDefault="009415B0" w:rsidP="00CA0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5B0" w:rsidRDefault="009415B0" w:rsidP="00CA03B7">
      <w:r>
        <w:separator/>
      </w:r>
    </w:p>
  </w:footnote>
  <w:footnote w:type="continuationSeparator" w:id="0">
    <w:p w:rsidR="009415B0" w:rsidRDefault="009415B0" w:rsidP="00CA03B7">
      <w:r>
        <w:continuationSeparator/>
      </w:r>
    </w:p>
  </w:footnote>
  <w:footnote w:id="1">
    <w:p w:rsidR="0066461C" w:rsidRDefault="0066461C">
      <w:pPr>
        <w:pStyle w:val="FootnoteText"/>
      </w:pPr>
      <w:r>
        <w:rPr>
          <w:rStyle w:val="FootnoteReference"/>
        </w:rPr>
        <w:footnoteRef/>
      </w:r>
      <w:r>
        <w:t xml:space="preserve"> </w:t>
      </w:r>
      <w:r w:rsidRPr="00F82F01">
        <w:t>https://mtcdrive.app.box.com/file/654134152628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F6008"/>
    <w:multiLevelType w:val="hybridMultilevel"/>
    <w:tmpl w:val="84E49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F4EA7"/>
    <w:multiLevelType w:val="hybridMultilevel"/>
    <w:tmpl w:val="7C7AC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651BDE"/>
    <w:multiLevelType w:val="hybridMultilevel"/>
    <w:tmpl w:val="9E46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3476A7"/>
    <w:multiLevelType w:val="hybridMultilevel"/>
    <w:tmpl w:val="8DF2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21629A"/>
    <w:multiLevelType w:val="hybridMultilevel"/>
    <w:tmpl w:val="497A3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590DC8"/>
    <w:multiLevelType w:val="hybridMultilevel"/>
    <w:tmpl w:val="F5B25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6261D6"/>
    <w:multiLevelType w:val="hybridMultilevel"/>
    <w:tmpl w:val="C9507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0A6"/>
    <w:rsid w:val="00006F06"/>
    <w:rsid w:val="00007906"/>
    <w:rsid w:val="0001124E"/>
    <w:rsid w:val="00012AA0"/>
    <w:rsid w:val="00014302"/>
    <w:rsid w:val="000169D0"/>
    <w:rsid w:val="00027DA4"/>
    <w:rsid w:val="0005793E"/>
    <w:rsid w:val="000709AD"/>
    <w:rsid w:val="000747D0"/>
    <w:rsid w:val="000812FA"/>
    <w:rsid w:val="000A0E8F"/>
    <w:rsid w:val="000C0197"/>
    <w:rsid w:val="000D40D4"/>
    <w:rsid w:val="000D7A45"/>
    <w:rsid w:val="000E0A59"/>
    <w:rsid w:val="000E0BC8"/>
    <w:rsid w:val="0015098D"/>
    <w:rsid w:val="0015706C"/>
    <w:rsid w:val="00171018"/>
    <w:rsid w:val="0017172A"/>
    <w:rsid w:val="00181E3B"/>
    <w:rsid w:val="001C6564"/>
    <w:rsid w:val="001D2092"/>
    <w:rsid w:val="002002BA"/>
    <w:rsid w:val="002038BF"/>
    <w:rsid w:val="00204D55"/>
    <w:rsid w:val="0021038D"/>
    <w:rsid w:val="002524B3"/>
    <w:rsid w:val="002561EE"/>
    <w:rsid w:val="002627C7"/>
    <w:rsid w:val="00266C2B"/>
    <w:rsid w:val="00267876"/>
    <w:rsid w:val="00270E6B"/>
    <w:rsid w:val="0027302F"/>
    <w:rsid w:val="00276B6C"/>
    <w:rsid w:val="00277CF3"/>
    <w:rsid w:val="00281298"/>
    <w:rsid w:val="0029333A"/>
    <w:rsid w:val="00293DDF"/>
    <w:rsid w:val="002A7FA0"/>
    <w:rsid w:val="002B2CA6"/>
    <w:rsid w:val="002B3A97"/>
    <w:rsid w:val="002B66EE"/>
    <w:rsid w:val="002D61B1"/>
    <w:rsid w:val="002E0BF3"/>
    <w:rsid w:val="002F49DC"/>
    <w:rsid w:val="00303443"/>
    <w:rsid w:val="00303818"/>
    <w:rsid w:val="00327EEA"/>
    <w:rsid w:val="00332F71"/>
    <w:rsid w:val="00336BBD"/>
    <w:rsid w:val="00382F19"/>
    <w:rsid w:val="00384505"/>
    <w:rsid w:val="003A3C6C"/>
    <w:rsid w:val="003A43B1"/>
    <w:rsid w:val="003B5150"/>
    <w:rsid w:val="003C32AF"/>
    <w:rsid w:val="003D7059"/>
    <w:rsid w:val="003D7C23"/>
    <w:rsid w:val="003F7925"/>
    <w:rsid w:val="00407BCE"/>
    <w:rsid w:val="00407CFA"/>
    <w:rsid w:val="004202D9"/>
    <w:rsid w:val="00424B15"/>
    <w:rsid w:val="0043124E"/>
    <w:rsid w:val="00454123"/>
    <w:rsid w:val="00464EC1"/>
    <w:rsid w:val="00470B04"/>
    <w:rsid w:val="00491471"/>
    <w:rsid w:val="004C13F5"/>
    <w:rsid w:val="004C714F"/>
    <w:rsid w:val="004F0E48"/>
    <w:rsid w:val="004F3451"/>
    <w:rsid w:val="00502293"/>
    <w:rsid w:val="005208FD"/>
    <w:rsid w:val="00523483"/>
    <w:rsid w:val="00524F31"/>
    <w:rsid w:val="0052623B"/>
    <w:rsid w:val="00527D57"/>
    <w:rsid w:val="00547B2D"/>
    <w:rsid w:val="0055364E"/>
    <w:rsid w:val="005742AF"/>
    <w:rsid w:val="005817E3"/>
    <w:rsid w:val="00585527"/>
    <w:rsid w:val="00591DB0"/>
    <w:rsid w:val="005B359E"/>
    <w:rsid w:val="005E21EE"/>
    <w:rsid w:val="005E23D0"/>
    <w:rsid w:val="005E58F0"/>
    <w:rsid w:val="00610BDF"/>
    <w:rsid w:val="00631FDE"/>
    <w:rsid w:val="00634AA8"/>
    <w:rsid w:val="00647241"/>
    <w:rsid w:val="00650C34"/>
    <w:rsid w:val="006552D1"/>
    <w:rsid w:val="0066461C"/>
    <w:rsid w:val="006720A6"/>
    <w:rsid w:val="006725D4"/>
    <w:rsid w:val="006A08EE"/>
    <w:rsid w:val="007001E2"/>
    <w:rsid w:val="00703910"/>
    <w:rsid w:val="00703A85"/>
    <w:rsid w:val="00710BB2"/>
    <w:rsid w:val="00745CAF"/>
    <w:rsid w:val="00751BA0"/>
    <w:rsid w:val="00784910"/>
    <w:rsid w:val="00790607"/>
    <w:rsid w:val="007969CB"/>
    <w:rsid w:val="007C60B1"/>
    <w:rsid w:val="007E0C27"/>
    <w:rsid w:val="007F0360"/>
    <w:rsid w:val="007F43A9"/>
    <w:rsid w:val="008055E7"/>
    <w:rsid w:val="008223BB"/>
    <w:rsid w:val="00835DD8"/>
    <w:rsid w:val="00844C3C"/>
    <w:rsid w:val="0085550E"/>
    <w:rsid w:val="00865474"/>
    <w:rsid w:val="008659F2"/>
    <w:rsid w:val="00867AE2"/>
    <w:rsid w:val="00870E4D"/>
    <w:rsid w:val="008737ED"/>
    <w:rsid w:val="00881F4F"/>
    <w:rsid w:val="008876E8"/>
    <w:rsid w:val="008A1328"/>
    <w:rsid w:val="008A1868"/>
    <w:rsid w:val="008B6DCE"/>
    <w:rsid w:val="008B70A9"/>
    <w:rsid w:val="008D1A17"/>
    <w:rsid w:val="009079E9"/>
    <w:rsid w:val="009131C7"/>
    <w:rsid w:val="009146B4"/>
    <w:rsid w:val="0091499B"/>
    <w:rsid w:val="0092263E"/>
    <w:rsid w:val="00931701"/>
    <w:rsid w:val="00931B30"/>
    <w:rsid w:val="00937E51"/>
    <w:rsid w:val="009415B0"/>
    <w:rsid w:val="0094405D"/>
    <w:rsid w:val="0097169C"/>
    <w:rsid w:val="00977722"/>
    <w:rsid w:val="00985302"/>
    <w:rsid w:val="009858DE"/>
    <w:rsid w:val="00986137"/>
    <w:rsid w:val="00993EBC"/>
    <w:rsid w:val="009D0E5D"/>
    <w:rsid w:val="009D24A6"/>
    <w:rsid w:val="009D7286"/>
    <w:rsid w:val="00A05926"/>
    <w:rsid w:val="00A30FDF"/>
    <w:rsid w:val="00A43303"/>
    <w:rsid w:val="00A433E2"/>
    <w:rsid w:val="00A57C48"/>
    <w:rsid w:val="00A64EB6"/>
    <w:rsid w:val="00A65CED"/>
    <w:rsid w:val="00A67FFA"/>
    <w:rsid w:val="00A765FF"/>
    <w:rsid w:val="00A93C9F"/>
    <w:rsid w:val="00A96C2E"/>
    <w:rsid w:val="00AA666B"/>
    <w:rsid w:val="00AA6D9E"/>
    <w:rsid w:val="00AB5A50"/>
    <w:rsid w:val="00AC213A"/>
    <w:rsid w:val="00AD0E40"/>
    <w:rsid w:val="00AE22FF"/>
    <w:rsid w:val="00AF2AA2"/>
    <w:rsid w:val="00B24F47"/>
    <w:rsid w:val="00B569EF"/>
    <w:rsid w:val="00B6421B"/>
    <w:rsid w:val="00BE4A7E"/>
    <w:rsid w:val="00C14D7C"/>
    <w:rsid w:val="00C20CFA"/>
    <w:rsid w:val="00C2456D"/>
    <w:rsid w:val="00C45681"/>
    <w:rsid w:val="00C462C6"/>
    <w:rsid w:val="00C55D94"/>
    <w:rsid w:val="00C60094"/>
    <w:rsid w:val="00C738A1"/>
    <w:rsid w:val="00C82D76"/>
    <w:rsid w:val="00C9624D"/>
    <w:rsid w:val="00CA03B7"/>
    <w:rsid w:val="00CA5676"/>
    <w:rsid w:val="00CC10CD"/>
    <w:rsid w:val="00CC3092"/>
    <w:rsid w:val="00CD1AEA"/>
    <w:rsid w:val="00CE426F"/>
    <w:rsid w:val="00CE68BE"/>
    <w:rsid w:val="00CF1B8F"/>
    <w:rsid w:val="00CF1ECE"/>
    <w:rsid w:val="00D07112"/>
    <w:rsid w:val="00D236F7"/>
    <w:rsid w:val="00D23CA4"/>
    <w:rsid w:val="00D46794"/>
    <w:rsid w:val="00D46C6B"/>
    <w:rsid w:val="00D64585"/>
    <w:rsid w:val="00D97025"/>
    <w:rsid w:val="00DA0CB4"/>
    <w:rsid w:val="00DA3D96"/>
    <w:rsid w:val="00DB67AE"/>
    <w:rsid w:val="00DC1DBD"/>
    <w:rsid w:val="00DC56A5"/>
    <w:rsid w:val="00DF02ED"/>
    <w:rsid w:val="00E170EA"/>
    <w:rsid w:val="00E562CF"/>
    <w:rsid w:val="00E83FA3"/>
    <w:rsid w:val="00EB28FE"/>
    <w:rsid w:val="00EE5A44"/>
    <w:rsid w:val="00EE762A"/>
    <w:rsid w:val="00EF032B"/>
    <w:rsid w:val="00EF3544"/>
    <w:rsid w:val="00F0451E"/>
    <w:rsid w:val="00F10DB5"/>
    <w:rsid w:val="00F139A3"/>
    <w:rsid w:val="00F166F3"/>
    <w:rsid w:val="00F37F46"/>
    <w:rsid w:val="00F75A36"/>
    <w:rsid w:val="00F761AC"/>
    <w:rsid w:val="00F82EF2"/>
    <w:rsid w:val="00F82F01"/>
    <w:rsid w:val="00F83B98"/>
    <w:rsid w:val="00F86CA9"/>
    <w:rsid w:val="00F96AF8"/>
    <w:rsid w:val="00FA52ED"/>
    <w:rsid w:val="00FC0E05"/>
    <w:rsid w:val="00FC42CC"/>
    <w:rsid w:val="00FE3971"/>
    <w:rsid w:val="00FE4C3B"/>
    <w:rsid w:val="00FE690D"/>
    <w:rsid w:val="00FE6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DCD9F-AEAA-4A96-B289-6161DB76C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0A6"/>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2F49D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49D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9"/>
    <w:qFormat/>
    <w:rsid w:val="006720A6"/>
    <w:pPr>
      <w:keepNext/>
      <w:spacing w:after="60" w:line="480" w:lineRule="atLeast"/>
      <w:ind w:left="10" w:right="170"/>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rsid w:val="006720A6"/>
    <w:rPr>
      <w:rFonts w:ascii="Times New Roman" w:eastAsia="Times New Roman" w:hAnsi="Times New Roman" w:cs="Times New Roman"/>
      <w:sz w:val="24"/>
      <w:szCs w:val="20"/>
      <w:u w:val="single"/>
    </w:rPr>
  </w:style>
  <w:style w:type="paragraph" w:styleId="BodyText">
    <w:name w:val="Body Text"/>
    <w:basedOn w:val="Normal"/>
    <w:link w:val="BodyTextChar"/>
    <w:uiPriority w:val="99"/>
    <w:rsid w:val="006720A6"/>
    <w:rPr>
      <w:color w:val="000080"/>
    </w:rPr>
  </w:style>
  <w:style w:type="character" w:customStyle="1" w:styleId="BodyTextChar">
    <w:name w:val="Body Text Char"/>
    <w:basedOn w:val="DefaultParagraphFont"/>
    <w:link w:val="BodyText"/>
    <w:uiPriority w:val="99"/>
    <w:rsid w:val="006720A6"/>
    <w:rPr>
      <w:rFonts w:ascii="Times New Roman" w:eastAsia="Times New Roman" w:hAnsi="Times New Roman" w:cs="Times New Roman"/>
      <w:color w:val="000080"/>
      <w:sz w:val="24"/>
      <w:szCs w:val="20"/>
    </w:rPr>
  </w:style>
  <w:style w:type="paragraph" w:styleId="CommentText">
    <w:name w:val="annotation text"/>
    <w:basedOn w:val="Normal"/>
    <w:link w:val="CommentTextChar"/>
    <w:uiPriority w:val="99"/>
    <w:semiHidden/>
    <w:rsid w:val="006720A6"/>
    <w:rPr>
      <w:sz w:val="20"/>
    </w:rPr>
  </w:style>
  <w:style w:type="character" w:customStyle="1" w:styleId="CommentTextChar">
    <w:name w:val="Comment Text Char"/>
    <w:basedOn w:val="DefaultParagraphFont"/>
    <w:link w:val="CommentText"/>
    <w:uiPriority w:val="99"/>
    <w:semiHidden/>
    <w:rsid w:val="006720A6"/>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E21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21EE"/>
    <w:rPr>
      <w:rFonts w:ascii="Segoe UI" w:eastAsia="Times New Roman" w:hAnsi="Segoe UI" w:cs="Segoe UI"/>
      <w:sz w:val="18"/>
      <w:szCs w:val="18"/>
    </w:rPr>
  </w:style>
  <w:style w:type="character" w:styleId="Hyperlink">
    <w:name w:val="Hyperlink"/>
    <w:basedOn w:val="DefaultParagraphFont"/>
    <w:uiPriority w:val="99"/>
    <w:unhideWhenUsed/>
    <w:rsid w:val="0015706C"/>
    <w:rPr>
      <w:color w:val="0563C1" w:themeColor="hyperlink"/>
      <w:u w:val="single"/>
    </w:rPr>
  </w:style>
  <w:style w:type="table" w:styleId="TableGrid">
    <w:name w:val="Table Grid"/>
    <w:basedOn w:val="TableNormal"/>
    <w:uiPriority w:val="39"/>
    <w:rsid w:val="00FA5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03B7"/>
    <w:pPr>
      <w:tabs>
        <w:tab w:val="center" w:pos="4680"/>
        <w:tab w:val="right" w:pos="9360"/>
      </w:tabs>
    </w:pPr>
  </w:style>
  <w:style w:type="character" w:customStyle="1" w:styleId="HeaderChar">
    <w:name w:val="Header Char"/>
    <w:basedOn w:val="DefaultParagraphFont"/>
    <w:link w:val="Header"/>
    <w:uiPriority w:val="99"/>
    <w:rsid w:val="00CA03B7"/>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CA03B7"/>
    <w:pPr>
      <w:tabs>
        <w:tab w:val="center" w:pos="4680"/>
        <w:tab w:val="right" w:pos="9360"/>
      </w:tabs>
    </w:pPr>
  </w:style>
  <w:style w:type="character" w:customStyle="1" w:styleId="FooterChar">
    <w:name w:val="Footer Char"/>
    <w:basedOn w:val="DefaultParagraphFont"/>
    <w:link w:val="Footer"/>
    <w:uiPriority w:val="99"/>
    <w:rsid w:val="00CA03B7"/>
    <w:rPr>
      <w:rFonts w:ascii="Times New Roman" w:eastAsia="Times New Roman" w:hAnsi="Times New Roman" w:cs="Times New Roman"/>
      <w:sz w:val="24"/>
      <w:szCs w:val="20"/>
    </w:rPr>
  </w:style>
  <w:style w:type="paragraph" w:styleId="Caption">
    <w:name w:val="caption"/>
    <w:basedOn w:val="Normal"/>
    <w:next w:val="Normal"/>
    <w:uiPriority w:val="35"/>
    <w:unhideWhenUsed/>
    <w:qFormat/>
    <w:rsid w:val="0085550E"/>
    <w:pPr>
      <w:spacing w:after="200"/>
    </w:pPr>
    <w:rPr>
      <w:i/>
      <w:iCs/>
      <w:color w:val="44546A" w:themeColor="text2"/>
      <w:sz w:val="18"/>
      <w:szCs w:val="18"/>
    </w:rPr>
  </w:style>
  <w:style w:type="character" w:customStyle="1" w:styleId="Heading1Char">
    <w:name w:val="Heading 1 Char"/>
    <w:basedOn w:val="DefaultParagraphFont"/>
    <w:link w:val="Heading1"/>
    <w:uiPriority w:val="9"/>
    <w:rsid w:val="002F49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49D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91471"/>
    <w:pPr>
      <w:ind w:left="720"/>
      <w:contextualSpacing/>
    </w:pPr>
  </w:style>
  <w:style w:type="paragraph" w:styleId="FootnoteText">
    <w:name w:val="footnote text"/>
    <w:basedOn w:val="Normal"/>
    <w:link w:val="FootnoteTextChar"/>
    <w:uiPriority w:val="99"/>
    <w:semiHidden/>
    <w:unhideWhenUsed/>
    <w:rsid w:val="00F82F01"/>
    <w:rPr>
      <w:sz w:val="20"/>
    </w:rPr>
  </w:style>
  <w:style w:type="character" w:customStyle="1" w:styleId="FootnoteTextChar">
    <w:name w:val="Footnote Text Char"/>
    <w:basedOn w:val="DefaultParagraphFont"/>
    <w:link w:val="FootnoteText"/>
    <w:uiPriority w:val="99"/>
    <w:semiHidden/>
    <w:rsid w:val="00F82F0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82F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23071">
      <w:bodyDiv w:val="1"/>
      <w:marLeft w:val="0"/>
      <w:marRight w:val="0"/>
      <w:marTop w:val="0"/>
      <w:marBottom w:val="0"/>
      <w:divBdr>
        <w:top w:val="none" w:sz="0" w:space="0" w:color="auto"/>
        <w:left w:val="none" w:sz="0" w:space="0" w:color="auto"/>
        <w:bottom w:val="none" w:sz="0" w:space="0" w:color="auto"/>
        <w:right w:val="none" w:sz="0" w:space="0" w:color="auto"/>
      </w:divBdr>
    </w:div>
    <w:div w:id="108205951">
      <w:bodyDiv w:val="1"/>
      <w:marLeft w:val="0"/>
      <w:marRight w:val="0"/>
      <w:marTop w:val="0"/>
      <w:marBottom w:val="0"/>
      <w:divBdr>
        <w:top w:val="none" w:sz="0" w:space="0" w:color="auto"/>
        <w:left w:val="none" w:sz="0" w:space="0" w:color="auto"/>
        <w:bottom w:val="none" w:sz="0" w:space="0" w:color="auto"/>
        <w:right w:val="none" w:sz="0" w:space="0" w:color="auto"/>
      </w:divBdr>
    </w:div>
    <w:div w:id="143475497">
      <w:bodyDiv w:val="1"/>
      <w:marLeft w:val="0"/>
      <w:marRight w:val="0"/>
      <w:marTop w:val="0"/>
      <w:marBottom w:val="0"/>
      <w:divBdr>
        <w:top w:val="none" w:sz="0" w:space="0" w:color="auto"/>
        <w:left w:val="none" w:sz="0" w:space="0" w:color="auto"/>
        <w:bottom w:val="none" w:sz="0" w:space="0" w:color="auto"/>
        <w:right w:val="none" w:sz="0" w:space="0" w:color="auto"/>
      </w:divBdr>
    </w:div>
    <w:div w:id="167601080">
      <w:bodyDiv w:val="1"/>
      <w:marLeft w:val="0"/>
      <w:marRight w:val="0"/>
      <w:marTop w:val="0"/>
      <w:marBottom w:val="0"/>
      <w:divBdr>
        <w:top w:val="none" w:sz="0" w:space="0" w:color="auto"/>
        <w:left w:val="none" w:sz="0" w:space="0" w:color="auto"/>
        <w:bottom w:val="none" w:sz="0" w:space="0" w:color="auto"/>
        <w:right w:val="none" w:sz="0" w:space="0" w:color="auto"/>
      </w:divBdr>
    </w:div>
    <w:div w:id="342364838">
      <w:bodyDiv w:val="1"/>
      <w:marLeft w:val="0"/>
      <w:marRight w:val="0"/>
      <w:marTop w:val="0"/>
      <w:marBottom w:val="0"/>
      <w:divBdr>
        <w:top w:val="none" w:sz="0" w:space="0" w:color="auto"/>
        <w:left w:val="none" w:sz="0" w:space="0" w:color="auto"/>
        <w:bottom w:val="none" w:sz="0" w:space="0" w:color="auto"/>
        <w:right w:val="none" w:sz="0" w:space="0" w:color="auto"/>
      </w:divBdr>
    </w:div>
    <w:div w:id="448279732">
      <w:bodyDiv w:val="1"/>
      <w:marLeft w:val="0"/>
      <w:marRight w:val="0"/>
      <w:marTop w:val="0"/>
      <w:marBottom w:val="0"/>
      <w:divBdr>
        <w:top w:val="none" w:sz="0" w:space="0" w:color="auto"/>
        <w:left w:val="none" w:sz="0" w:space="0" w:color="auto"/>
        <w:bottom w:val="none" w:sz="0" w:space="0" w:color="auto"/>
        <w:right w:val="none" w:sz="0" w:space="0" w:color="auto"/>
      </w:divBdr>
    </w:div>
    <w:div w:id="465854884">
      <w:bodyDiv w:val="1"/>
      <w:marLeft w:val="0"/>
      <w:marRight w:val="0"/>
      <w:marTop w:val="0"/>
      <w:marBottom w:val="0"/>
      <w:divBdr>
        <w:top w:val="none" w:sz="0" w:space="0" w:color="auto"/>
        <w:left w:val="none" w:sz="0" w:space="0" w:color="auto"/>
        <w:bottom w:val="none" w:sz="0" w:space="0" w:color="auto"/>
        <w:right w:val="none" w:sz="0" w:space="0" w:color="auto"/>
      </w:divBdr>
    </w:div>
    <w:div w:id="538710946">
      <w:bodyDiv w:val="1"/>
      <w:marLeft w:val="0"/>
      <w:marRight w:val="0"/>
      <w:marTop w:val="0"/>
      <w:marBottom w:val="0"/>
      <w:divBdr>
        <w:top w:val="none" w:sz="0" w:space="0" w:color="auto"/>
        <w:left w:val="none" w:sz="0" w:space="0" w:color="auto"/>
        <w:bottom w:val="none" w:sz="0" w:space="0" w:color="auto"/>
        <w:right w:val="none" w:sz="0" w:space="0" w:color="auto"/>
      </w:divBdr>
    </w:div>
    <w:div w:id="594284640">
      <w:bodyDiv w:val="1"/>
      <w:marLeft w:val="0"/>
      <w:marRight w:val="0"/>
      <w:marTop w:val="0"/>
      <w:marBottom w:val="0"/>
      <w:divBdr>
        <w:top w:val="none" w:sz="0" w:space="0" w:color="auto"/>
        <w:left w:val="none" w:sz="0" w:space="0" w:color="auto"/>
        <w:bottom w:val="none" w:sz="0" w:space="0" w:color="auto"/>
        <w:right w:val="none" w:sz="0" w:space="0" w:color="auto"/>
      </w:divBdr>
    </w:div>
    <w:div w:id="668679246">
      <w:bodyDiv w:val="1"/>
      <w:marLeft w:val="0"/>
      <w:marRight w:val="0"/>
      <w:marTop w:val="0"/>
      <w:marBottom w:val="0"/>
      <w:divBdr>
        <w:top w:val="none" w:sz="0" w:space="0" w:color="auto"/>
        <w:left w:val="none" w:sz="0" w:space="0" w:color="auto"/>
        <w:bottom w:val="none" w:sz="0" w:space="0" w:color="auto"/>
        <w:right w:val="none" w:sz="0" w:space="0" w:color="auto"/>
      </w:divBdr>
    </w:div>
    <w:div w:id="781614237">
      <w:bodyDiv w:val="1"/>
      <w:marLeft w:val="0"/>
      <w:marRight w:val="0"/>
      <w:marTop w:val="0"/>
      <w:marBottom w:val="0"/>
      <w:divBdr>
        <w:top w:val="none" w:sz="0" w:space="0" w:color="auto"/>
        <w:left w:val="none" w:sz="0" w:space="0" w:color="auto"/>
        <w:bottom w:val="none" w:sz="0" w:space="0" w:color="auto"/>
        <w:right w:val="none" w:sz="0" w:space="0" w:color="auto"/>
      </w:divBdr>
    </w:div>
    <w:div w:id="817382134">
      <w:bodyDiv w:val="1"/>
      <w:marLeft w:val="0"/>
      <w:marRight w:val="0"/>
      <w:marTop w:val="0"/>
      <w:marBottom w:val="0"/>
      <w:divBdr>
        <w:top w:val="none" w:sz="0" w:space="0" w:color="auto"/>
        <w:left w:val="none" w:sz="0" w:space="0" w:color="auto"/>
        <w:bottom w:val="none" w:sz="0" w:space="0" w:color="auto"/>
        <w:right w:val="none" w:sz="0" w:space="0" w:color="auto"/>
      </w:divBdr>
    </w:div>
    <w:div w:id="901406792">
      <w:bodyDiv w:val="1"/>
      <w:marLeft w:val="0"/>
      <w:marRight w:val="0"/>
      <w:marTop w:val="0"/>
      <w:marBottom w:val="0"/>
      <w:divBdr>
        <w:top w:val="none" w:sz="0" w:space="0" w:color="auto"/>
        <w:left w:val="none" w:sz="0" w:space="0" w:color="auto"/>
        <w:bottom w:val="none" w:sz="0" w:space="0" w:color="auto"/>
        <w:right w:val="none" w:sz="0" w:space="0" w:color="auto"/>
      </w:divBdr>
    </w:div>
    <w:div w:id="1017465976">
      <w:bodyDiv w:val="1"/>
      <w:marLeft w:val="0"/>
      <w:marRight w:val="0"/>
      <w:marTop w:val="0"/>
      <w:marBottom w:val="0"/>
      <w:divBdr>
        <w:top w:val="none" w:sz="0" w:space="0" w:color="auto"/>
        <w:left w:val="none" w:sz="0" w:space="0" w:color="auto"/>
        <w:bottom w:val="none" w:sz="0" w:space="0" w:color="auto"/>
        <w:right w:val="none" w:sz="0" w:space="0" w:color="auto"/>
      </w:divBdr>
    </w:div>
    <w:div w:id="1018896569">
      <w:bodyDiv w:val="1"/>
      <w:marLeft w:val="0"/>
      <w:marRight w:val="0"/>
      <w:marTop w:val="0"/>
      <w:marBottom w:val="0"/>
      <w:divBdr>
        <w:top w:val="none" w:sz="0" w:space="0" w:color="auto"/>
        <w:left w:val="none" w:sz="0" w:space="0" w:color="auto"/>
        <w:bottom w:val="none" w:sz="0" w:space="0" w:color="auto"/>
        <w:right w:val="none" w:sz="0" w:space="0" w:color="auto"/>
      </w:divBdr>
    </w:div>
    <w:div w:id="1094858782">
      <w:bodyDiv w:val="1"/>
      <w:marLeft w:val="0"/>
      <w:marRight w:val="0"/>
      <w:marTop w:val="0"/>
      <w:marBottom w:val="0"/>
      <w:divBdr>
        <w:top w:val="none" w:sz="0" w:space="0" w:color="auto"/>
        <w:left w:val="none" w:sz="0" w:space="0" w:color="auto"/>
        <w:bottom w:val="none" w:sz="0" w:space="0" w:color="auto"/>
        <w:right w:val="none" w:sz="0" w:space="0" w:color="auto"/>
      </w:divBdr>
    </w:div>
    <w:div w:id="1225489119">
      <w:bodyDiv w:val="1"/>
      <w:marLeft w:val="0"/>
      <w:marRight w:val="0"/>
      <w:marTop w:val="0"/>
      <w:marBottom w:val="0"/>
      <w:divBdr>
        <w:top w:val="none" w:sz="0" w:space="0" w:color="auto"/>
        <w:left w:val="none" w:sz="0" w:space="0" w:color="auto"/>
        <w:bottom w:val="none" w:sz="0" w:space="0" w:color="auto"/>
        <w:right w:val="none" w:sz="0" w:space="0" w:color="auto"/>
      </w:divBdr>
    </w:div>
    <w:div w:id="1317611612">
      <w:bodyDiv w:val="1"/>
      <w:marLeft w:val="0"/>
      <w:marRight w:val="0"/>
      <w:marTop w:val="0"/>
      <w:marBottom w:val="0"/>
      <w:divBdr>
        <w:top w:val="none" w:sz="0" w:space="0" w:color="auto"/>
        <w:left w:val="none" w:sz="0" w:space="0" w:color="auto"/>
        <w:bottom w:val="none" w:sz="0" w:space="0" w:color="auto"/>
        <w:right w:val="none" w:sz="0" w:space="0" w:color="auto"/>
      </w:divBdr>
    </w:div>
    <w:div w:id="1531531361">
      <w:bodyDiv w:val="1"/>
      <w:marLeft w:val="0"/>
      <w:marRight w:val="0"/>
      <w:marTop w:val="0"/>
      <w:marBottom w:val="0"/>
      <w:divBdr>
        <w:top w:val="none" w:sz="0" w:space="0" w:color="auto"/>
        <w:left w:val="none" w:sz="0" w:space="0" w:color="auto"/>
        <w:bottom w:val="none" w:sz="0" w:space="0" w:color="auto"/>
        <w:right w:val="none" w:sz="0" w:space="0" w:color="auto"/>
      </w:divBdr>
    </w:div>
    <w:div w:id="1703288773">
      <w:bodyDiv w:val="1"/>
      <w:marLeft w:val="0"/>
      <w:marRight w:val="0"/>
      <w:marTop w:val="0"/>
      <w:marBottom w:val="0"/>
      <w:divBdr>
        <w:top w:val="none" w:sz="0" w:space="0" w:color="auto"/>
        <w:left w:val="none" w:sz="0" w:space="0" w:color="auto"/>
        <w:bottom w:val="none" w:sz="0" w:space="0" w:color="auto"/>
        <w:right w:val="none" w:sz="0" w:space="0" w:color="auto"/>
      </w:divBdr>
    </w:div>
    <w:div w:id="1719548824">
      <w:bodyDiv w:val="1"/>
      <w:marLeft w:val="0"/>
      <w:marRight w:val="0"/>
      <w:marTop w:val="0"/>
      <w:marBottom w:val="0"/>
      <w:divBdr>
        <w:top w:val="none" w:sz="0" w:space="0" w:color="auto"/>
        <w:left w:val="none" w:sz="0" w:space="0" w:color="auto"/>
        <w:bottom w:val="none" w:sz="0" w:space="0" w:color="auto"/>
        <w:right w:val="none" w:sz="0" w:space="0" w:color="auto"/>
      </w:divBdr>
    </w:div>
    <w:div w:id="1751926089">
      <w:bodyDiv w:val="1"/>
      <w:marLeft w:val="0"/>
      <w:marRight w:val="0"/>
      <w:marTop w:val="0"/>
      <w:marBottom w:val="0"/>
      <w:divBdr>
        <w:top w:val="none" w:sz="0" w:space="0" w:color="auto"/>
        <w:left w:val="none" w:sz="0" w:space="0" w:color="auto"/>
        <w:bottom w:val="none" w:sz="0" w:space="0" w:color="auto"/>
        <w:right w:val="none" w:sz="0" w:space="0" w:color="auto"/>
      </w:divBdr>
    </w:div>
    <w:div w:id="213012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1713660-ECB1-4E88-923D-226F011AA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5240</TotalTime>
  <Pages>7</Pages>
  <Words>1895</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MTC</Company>
  <LinksUpToDate>false</LinksUpToDate>
  <CharactersWithSpaces>12672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Ward</dc:creator>
  <cp:keywords/>
  <dc:description/>
  <cp:lastModifiedBy>Shimon Israel</cp:lastModifiedBy>
  <cp:revision>64</cp:revision>
  <cp:lastPrinted>2016-04-21T16:29:00Z</cp:lastPrinted>
  <dcterms:created xsi:type="dcterms:W3CDTF">2019-01-07T23:27:00Z</dcterms:created>
  <dcterms:modified xsi:type="dcterms:W3CDTF">2020-07-16T21:13:00Z</dcterms:modified>
</cp:coreProperties>
</file>