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اتفاقية المساهم مع بيانات لابز (قالب، الإصدار 1.0)</w:t>
      </w:r>
    </w:p>
    <w:p>
      <w:pPr>
        <w:pStyle w:val="BlockText"/>
        <w:bidi/>
      </w:pPr>
      <w:r>
        <w:rPr>
          <w:b/>
          <w:bCs/>
          <w:rtl/>
        </w:rPr>
        <w:t xml:space="preserve">روجعت من مستشار قانوني، أكتوبر 2026. عدّلها قبل الاستخدام؛ ليست استشارة قانونية لمؤسستك.</w:t>
      </w:r>
      <w:r>
        <w:rPr>
          <w:rtl/>
        </w:rPr>
        <w:t xml:space="preserve"> </w:t>
      </w:r>
      <w:r>
        <w:rPr>
          <w:rtl/>
        </w:rPr>
        <w:t xml:space="preserve">(Reviewed by counsel, October 2026. Adapt before use; not legal advice for your organisation.)</w:t>
      </w:r>
    </w:p>
    <w:p>
      <w:pPr>
        <w:pStyle w:val="BlockText"/>
        <w:bidi/>
      </w:pPr>
      <w:r>
        <w:rPr>
          <w:b/>
          <w:bCs/>
          <w:rtl/>
        </w:rPr>
        <w:t xml:space="preserve">النص العربي.</w:t>
      </w:r>
      <w:r>
        <w:rPr>
          <w:rtl/>
        </w:rPr>
        <w:t xml:space="preserve"> </w:t>
      </w:r>
      <w:r>
        <w:rPr>
          <w:rtl/>
        </w:rPr>
        <w:t xml:space="preserve">مكتوب بالعربية الفصحى المعاصرة. لم يراجع النصَّ العربي بعدُ كاتبٌ لغته الأم العربية، والنص الإنجليزي هو المعتمد. (The Arabic text has not yet been reviewed by a native Arabic writer; the English governs.)</w:t>
      </w:r>
    </w:p>
    <w:p>
      <w:pPr>
        <w:pStyle w:val="BlockText"/>
        <w:bidi/>
      </w:pPr>
      <w:r>
        <w:rPr>
          <w:rtl/>
        </w:rPr>
        <w:t xml:space="preserve">تنظّم هذه الاتفاقية حقوق الملكية الفكرية والمهام والأجر، أما البيانات الشخصية فينظّمها نموذج الموافقة وإشعار الخصوصية، ولا تحلّ هذه الاتفاقية محلّهما.</w:t>
      </w:r>
    </w:p>
    <w:p>
      <w:pPr>
        <w:pStyle w:val="BlockText"/>
        <w:bidi/>
      </w:pPr>
      <w:r>
        <w:rPr>
          <w:rtl/>
        </w:rPr>
        <w:t xml:space="preserve">معرّف الوثيقة:</w:t>
      </w:r>
      <w:r>
        <w:rPr>
          <w:rtl/>
        </w:rPr>
        <w:t xml:space="preserve"> </w:t>
      </w:r>
      <w:r>
        <w:rPr>
          <w:rStyle w:val="VerbatimChar"/>
          <w:rtl/>
        </w:rPr>
        <w:t xml:space="preserve">BL-CONTRIB</w:t>
      </w:r>
      <w:r>
        <w:rPr>
          <w:rtl/>
        </w:rPr>
        <w:t xml:space="preserve"> </w:t>
      </w:r>
      <w:r>
        <w:rPr>
          <w:rtl/>
        </w:rPr>
        <w:t xml:space="preserve">· الإصدار:</w:t>
      </w:r>
      <w:r>
        <w:rPr>
          <w:rtl/>
        </w:rPr>
        <w:t xml:space="preserve"> </w:t>
      </w:r>
      <w:r>
        <w:rPr>
          <w:rStyle w:val="VerbatimChar"/>
          <w:rtl/>
        </w:rPr>
        <w:t xml:space="preserve">{{AGREEMENT_VERSION}}</w:t>
      </w:r>
      <w:r>
        <w:rPr>
          <w:rtl/>
        </w:rPr>
        <w:t xml:space="preserve"> </w:t>
      </w:r>
      <w:r>
        <w:rPr>
          <w:rtl/>
        </w:rPr>
        <w:t xml:space="preserve">· الصيغتان:</w:t>
      </w:r>
      <w:r>
        <w:rPr>
          <w:rtl/>
        </w:rPr>
        <w:t xml:space="preserve"> </w:t>
      </w:r>
      <w:r>
        <w:rPr>
          <w:b/>
          <w:bCs/>
          <w:rtl/>
        </w:rPr>
        <w:t xml:space="preserve">بأجر</w:t>
      </w:r>
      <w:r>
        <w:rPr>
          <w:rtl/>
        </w:rPr>
        <w:t xml:space="preserve"> </w:t>
      </w:r>
      <w:r>
        <w:rPr>
          <w:rtl/>
        </w:rPr>
        <w:t xml:space="preserve">(مثل مساهمي شبكة المواهب) و</w:t>
      </w:r>
      <w:r>
        <w:rPr>
          <w:b/>
          <w:bCs/>
          <w:rtl/>
        </w:rPr>
        <w:t xml:space="preserve">تطوعية</w:t>
      </w:r>
      <w:r>
        <w:rPr>
          <w:rtl/>
        </w:rPr>
        <w:t xml:space="preserve"> </w:t>
      </w:r>
      <w:r>
        <w:rPr>
          <w:rtl/>
        </w:rPr>
        <w:t xml:space="preserve">(دون أجر). والبنود الخاصة بإحدى الصيغتين منصوص عليها.</w:t>
      </w:r>
    </w:p>
    <w:p>
      <w:r>
        <w:pict>
          <v:rect style="width:0;height:1.5pt" o:hralign="center" o:hrstd="t" o:hr="t"/>
        </w:pict>
      </w:r>
    </w:p>
    <w:bookmarkStart w:id="9" w:name="ca-1-الطرفان-والغرض"/>
    <w:p>
      <w:pPr>
        <w:pStyle w:val="Heading3"/>
        <w:bidi/>
      </w:pPr>
      <w:r>
        <w:rPr>
          <w:rtl/>
        </w:rPr>
        <w:t xml:space="preserve">CA-1 الطرفان والغرض</w:t>
      </w:r>
    </w:p>
    <w:p>
      <w:pPr>
        <w:bidi/>
      </w:pPr>
      <w:r>
        <w:rPr>
          <w:rtl/>
        </w:rPr>
        <w:t xml:space="preserve">أُبرمت هذه الاتفاقية بين</w:t>
      </w:r>
      <w:r>
        <w:rPr>
          <w:rtl/>
        </w:rPr>
        <w:t xml:space="preserve"> </w:t>
      </w:r>
      <w:r>
        <w:rPr>
          <w:rStyle w:val="VerbatimChar"/>
          <w:rtl/>
        </w:rPr>
        <w:t xml:space="preserve">{{LEGAL_ENTITY_NAME_AR}}</w:t>
      </w:r>
      <w:r>
        <w:rPr>
          <w:rtl/>
        </w:rPr>
        <w:t xml:space="preserve">، سجل تجاري رقم</w:t>
      </w:r>
      <w:r>
        <w:rPr>
          <w:rtl/>
        </w:rPr>
        <w:t xml:space="preserve"> </w:t>
      </w:r>
      <w:r>
        <w:rPr>
          <w:rStyle w:val="VerbatimChar"/>
          <w:rtl/>
        </w:rPr>
        <w:t xml:space="preserve">{{CR_NUMBER}}</w:t>
      </w:r>
      <w:r>
        <w:rPr>
          <w:rtl/>
        </w:rPr>
        <w:t xml:space="preserve">، وعنوانها</w:t>
      </w:r>
      <w:r>
        <w:rPr>
          <w:rtl/>
        </w:rPr>
        <w:t xml:space="preserve"> </w:t>
      </w:r>
      <w:r>
        <w:rPr>
          <w:rStyle w:val="VerbatimChar"/>
          <w:rtl/>
        </w:rPr>
        <w:t xml:space="preserve">{{REGISTERED_ADDRESS}}</w:t>
      </w:r>
      <w:r>
        <w:rPr>
          <w:rtl/>
        </w:rPr>
        <w:t xml:space="preserve"> </w:t>
      </w:r>
      <w:r>
        <w:rPr>
          <w:rtl/>
        </w:rPr>
        <w:t xml:space="preserve">(</w:t>
      </w:r>
      <w:r>
        <w:rPr>
          <w:rtl/>
        </w:rPr>
        <w:t xml:space="preserve">“بيانات لابز”</w:t>
      </w:r>
      <w:r>
        <w:rPr>
          <w:rtl/>
        </w:rPr>
        <w:t xml:space="preserve">)، والشخص الموقّع عليها (</w:t>
      </w:r>
      <w:r>
        <w:rPr>
          <w:rtl/>
        </w:rPr>
        <w:t xml:space="preserve">“المساهم”</w:t>
      </w:r>
      <w:r>
        <w:rPr>
          <w:rtl/>
        </w:rPr>
        <w:t xml:space="preserve">). ولا تُحفظ هوية المساهم إلا في السجل الخاص بالمساهمين لدى بيانات لابز.</w:t>
      </w:r>
    </w:p>
    <w:p>
      <w:pPr>
        <w:bidi/>
      </w:pPr>
      <w:r>
        <w:rPr>
          <w:rtl/>
        </w:rPr>
        <w:t xml:space="preserve">والغرض منها تمكين بيانات لابز من بناء مجموعات بيانات عربية مفتوحة ونشرها (ضمن</w:t>
      </w:r>
      <w:r>
        <w:rPr>
          <w:rtl/>
        </w:rPr>
        <w:t xml:space="preserve"> </w:t>
      </w:r>
      <w:r>
        <w:rPr>
          <w:rtl/>
        </w:rPr>
        <w:t xml:space="preserve">“البرنامج”</w:t>
      </w:r>
      <w:r>
        <w:rPr>
          <w:rtl/>
        </w:rPr>
        <w:t xml:space="preserve"> </w:t>
      </w:r>
      <w:r>
        <w:rPr>
          <w:rtl/>
        </w:rPr>
        <w:t xml:space="preserve">المسمى في الجدول 1) انطلاقاً من مساهمات المساهم.</w:t>
      </w:r>
    </w:p>
    <w:bookmarkEnd w:id="9"/>
    <w:bookmarkStart w:id="10" w:name="ca-2-التعريفات"/>
    <w:p>
      <w:pPr>
        <w:pStyle w:val="Heading3"/>
        <w:bidi/>
      </w:pPr>
      <w:r>
        <w:rPr>
          <w:rtl/>
        </w:rPr>
        <w:t xml:space="preserve">CA-2 التعريفات</w:t>
      </w:r>
    </w:p>
    <w:p>
      <w:pPr>
        <w:pStyle w:val="Compact"/>
        <w:numPr>
          <w:ilvl w:val="0"/>
          <w:numId w:val="1001"/>
        </w:numPr>
        <w:bidi/>
      </w:pPr>
      <w:r>
        <w:rPr>
          <w:b/>
          <w:bCs/>
          <w:rtl/>
        </w:rPr>
        <w:t xml:space="preserve">المساهمة</w:t>
      </w:r>
      <w:r>
        <w:rPr>
          <w:rtl/>
        </w:rPr>
        <w:t xml:space="preserve">: كل ما ينشئه المساهم أو يؤديه للبرنامج: تسجيلات صوته (</w:t>
      </w:r>
      <w:r>
        <w:rPr>
          <w:rtl/>
        </w:rPr>
        <w:t xml:space="preserve">“التسجيلات”</w:t>
      </w:r>
      <w:r>
        <w:rPr>
          <w:rtl/>
        </w:rPr>
        <w:t xml:space="preserve">)، والنصوص التي يكتبها أو يعيد صياغتها (</w:t>
      </w:r>
      <w:r>
        <w:rPr>
          <w:rtl/>
        </w:rPr>
        <w:t xml:space="preserve">“الكتابات”</w:t>
      </w:r>
      <w:r>
        <w:rPr>
          <w:rtl/>
        </w:rPr>
        <w:t xml:space="preserve">)، والتفريغات النصية (</w:t>
      </w:r>
      <w:r>
        <w:rPr>
          <w:rtl/>
        </w:rPr>
        <w:t xml:space="preserve">“التفريغات”</w:t>
      </w:r>
      <w:r>
        <w:rPr>
          <w:rtl/>
        </w:rPr>
        <w:t xml:space="preserve">)، والتصنيفات والتصويتات والتقييمات والتصحيحات (</w:t>
      </w:r>
      <w:r>
        <w:rPr>
          <w:rtl/>
        </w:rPr>
        <w:t xml:space="preserve">“التوسيمات”</w:t>
      </w:r>
      <w:r>
        <w:rPr>
          <w:rtl/>
        </w:rPr>
        <w:t xml:space="preserve">)، والجمل المكتوبة ليقرأها غيره (</w:t>
      </w:r>
      <w:r>
        <w:rPr>
          <w:rtl/>
        </w:rPr>
        <w:t xml:space="preserve">“العبارات”</w:t>
      </w:r>
      <w:r>
        <w:rPr>
          <w:rtl/>
        </w:rPr>
        <w:t xml:space="preserve">)، وصور الكتابة اليدوية.</w:t>
      </w:r>
    </w:p>
    <w:p>
      <w:pPr>
        <w:pStyle w:val="Compact"/>
        <w:numPr>
          <w:ilvl w:val="0"/>
          <w:numId w:val="1001"/>
        </w:numPr>
        <w:bidi/>
      </w:pPr>
      <w:r>
        <w:rPr>
          <w:b/>
          <w:bCs/>
          <w:rtl/>
        </w:rPr>
        <w:t xml:space="preserve">الإصدار</w:t>
      </w:r>
      <w:r>
        <w:rPr>
          <w:rtl/>
        </w:rPr>
        <w:t xml:space="preserve">: مجموعة بيانات عامة ذات رقم إصدار تنشرها بيانات لابز.</w:t>
      </w:r>
    </w:p>
    <w:p>
      <w:pPr>
        <w:pStyle w:val="Compact"/>
        <w:numPr>
          <w:ilvl w:val="0"/>
          <w:numId w:val="1001"/>
        </w:numPr>
        <w:bidi/>
      </w:pPr>
      <w:r>
        <w:rPr>
          <w:b/>
          <w:bCs/>
          <w:rtl/>
        </w:rPr>
        <w:t xml:space="preserve">الرخصة المفتوحة</w:t>
      </w:r>
      <w:r>
        <w:rPr>
          <w:rtl/>
        </w:rPr>
        <w:t xml:space="preserve">: الرخصة المسماة في الجدول 1، وهي إما إهداء المصنف إلى الملك العام بموجب Creative Commons CC0 1.0 Universal (</w:t>
      </w:r>
      <w:r>
        <w:rPr>
          <w:rtl/>
        </w:rPr>
        <w:t xml:space="preserve">“CC0”</w:t>
      </w:r>
      <w:r>
        <w:rPr>
          <w:rtl/>
        </w:rPr>
        <w:t xml:space="preserve">)، وإما رخصة Creative Commons Attribution 4.0 International (</w:t>
      </w:r>
      <w:r>
        <w:rPr>
          <w:rtl/>
        </w:rPr>
        <w:t xml:space="preserve">“CC BY 4.0”</w:t>
      </w:r>
      <w:r>
        <w:rPr>
          <w:rtl/>
        </w:rPr>
        <w:t xml:space="preserve">).</w:t>
      </w:r>
    </w:p>
    <w:p>
      <w:pPr>
        <w:pStyle w:val="Compact"/>
        <w:numPr>
          <w:ilvl w:val="0"/>
          <w:numId w:val="1001"/>
        </w:numPr>
        <w:bidi/>
      </w:pPr>
      <w:r>
        <w:rPr>
          <w:b/>
          <w:bCs/>
          <w:rtl/>
        </w:rPr>
        <w:t xml:space="preserve">نموذج الموافقة، وإشعار الخصوصية، وبيان نقل البيانات خارج المملكة، وإذن تركيب الكلام</w:t>
      </w:r>
      <w:r>
        <w:rPr>
          <w:rtl/>
        </w:rPr>
        <w:t xml:space="preserve">: الوثائق التي تحمل هذه الأسماء في هذه الحزمة، بالإصدار الذي وقّعه المساهم.</w:t>
      </w:r>
    </w:p>
    <w:bookmarkEnd w:id="10"/>
    <w:bookmarkStart w:id="11" w:name="ca-3-علاقة-هذه-الاتفاقية-بوثائق-الموافقة"/>
    <w:p>
      <w:pPr>
        <w:pStyle w:val="Heading3"/>
        <w:bidi/>
      </w:pPr>
      <w:r>
        <w:rPr>
          <w:rtl/>
        </w:rPr>
        <w:t xml:space="preserve">CA-3 علاقة هذه الاتفاقية بوثائق الموافقة</w:t>
      </w:r>
    </w:p>
    <w:p>
      <w:pPr>
        <w:pStyle w:val="Compact"/>
        <w:numPr>
          <w:ilvl w:val="0"/>
          <w:numId w:val="1002"/>
        </w:numPr>
        <w:bidi/>
      </w:pPr>
      <w:r>
        <w:rPr>
          <w:rtl/>
        </w:rPr>
        <w:t xml:space="preserve">ينظّم نموذج الموافقة ما إذا كانت بيانات لابز تعالج البيانات الشخصية للمساهم وكيف تعالجها، وتنظّم هذه الاتفاقية حق المؤلف وحقوق المؤدين والمهام والأجر.</w:t>
      </w:r>
    </w:p>
    <w:p>
      <w:pPr>
        <w:pStyle w:val="Compact"/>
        <w:numPr>
          <w:ilvl w:val="0"/>
          <w:numId w:val="1002"/>
        </w:numPr>
        <w:bidi/>
      </w:pPr>
      <w:r>
        <w:rPr>
          <w:rtl/>
        </w:rPr>
        <w:t xml:space="preserve">لا تنشر بيانات لابز أي مساهمة ما لم يحدد المساهم خانتي النشر والنقل (CF-5.2 وCF-5.3) في نموذج الموافقة.</w:t>
      </w:r>
    </w:p>
    <w:p>
      <w:pPr>
        <w:pStyle w:val="Compact"/>
        <w:numPr>
          <w:ilvl w:val="0"/>
          <w:numId w:val="1002"/>
        </w:numPr>
        <w:bidi/>
      </w:pPr>
      <w:r>
        <w:rPr>
          <w:rtl/>
        </w:rPr>
        <w:t xml:space="preserve">إذا تعارضت هذه الاتفاقية مع نموذج الموافقة في مسألة تتعلق بالبيانات الشخصية، يسود نموذج الموافقة والنظام.</w:t>
      </w:r>
    </w:p>
    <w:bookmarkEnd w:id="11"/>
    <w:bookmarkStart w:id="12" w:name="X8a93a5a36dd357a50beff199db801b1afe6449c"/>
    <w:p>
      <w:pPr>
        <w:pStyle w:val="Heading3"/>
        <w:bidi/>
      </w:pPr>
      <w:r>
        <w:rPr>
          <w:rtl/>
        </w:rPr>
        <w:t xml:space="preserve">CA-4 منح الرخصة المفتوحة (خيار واحد لكل برنامج)</w:t>
      </w:r>
    </w:p>
    <w:p>
      <w:pPr>
        <w:bidi/>
      </w:pPr>
      <w:r>
        <w:rPr>
          <w:rtl/>
        </w:rPr>
        <w:t xml:space="preserve">تحدد بيانات لابز خياراً واحداً للبرنامج كله في الجدول 1، حتى لا يجمع الإصدار الواحد بين رخص مختلفة في الإعداد نفسه.</w:t>
      </w:r>
    </w:p>
    <w:p>
      <w:pPr>
        <w:bidi/>
      </w:pPr>
      <w:r>
        <w:rPr>
          <w:b/>
          <w:bCs/>
          <w:rtl/>
        </w:rPr>
        <w:t xml:space="preserve">الخيار (أ): CC0 1.0.</w:t>
      </w:r>
      <w:r>
        <w:rPr>
          <w:rtl/>
        </w:rPr>
        <w:t xml:space="preserve"> </w:t>
      </w:r>
      <w:r>
        <w:rPr>
          <w:rtl/>
        </w:rPr>
        <w:t xml:space="preserve">يهدي المساهم، عن كل مساهمة تختارها بيانات لابز لإصدار ما، حقوقَ المؤلف والحقوقَ المتصلة بها في تلك المساهمة إلى الملك العام بموجب CC0 1.0، إلى أقصى حد يسمح به النظام. وتصف CC0 1.0 التنازل بأنه يتم</w:t>
      </w:r>
      <w:r>
        <w:rPr>
          <w:rtl/>
        </w:rPr>
        <w:t xml:space="preserve"> </w:t>
      </w:r>
      <w:r>
        <w:rPr>
          <w:rtl/>
        </w:rPr>
        <w:t xml:space="preserve">“overtly, fully, permanently, irrevocably and unconditionally”</w:t>
      </w:r>
      <w:r>
        <w:rPr>
          <w:rtl/>
        </w:rPr>
        <w:t xml:space="preserve"> </w:t>
      </w:r>
      <w:r>
        <w:rPr>
          <w:rtl/>
        </w:rPr>
        <w:t xml:space="preserve">(ترجمتنا: صراحةً وكاملاً ودائماً ودون رجعة ودون قيد أو شرط)، وتتضمن ترخيصاً احتياطياً إذا لم يكن التنازل نافذاً نظاماً.</w:t>
      </w:r>
    </w:p>
    <w:p>
      <w:pPr>
        <w:bidi/>
      </w:pPr>
      <w:r>
        <w:rPr>
          <w:b/>
          <w:bCs/>
          <w:rtl/>
        </w:rPr>
        <w:t xml:space="preserve">الخيار (ب): CC BY 4.0.</w:t>
      </w:r>
      <w:r>
        <w:rPr>
          <w:rtl/>
        </w:rPr>
        <w:t xml:space="preserve"> </w:t>
      </w:r>
      <w:r>
        <w:rPr>
          <w:rtl/>
        </w:rPr>
        <w:t xml:space="preserve">يرخّص المساهم كل مساهمة من هذه المساهمات للجمهور بموجب CC BY 4.0، التي تمنح</w:t>
      </w:r>
      <w:r>
        <w:rPr>
          <w:rtl/>
        </w:rPr>
        <w:t xml:space="preserve"> </w:t>
      </w:r>
      <w:r>
        <w:rPr>
          <w:rtl/>
        </w:rPr>
        <w:t xml:space="preserve">“a worldwide, royalty-free, non-sublicensable, non-exclusive, irrevocable license”</w:t>
      </w:r>
      <w:r>
        <w:rPr>
          <w:rtl/>
        </w:rPr>
        <w:t xml:space="preserve"> </w:t>
      </w:r>
      <w:r>
        <w:rPr>
          <w:rtl/>
        </w:rPr>
        <w:t xml:space="preserve">(ترجمتنا: ترخيصاً عالمياً، دون مقابل، غير قابل للترخيص من الباطن، وغير حصري، وغير قابل للإلغاء). ويكون نسب المصنف بعبارة</w:t>
      </w:r>
      <w:r>
        <w:rPr>
          <w:rtl/>
        </w:rPr>
        <w:t xml:space="preserve"> </w:t>
      </w:r>
      <w:r>
        <w:rPr>
          <w:rtl/>
        </w:rPr>
        <w:t xml:space="preserve">“بيانات لابز ومساهمو {{PROGRAMME_NAME}}”</w:t>
      </w:r>
      <w:r>
        <w:rPr>
          <w:rtl/>
        </w:rPr>
        <w:t xml:space="preserve">. ويوافق المساهم على عدم ذكر اسمه منفرداً إلا إذا اختار ذكر اسمه (CF-5.7)، وعندئذ في قائمة الشكر فقط.</w:t>
      </w:r>
    </w:p>
    <w:p>
      <w:pPr>
        <w:bidi/>
      </w:pPr>
      <w:r>
        <w:rPr>
          <w:b/>
          <w:bCs/>
          <w:rtl/>
        </w:rPr>
        <w:t xml:space="preserve">التوقيت.</w:t>
      </w:r>
      <w:r>
        <w:rPr>
          <w:rtl/>
        </w:rPr>
        <w:t xml:space="preserve"> </w:t>
      </w:r>
      <w:r>
        <w:rPr>
          <w:rtl/>
        </w:rPr>
        <w:t xml:space="preserve">يسري الإهداء أو الترخيص على المساهمة عند أول نشر لها في إصدار. وقبل ذلك لا يسري إلا البند CA-5.</w:t>
      </w:r>
    </w:p>
    <w:bookmarkEnd w:id="12"/>
    <w:bookmarkStart w:id="13" w:name="Xa24337fbef5f4784f4b8caea92eb8c4dbbbb3ba"/>
    <w:p>
      <w:pPr>
        <w:pStyle w:val="Heading3"/>
        <w:bidi/>
      </w:pPr>
      <w:r>
        <w:rPr>
          <w:rtl/>
        </w:rPr>
        <w:t xml:space="preserve">CA-5 ترخيص لبيانات لابز لأغراض الإعداد والاستخدام الخاص</w:t>
      </w:r>
    </w:p>
    <w:p>
      <w:pPr>
        <w:bidi/>
      </w:pPr>
      <w:r>
        <w:rPr>
          <w:rtl/>
        </w:rPr>
        <w:t xml:space="preserve">يمنح المساهم بيانات لابز ترخيصاً غير حصري، عالمياً، دون مقابل، ودائماً، لنسخ المساهمات وتخزينها وتحريرها وتقطيعها وتوحيد صيغتها وتفريغها وتوسيمها ودمجها وتقييمها ونشرها، وللترخيص بها من الباطن بموجب الرخصة المفتوحة. ويشمل هذا الترخيص الاستخدامات الخاصة التي لا تُنشر، كمجموعات الاختبار المحجوبة. وينتهي الترخيص بالنسبة إلى أي مساهمة لم تنشرها بيانات لابز بعد إذا عدل المساهم عن موافقته (CA-13).</w:t>
      </w:r>
    </w:p>
    <w:bookmarkEnd w:id="13"/>
    <w:bookmarkStart w:id="14" w:name="ca-6-حقوق-المؤدين-في-التسجيلات"/>
    <w:p>
      <w:pPr>
        <w:pStyle w:val="Heading3"/>
        <w:bidi/>
      </w:pPr>
      <w:r>
        <w:rPr>
          <w:rtl/>
        </w:rPr>
        <w:t xml:space="preserve">CA-6 حقوق المؤدين في التسجيلات</w:t>
      </w:r>
    </w:p>
    <w:p>
      <w:pPr>
        <w:pStyle w:val="Compact"/>
        <w:numPr>
          <w:ilvl w:val="0"/>
          <w:numId w:val="1003"/>
        </w:numPr>
        <w:bidi/>
      </w:pPr>
      <w:r>
        <w:rPr>
          <w:rtl/>
        </w:rPr>
        <w:t xml:space="preserve">يوافق المساهم على تثبيت أدائه للعبارات والكلام التلقائي (تسجيله)، وعلى استنساخه وإتاحته للجمهور في الإصدارات.</w:t>
      </w:r>
    </w:p>
    <w:p>
      <w:pPr>
        <w:pStyle w:val="Compact"/>
        <w:numPr>
          <w:ilvl w:val="0"/>
          <w:numId w:val="1003"/>
        </w:numPr>
        <w:bidi/>
      </w:pPr>
      <w:r>
        <w:rPr>
          <w:rtl/>
        </w:rPr>
        <w:t xml:space="preserve">بقدر ما يتمتع المساهم بحقوق المؤدين أو الحقوق المجاورة في التسجيل بموجب أي نظام نافذ، فإنه يمنحها أو يتنازل عنها بالشروط نفسها للرخصة المفتوحة (CA-4) والترخيص الوارد في CA-5.</w:t>
      </w:r>
    </w:p>
    <w:p>
      <w:pPr>
        <w:pStyle w:val="Compact"/>
        <w:numPr>
          <w:ilvl w:val="0"/>
          <w:numId w:val="1003"/>
        </w:numPr>
        <w:bidi/>
      </w:pPr>
      <w:r>
        <w:rPr>
          <w:rtl/>
        </w:rPr>
        <w:t xml:space="preserve">لا يشمل هذا البند تركيب الكلام ولا الشبه الصوتي، فهما يحتاجان إلى إذن تركيب الكلام المستقل.</w:t>
      </w:r>
    </w:p>
    <w:bookmarkEnd w:id="14"/>
    <w:bookmarkStart w:id="15" w:name="Xe2293c18a7159f611716e623e5683b759949162"/>
    <w:p>
      <w:pPr>
        <w:pStyle w:val="Heading3"/>
        <w:bidi/>
      </w:pPr>
      <w:r>
        <w:rPr>
          <w:rtl/>
        </w:rPr>
        <w:t xml:space="preserve">CA-7 الحقوق الأدبية ونسب المصنف وحقوق الشخصية</w:t>
      </w:r>
    </w:p>
    <w:p>
      <w:pPr>
        <w:pStyle w:val="Compact"/>
        <w:numPr>
          <w:ilvl w:val="0"/>
          <w:numId w:val="1004"/>
        </w:numPr>
        <w:bidi/>
      </w:pPr>
      <w:r>
        <w:rPr>
          <w:rtl/>
        </w:rPr>
        <w:t xml:space="preserve">يوافق المساهم على ألا تذكر الإصدارات المساهمين إلا بمعرّفات مستعارة (أو في قائمة الشكر وفق CF-5.7)، وعلى أن تقطّع بيانات لابز المساهمات وتوحّد صيغتها وتفرّغها وتوسمها.</w:t>
      </w:r>
    </w:p>
    <w:p>
      <w:pPr>
        <w:pStyle w:val="Compact"/>
        <w:numPr>
          <w:ilvl w:val="0"/>
          <w:numId w:val="1004"/>
        </w:numPr>
        <w:bidi/>
      </w:pPr>
      <w:r>
        <w:rPr>
          <w:rtl/>
        </w:rPr>
        <w:t xml:space="preserve">يوافق المساهم، بالقدر الذي يسمح به النظام، على عدم التمسك بحقوقه الأدبية (ومنها أي حق في سلامة المصنف) في مواجهة هذه العمليات المعتادة على مجموعات البيانات، أو في مواجهة إعادة الاستخدام التي تجيزها الرخصة المفتوحة.</w:t>
      </w:r>
    </w:p>
    <w:p>
      <w:pPr>
        <w:pStyle w:val="Compact"/>
        <w:numPr>
          <w:ilvl w:val="0"/>
          <w:numId w:val="1004"/>
        </w:numPr>
        <w:bidi/>
      </w:pPr>
      <w:r>
        <w:rPr>
          <w:rtl/>
        </w:rPr>
        <w:t xml:space="preserve">تنص رخصة CC BY 4.0 على:</w:t>
      </w:r>
      <w:r>
        <w:rPr>
          <w:rtl/>
        </w:rPr>
        <w:t xml:space="preserve"> </w:t>
      </w:r>
      <w:r>
        <w:rPr>
          <w:rtl/>
        </w:rPr>
        <w:t xml:space="preserve">“Moral rights, such as the right of integrity, are not licensed under this Public License, nor are publicity, privacy, and/or other similar personality rights”</w:t>
      </w:r>
      <w:r>
        <w:rPr>
          <w:rtl/>
        </w:rPr>
        <w:t xml:space="preserve"> </w:t>
      </w:r>
      <w:r>
        <w:rPr>
          <w:rtl/>
        </w:rPr>
        <w:t xml:space="preserve">(ترجمتنا: لا ترخّص هذه الرخصة العامة الحقوقَ الأدبية، كالحق في سلامة المصنف، ولا حقوقَ الدعاية والخصوصية وما يماثلها من حقوق الشخصية). لذلك لا يُعالَج الشبه الصوتي إلا في إذن تركيب الكلام.</w:t>
      </w:r>
    </w:p>
    <w:bookmarkEnd w:id="15"/>
    <w:bookmarkStart w:id="16" w:name="Xdd63b8eea33995fd7a3db370266b72fe45e49fe"/>
    <w:p>
      <w:pPr>
        <w:pStyle w:val="Heading3"/>
        <w:bidi/>
      </w:pPr>
      <w:r>
        <w:rPr>
          <w:rtl/>
        </w:rPr>
        <w:t xml:space="preserve">CA-8 الكتابات والتفريغات والعبارات والتوسيمات</w:t>
      </w:r>
    </w:p>
    <w:p>
      <w:pPr>
        <w:bidi/>
      </w:pPr>
      <w:r>
        <w:rPr>
          <w:rtl/>
        </w:rPr>
        <w:t xml:space="preserve">هذه نواتج عمل مُكلَّف بها، وتحتاج بيانات لابز إلى ملكية واضحة لها حتى تنشرها بوصفها بيانات صادرة عن بيانات لابز.</w:t>
      </w:r>
    </w:p>
    <w:p>
      <w:pPr>
        <w:bidi/>
      </w:pPr>
      <w:r>
        <w:rPr>
          <w:b/>
          <w:bCs/>
          <w:rtl/>
        </w:rPr>
        <w:t xml:space="preserve">الخيار 1 (نقل ملكية الحقوق، افتراضي للعمل بأجر).</w:t>
      </w:r>
      <w:r>
        <w:rPr>
          <w:rtl/>
        </w:rPr>
        <w:t xml:space="preserve"> </w:t>
      </w:r>
      <w:r>
        <w:rPr>
          <w:rtl/>
        </w:rPr>
        <w:t xml:space="preserve">ينقل المساهم إلى بيانات لابز جميع حقوق المؤلف في الكتابات والتفريغات والعبارات والتوسيمات التي يعدّها للبرنامج، منذ لحظة إنشائها. ثم تنشرها بيانات لابز بموجب CC BY 4.0 (أو بموجب CC0 للعبارات الداخلة في بنك عبارات مرخّص بـ CC0).</w:t>
      </w:r>
      <w:r>
        <w:rPr>
          <w:rtl/>
        </w:rPr>
        <w:t xml:space="preserve"> </w:t>
      </w:r>
      <w:r>
        <w:rPr>
          <w:b/>
          <w:bCs/>
          <w:rtl/>
        </w:rPr>
        <w:t xml:space="preserve">الخيار 2 (ترخيص، افتراضي للمتطوعين).</w:t>
      </w:r>
      <w:r>
        <w:rPr>
          <w:rtl/>
        </w:rPr>
        <w:t xml:space="preserve"> </w:t>
      </w:r>
      <w:r>
        <w:rPr>
          <w:rtl/>
        </w:rPr>
        <w:t xml:space="preserve">يرخّص المساهم بها لبيانات لابز بشروط البند CA-5، وللجمهور بموجب الرخصة المفتوحة.</w:t>
      </w:r>
    </w:p>
    <w:p>
      <w:pPr>
        <w:bidi/>
      </w:pPr>
      <w:r>
        <w:rPr>
          <w:rtl/>
        </w:rPr>
        <w:t xml:space="preserve">وفي الحالتين:</w:t>
      </w:r>
      <w:r>
        <w:rPr>
          <w:rtl/>
        </w:rPr>
        <w:t xml:space="preserve"> </w:t>
      </w:r>
      <w:r>
        <w:rPr>
          <w:rtl/>
        </w:rPr>
        <w:t xml:space="preserve">1. لا يحتفظ المساهم بأي حق في منع بيانات لابز أو الجمهور من استخدام الإصدارات التي تتضمن نواتج العمل هذه.</w:t>
      </w:r>
      <w:r>
        <w:rPr>
          <w:rtl/>
        </w:rPr>
        <w:t xml:space="preserve"> </w:t>
      </w:r>
      <w:r>
        <w:rPr>
          <w:rtl/>
        </w:rPr>
        <w:t xml:space="preserve">2. يجوز لبيانات لابز نشر التوسيمات دون ذكر اسم الموسِّم، وتكون معرّفات الموسِّمين في الإصدارات مستعارة.</w:t>
      </w:r>
      <w:r>
        <w:rPr>
          <w:rtl/>
        </w:rPr>
        <w:t xml:space="preserve"> </w:t>
      </w:r>
      <w:r>
        <w:rPr>
          <w:rtl/>
        </w:rPr>
        <w:t xml:space="preserve">3. تبقى العبارات المكتوبة لمجموعات الاختبار المحجوبة سرية (CA-14).</w:t>
      </w:r>
    </w:p>
    <w:bookmarkEnd w:id="16"/>
    <w:bookmarkStart w:id="17" w:name="ca-9-إقرار-الأصالة-والأمانة"/>
    <w:p>
      <w:pPr>
        <w:pStyle w:val="Heading3"/>
        <w:bidi/>
      </w:pPr>
      <w:r>
        <w:rPr>
          <w:rtl/>
        </w:rPr>
        <w:t xml:space="preserve">CA-9 إقرار الأصالة والأمانة</w:t>
      </w:r>
    </w:p>
    <w:p>
      <w:pPr>
        <w:bidi/>
      </w:pPr>
      <w:r>
        <w:rPr>
          <w:rtl/>
        </w:rPr>
        <w:t xml:space="preserve">يقرّ المساهم، عن كل مساهمة، بما يأتي:</w:t>
      </w:r>
    </w:p>
    <w:p>
      <w:pPr>
        <w:pStyle w:val="Compact"/>
        <w:numPr>
          <w:ilvl w:val="0"/>
          <w:numId w:val="1005"/>
        </w:numPr>
        <w:bidi/>
      </w:pPr>
      <w:r>
        <w:rPr>
          <w:b/>
          <w:bCs/>
          <w:rtl/>
        </w:rPr>
        <w:t xml:space="preserve">أنها من عمله.</w:t>
      </w:r>
      <w:r>
        <w:rPr>
          <w:rtl/>
        </w:rPr>
        <w:t xml:space="preserve"> </w:t>
      </w:r>
      <w:r>
        <w:rPr>
          <w:rtl/>
        </w:rPr>
        <w:t xml:space="preserve">الكتابات والعبارات والتفريغات من كلماته هو، غير منقولة من كتب أو مواقع أو كلمات أغانٍ أو قصائد أو منشورات على الإنترنت أو رسائل محادثة أو أي مصدر آخر، باستثناء مواد المهمة التي تقدّمها بيانات لابز.</w:t>
      </w:r>
    </w:p>
    <w:p>
      <w:pPr>
        <w:pStyle w:val="Compact"/>
        <w:numPr>
          <w:ilvl w:val="0"/>
          <w:numId w:val="1005"/>
        </w:numPr>
        <w:bidi/>
      </w:pPr>
      <w:r>
        <w:rPr>
          <w:b/>
          <w:bCs/>
          <w:rtl/>
        </w:rPr>
        <w:t xml:space="preserve">عدم استخدام الذكاء الاصطناعي إلا بإذن.</w:t>
      </w:r>
      <w:r>
        <w:rPr>
          <w:rtl/>
        </w:rPr>
        <w:t xml:space="preserve"> </w:t>
      </w:r>
      <w:r>
        <w:rPr>
          <w:rtl/>
        </w:rPr>
        <w:t xml:space="preserve">لم يستخدم المساهم نظام ذكاء اصطناعي أو أداة ترجمة لإنتاج المساهمة، ما لم تسمح تعليمات المهمة بذلك؛ فإن سمحت، أفصح عنه في الحقل المخصص.</w:t>
      </w:r>
    </w:p>
    <w:p>
      <w:pPr>
        <w:pStyle w:val="Compact"/>
        <w:numPr>
          <w:ilvl w:val="0"/>
          <w:numId w:val="1005"/>
        </w:numPr>
        <w:bidi/>
      </w:pPr>
      <w:r>
        <w:rPr>
          <w:b/>
          <w:bCs/>
          <w:rtl/>
        </w:rPr>
        <w:t xml:space="preserve">أنها بصوته وخطّه.</w:t>
      </w:r>
      <w:r>
        <w:rPr>
          <w:rtl/>
        </w:rPr>
        <w:t xml:space="preserve"> </w:t>
      </w:r>
      <w:r>
        <w:rPr>
          <w:rtl/>
        </w:rPr>
        <w:t xml:space="preserve">التسجيلات بصوته الحي، لا بصوت مركّب أو مُغيِّر للصوت أو تسجيل معاد تشغيله أو صوت شخص آخر. والكتابة اليدوية بخطّه.</w:t>
      </w:r>
    </w:p>
    <w:p>
      <w:pPr>
        <w:pStyle w:val="Compact"/>
        <w:numPr>
          <w:ilvl w:val="0"/>
          <w:numId w:val="1005"/>
        </w:numPr>
        <w:bidi/>
      </w:pPr>
      <w:r>
        <w:rPr>
          <w:b/>
          <w:bCs/>
          <w:rtl/>
        </w:rPr>
        <w:t xml:space="preserve">خلوّها من بيانات شخصية للغير.</w:t>
      </w:r>
      <w:r>
        <w:rPr>
          <w:rtl/>
        </w:rPr>
        <w:t xml:space="preserve"> </w:t>
      </w:r>
      <w:r>
        <w:rPr>
          <w:rtl/>
        </w:rPr>
        <w:t xml:space="preserve">لا تتضمن المساهمة اسم شخص حقيقي أو بيانات التواصل الخاصة به أو أرقام هويته أو حساباته، ولا أي معلومات سرية.</w:t>
      </w:r>
    </w:p>
    <w:p>
      <w:pPr>
        <w:pStyle w:val="Compact"/>
        <w:numPr>
          <w:ilvl w:val="0"/>
          <w:numId w:val="1005"/>
        </w:numPr>
        <w:bidi/>
      </w:pPr>
      <w:r>
        <w:rPr>
          <w:b/>
          <w:bCs/>
          <w:rtl/>
        </w:rPr>
        <w:t xml:space="preserve">حساب واحد.</w:t>
      </w:r>
      <w:r>
        <w:rPr>
          <w:rtl/>
        </w:rPr>
        <w:t xml:space="preserve"> </w:t>
      </w:r>
      <w:r>
        <w:rPr>
          <w:rtl/>
        </w:rPr>
        <w:t xml:space="preserve">يستخدم المساهم حساباً واحداً فقط، ولا يقدّم مساهمات نيابة عن غيره.</w:t>
      </w:r>
    </w:p>
    <w:p>
      <w:pPr>
        <w:bidi/>
      </w:pPr>
      <w:r>
        <w:rPr>
          <w:rtl/>
        </w:rPr>
        <w:t xml:space="preserve">وإذا تبيّن عدم صحة أيٍّ مما سبق، جاز لبيانات لابز إزالة المساهمات، وحجب أجر البنود المتأثرة في الصيغة بأجر (CA-16).</w:t>
      </w:r>
    </w:p>
    <w:bookmarkEnd w:id="17"/>
    <w:bookmarkStart w:id="18" w:name="ca-10-قواعد-المحتوى"/>
    <w:p>
      <w:pPr>
        <w:pStyle w:val="Heading3"/>
        <w:bidi/>
      </w:pPr>
      <w:r>
        <w:rPr>
          <w:rtl/>
        </w:rPr>
        <w:t xml:space="preserve">CA-10 قواعد المحتوى</w:t>
      </w:r>
    </w:p>
    <w:p>
      <w:pPr>
        <w:pStyle w:val="Compact"/>
        <w:numPr>
          <w:ilvl w:val="0"/>
          <w:numId w:val="1006"/>
        </w:numPr>
        <w:bidi/>
      </w:pPr>
      <w:r>
        <w:rPr>
          <w:rtl/>
        </w:rPr>
        <w:t xml:space="preserve">لا تفاصيل لأشخاص حقيقيين. يقتصر تمثيل الأدوار على أسماء وشركات وأرقام وهمية.</w:t>
      </w:r>
    </w:p>
    <w:p>
      <w:pPr>
        <w:pStyle w:val="Compact"/>
        <w:numPr>
          <w:ilvl w:val="0"/>
          <w:numId w:val="1006"/>
        </w:numPr>
        <w:bidi/>
      </w:pPr>
      <w:r>
        <w:rPr>
          <w:rtl/>
        </w:rPr>
        <w:t xml:space="preserve">لا إساءة لأشخاص أو جماعات أو علامات تجارية حقيقية، ولا فتاوى دينية، ولا تصريحات سياسية، ما لم تطلب المهمة صراحةً محتوى مكتوباً من هذا النوع (انظر الفقرة 3).</w:t>
      </w:r>
    </w:p>
    <w:p>
      <w:pPr>
        <w:pStyle w:val="Compact"/>
        <w:numPr>
          <w:ilvl w:val="0"/>
          <w:numId w:val="1006"/>
        </w:numPr>
        <w:bidi/>
      </w:pPr>
      <w:r>
        <w:rPr>
          <w:b/>
          <w:bCs/>
          <w:rtl/>
        </w:rPr>
        <w:t xml:space="preserve">المحتوى الحساس المكتوب مسبقاً</w:t>
      </w:r>
      <w:r>
        <w:rPr>
          <w:rtl/>
        </w:rPr>
        <w:t xml:space="preserve"> </w:t>
      </w:r>
      <w:r>
        <w:rPr>
          <w:rtl/>
        </w:rPr>
        <w:t xml:space="preserve">(كقراءة جمل مسيئة أو غير آمنة أو كتابتها لمجموعة بيانات خاصة بالسلامة أو الإشراف على المحتوى) لا يُنفّذ إلا بموجب ملحق مهمة مستقل يشرح المحتوى مسبقاً، ويتيح للمساهم تخطي أي بند، ويوفّر الدعم:</w:t>
      </w:r>
      <w:r>
        <w:rPr>
          <w:rtl/>
        </w:rPr>
        <w:t xml:space="preserve"> </w:t>
      </w:r>
      <w:r>
        <w:rPr>
          <w:rStyle w:val="VerbatimChar"/>
          <w:rtl/>
        </w:rPr>
        <w:t xml:space="preserve">{{SENSITIVE_CONTENT_ANNEX}}</w:t>
      </w:r>
      <w:r>
        <w:rPr>
          <w:rtl/>
        </w:rPr>
        <w:t xml:space="preserve">.</w:t>
      </w:r>
    </w:p>
    <w:bookmarkEnd w:id="18"/>
    <w:bookmarkStart w:id="19" w:name="ca-11-الأجر-الصيغة-بأجر-فقط"/>
    <w:p>
      <w:pPr>
        <w:pStyle w:val="Heading3"/>
        <w:bidi/>
      </w:pPr>
      <w:r>
        <w:rPr>
          <w:rtl/>
        </w:rPr>
        <w:t xml:space="preserve">CA-11 الأجر (الصيغة بأجر فقط)</w:t>
      </w:r>
    </w:p>
    <w:p>
      <w:pPr>
        <w:pStyle w:val="Compact"/>
        <w:numPr>
          <w:ilvl w:val="0"/>
          <w:numId w:val="1007"/>
        </w:numPr>
        <w:bidi/>
      </w:pPr>
      <w:r>
        <w:rPr>
          <w:rtl/>
        </w:rPr>
        <w:t xml:space="preserve">تدفع بيانات لابز الأسعار الواردة في جدول الأجور</w:t>
      </w:r>
      <w:r>
        <w:rPr>
          <w:rtl/>
        </w:rPr>
        <w:t xml:space="preserve"> </w:t>
      </w:r>
      <w:r>
        <w:rPr>
          <w:rStyle w:val="VerbatimChar"/>
          <w:rtl/>
        </w:rPr>
        <w:t xml:space="preserve">{{PAY_TABLE_REF}}</w:t>
      </w:r>
      <w:r>
        <w:rPr>
          <w:rtl/>
        </w:rPr>
        <w:t xml:space="preserve"> </w:t>
      </w:r>
      <w:r>
        <w:rPr>
          <w:rtl/>
        </w:rPr>
        <w:t xml:space="preserve">عن العمل المقبول: عن التسجيلات بالدقيقة المعتمدة بعد التحقق، وعن المهام الأخرى بالبند المقبول.</w:t>
      </w:r>
    </w:p>
    <w:p>
      <w:pPr>
        <w:pStyle w:val="Compact"/>
        <w:numPr>
          <w:ilvl w:val="0"/>
          <w:numId w:val="1007"/>
        </w:numPr>
        <w:bidi/>
      </w:pPr>
      <w:r>
        <w:rPr>
          <w:rtl/>
        </w:rPr>
        <w:t xml:space="preserve">الأجر مقابلٌ للمهام وللحقوق الممنوحة في البنود من CA-4 إلى CA-8 معاً.</w:t>
      </w:r>
    </w:p>
    <w:p>
      <w:pPr>
        <w:pStyle w:val="Compact"/>
        <w:numPr>
          <w:ilvl w:val="0"/>
          <w:numId w:val="1007"/>
        </w:numPr>
        <w:bidi/>
      </w:pPr>
      <w:r>
        <w:rPr>
          <w:rtl/>
        </w:rPr>
        <w:t xml:space="preserve">لا يتوقف الأجر أبداً على تحديد المساهم خانات اختيارية في نموذج الموافقة أو توقيعه إذن تركيب الكلام.</w:t>
      </w:r>
    </w:p>
    <w:p>
      <w:pPr>
        <w:pStyle w:val="Compact"/>
        <w:numPr>
          <w:ilvl w:val="0"/>
          <w:numId w:val="1007"/>
        </w:numPr>
        <w:bidi/>
      </w:pPr>
      <w:r>
        <w:rPr>
          <w:rtl/>
        </w:rPr>
        <w:t xml:space="preserve">يُدفع الأجر عبر</w:t>
      </w:r>
      <w:r>
        <w:rPr>
          <w:rtl/>
        </w:rPr>
        <w:t xml:space="preserve"> </w:t>
      </w:r>
      <w:r>
        <w:rPr>
          <w:rStyle w:val="VerbatimChar"/>
          <w:rtl/>
        </w:rPr>
        <w:t xml:space="preserve">{{PAYMENT_PROVIDER}}</w:t>
      </w:r>
      <w:r>
        <w:rPr>
          <w:rtl/>
        </w:rPr>
        <w:t xml:space="preserve"> </w:t>
      </w:r>
      <w:r>
        <w:rPr>
          <w:rtl/>
        </w:rPr>
        <w:t xml:space="preserve">بعملة</w:t>
      </w:r>
      <w:r>
        <w:rPr>
          <w:rtl/>
        </w:rPr>
        <w:t xml:space="preserve"> </w:t>
      </w:r>
      <w:r>
        <w:rPr>
          <w:rStyle w:val="VerbatimChar"/>
          <w:rtl/>
        </w:rPr>
        <w:t xml:space="preserve">{{CURRENCY}}</w:t>
      </w:r>
      <w:r>
        <w:rPr>
          <w:rtl/>
        </w:rPr>
        <w:t xml:space="preserve"> </w:t>
      </w:r>
      <w:r>
        <w:rPr>
          <w:rtl/>
        </w:rPr>
        <w:t xml:space="preserve">خلال</w:t>
      </w:r>
      <w:r>
        <w:rPr>
          <w:rtl/>
        </w:rPr>
        <w:t xml:space="preserve"> </w:t>
      </w:r>
      <w:r>
        <w:rPr>
          <w:rStyle w:val="VerbatimChar"/>
          <w:rtl/>
        </w:rPr>
        <w:t xml:space="preserve">{{PAYMENT_TERMS_DAYS}}</w:t>
      </w:r>
      <w:r>
        <w:rPr>
          <w:rtl/>
        </w:rPr>
        <w:t xml:space="preserve"> </w:t>
      </w:r>
      <w:r>
        <w:rPr>
          <w:rtl/>
        </w:rPr>
        <w:t xml:space="preserve">يوماً من القبول. وتحتفظ بيانات لابز بسجلات الدفع على النحو المبين في الجدول 1 وإشعار الخصوصية.</w:t>
      </w:r>
    </w:p>
    <w:p>
      <w:pPr>
        <w:pStyle w:val="Compact"/>
        <w:numPr>
          <w:ilvl w:val="0"/>
          <w:numId w:val="1007"/>
        </w:numPr>
        <w:bidi/>
      </w:pPr>
      <w:r>
        <w:rPr>
          <w:rtl/>
        </w:rPr>
        <w:t xml:space="preserve">الضرائب:</w:t>
      </w:r>
      <w:r>
        <w:rPr>
          <w:rtl/>
        </w:rPr>
        <w:t xml:space="preserve"> </w:t>
      </w:r>
      <w:r>
        <w:rPr>
          <w:rStyle w:val="VerbatimChar"/>
          <w:rtl/>
        </w:rPr>
        <w:t xml:space="preserve">{{TAX_TREATMENT}}</w:t>
      </w:r>
      <w:r>
        <w:rPr>
          <w:rtl/>
        </w:rPr>
        <w:t xml:space="preserve"> </w:t>
      </w:r>
      <w:r>
        <w:rPr>
          <w:rtl/>
        </w:rPr>
        <w:t xml:space="preserve">(ضريبة الاستقطاع على المدفوعات لغير المقيمين، وضريبة القيمة المضافة، وأي التزام بالإبلاغ).</w:t>
      </w:r>
    </w:p>
    <w:p>
      <w:pPr>
        <w:pStyle w:val="Compact"/>
        <w:numPr>
          <w:ilvl w:val="0"/>
          <w:numId w:val="1007"/>
        </w:numPr>
        <w:bidi/>
      </w:pPr>
      <w:r>
        <w:rPr>
          <w:rtl/>
        </w:rPr>
        <w:t xml:space="preserve">لا تُسترد المبالغ المدفوعة إذا عدل المساهم عن موافقته لاحقاً.</w:t>
      </w:r>
    </w:p>
    <w:p>
      <w:pPr>
        <w:bidi/>
      </w:pPr>
      <w:r>
        <w:rPr>
          <w:b/>
          <w:bCs/>
          <w:rtl/>
        </w:rPr>
        <w:t xml:space="preserve">الصيغة التطوعية.</w:t>
      </w:r>
      <w:r>
        <w:rPr>
          <w:rtl/>
        </w:rPr>
        <w:t xml:space="preserve"> </w:t>
      </w:r>
      <w:r>
        <w:rPr>
          <w:rtl/>
        </w:rPr>
        <w:t xml:space="preserve">لا يتقاضى المساهم أجراً. ويجوز لبيانات لابز تقديم تقدير غير نقدي (كشارة) فقط إذا اختار المساهم ذكر اسمه (CF-5.7).</w:t>
      </w:r>
    </w:p>
    <w:bookmarkEnd w:id="19"/>
    <w:bookmarkStart w:id="20" w:name="ca-12-الصفة-المستقلة-الصيغة-بأجر"/>
    <w:p>
      <w:pPr>
        <w:pStyle w:val="Heading3"/>
        <w:bidi/>
      </w:pPr>
      <w:r>
        <w:rPr>
          <w:rtl/>
        </w:rPr>
        <w:t xml:space="preserve">CA-12 الصفة المستقلة (الصيغة بأجر)</w:t>
      </w:r>
    </w:p>
    <w:p>
      <w:pPr>
        <w:bidi/>
      </w:pPr>
      <w:r>
        <w:rPr>
          <w:rtl/>
        </w:rPr>
        <w:t xml:space="preserve">يعمل المساهم متعاقداً مستقلاً لا موظفاً، وله أن يقبل المهام أو يرفضها.</w:t>
      </w:r>
      <w:r>
        <w:rPr>
          <w:rtl/>
        </w:rPr>
        <w:t xml:space="preserve"> </w:t>
      </w:r>
      <w:r>
        <w:rPr>
          <w:rStyle w:val="VerbatimChar"/>
          <w:rtl/>
        </w:rPr>
        <w:t xml:space="preserve">{{CONTRACTOR_STATUS_TEXT}}</w:t>
      </w:r>
      <w:r>
        <w:rPr>
          <w:rtl/>
        </w:rPr>
        <w:t xml:space="preserve">.</w:t>
      </w:r>
    </w:p>
    <w:bookmarkEnd w:id="20"/>
    <w:bookmarkStart w:id="21" w:name="ca-13-العدول-عن-الموافقة-وأثره-في-الرخصة"/>
    <w:p>
      <w:pPr>
        <w:pStyle w:val="Heading3"/>
        <w:bidi/>
      </w:pPr>
      <w:r>
        <w:rPr>
          <w:rtl/>
        </w:rPr>
        <w:t xml:space="preserve">CA-13 العدول عن الموافقة وأثره في الرخصة</w:t>
      </w:r>
    </w:p>
    <w:p>
      <w:pPr>
        <w:pStyle w:val="Compact"/>
        <w:numPr>
          <w:ilvl w:val="0"/>
          <w:numId w:val="1008"/>
        </w:numPr>
        <w:bidi/>
      </w:pPr>
      <w:r>
        <w:rPr>
          <w:rtl/>
        </w:rPr>
        <w:t xml:space="preserve">يجوز للمساهم سحب أي مساهمة قبل أن تنشرها بيانات لابز، وعندئذ تتوقف بيانات لابز عن استخدامها وتحذفها على النحو المبين في نموذج الموافقة (CF-9).</w:t>
      </w:r>
    </w:p>
    <w:p>
      <w:pPr>
        <w:pStyle w:val="Compact"/>
        <w:numPr>
          <w:ilvl w:val="0"/>
          <w:numId w:val="1008"/>
        </w:numPr>
        <w:bidi/>
      </w:pPr>
      <w:r>
        <w:rPr>
          <w:rtl/>
        </w:rPr>
        <w:t xml:space="preserve">بعد النشر، لا يمكن إلغاء الرخصة المفتوحة الممنوحة للجمهور. وتلتزم بيانات لابز، سياسةً منها، باستبعاد مساهمات المساهم من الإصدارات المستقبلية خلال</w:t>
      </w:r>
      <w:r>
        <w:rPr>
          <w:rtl/>
        </w:rPr>
        <w:t xml:space="preserve"> </w:t>
      </w:r>
      <w:r>
        <w:rPr>
          <w:rStyle w:val="VerbatimChar"/>
          <w:rtl/>
        </w:rPr>
        <w:t xml:space="preserve">{{WITHDRAWAL_SLA_DAYS}}</w:t>
      </w:r>
      <w:r>
        <w:rPr>
          <w:rtl/>
        </w:rPr>
        <w:t xml:space="preserve"> </w:t>
      </w:r>
      <w:r>
        <w:rPr>
          <w:rtl/>
        </w:rPr>
        <w:t xml:space="preserve">يوماً من الطلب.</w:t>
      </w:r>
    </w:p>
    <w:p>
      <w:pPr>
        <w:pStyle w:val="Compact"/>
        <w:numPr>
          <w:ilvl w:val="0"/>
          <w:numId w:val="1008"/>
        </w:numPr>
        <w:bidi/>
      </w:pPr>
      <w:r>
        <w:rPr>
          <w:rtl/>
        </w:rPr>
        <w:t xml:space="preserve">لا يؤثر العدول في الأجر المدفوع.</w:t>
      </w:r>
    </w:p>
    <w:bookmarkEnd w:id="21"/>
    <w:bookmarkStart w:id="22" w:name="ca-14-السرية"/>
    <w:p>
      <w:pPr>
        <w:pStyle w:val="Heading3"/>
        <w:bidi/>
      </w:pPr>
      <w:r>
        <w:rPr>
          <w:rtl/>
        </w:rPr>
        <w:t xml:space="preserve">CA-14 السرية</w:t>
      </w:r>
    </w:p>
    <w:p>
      <w:pPr>
        <w:bidi/>
      </w:pPr>
      <w:r>
        <w:rPr>
          <w:rtl/>
        </w:rPr>
        <w:t xml:space="preserve">يحافظ المساهم، أثناء البرنامج وبعده، على سرية: العبارات غير المنشورة (ولا سيما عبارات الاختبار المحجوبة)، وتسجيلات المساهمين الآخرين ونصوصهم التي يطّلع عليها أثناء التحقق، ومضمون الإرشادات الداخلية الموسومة بالسرية. ويجوز له أن يذكر علناً أنه شارك في البرنامج.</w:t>
      </w:r>
    </w:p>
    <w:bookmarkEnd w:id="22"/>
    <w:bookmarkStart w:id="23" w:name="ca-15-الضمانات-والمسؤولية"/>
    <w:p>
      <w:pPr>
        <w:pStyle w:val="Heading3"/>
        <w:bidi/>
      </w:pPr>
      <w:r>
        <w:rPr>
          <w:rtl/>
        </w:rPr>
        <w:t xml:space="preserve">CA-15 الضمانات والمسؤولية</w:t>
      </w:r>
    </w:p>
    <w:p>
      <w:pPr>
        <w:pStyle w:val="Compact"/>
        <w:numPr>
          <w:ilvl w:val="0"/>
          <w:numId w:val="1009"/>
        </w:numPr>
        <w:bidi/>
      </w:pPr>
      <w:r>
        <w:rPr>
          <w:rtl/>
        </w:rPr>
        <w:t xml:space="preserve">يقرّ كل طرف بأن له الحق في إبرام هذه الاتفاقية.</w:t>
      </w:r>
    </w:p>
    <w:p>
      <w:pPr>
        <w:pStyle w:val="Compact"/>
        <w:numPr>
          <w:ilvl w:val="0"/>
          <w:numId w:val="1009"/>
        </w:numPr>
        <w:bidi/>
      </w:pPr>
      <w:r>
        <w:rPr>
          <w:rtl/>
        </w:rPr>
        <w:t xml:space="preserve">تقدّم بيانات لابز أداة التسجيل والبوابة</w:t>
      </w:r>
      <w:r>
        <w:rPr>
          <w:rtl/>
        </w:rPr>
        <w:t xml:space="preserve"> </w:t>
      </w:r>
      <w:r>
        <w:rPr>
          <w:rtl/>
        </w:rPr>
        <w:t xml:space="preserve">“بحالتهما”</w:t>
      </w:r>
      <w:r>
        <w:rPr>
          <w:rtl/>
        </w:rPr>
        <w:t xml:space="preserve">، ولا تتعهد بإتاحتهما دائماً.</w:t>
      </w:r>
    </w:p>
    <w:p>
      <w:pPr>
        <w:pStyle w:val="Compact"/>
        <w:numPr>
          <w:ilvl w:val="0"/>
          <w:numId w:val="1009"/>
        </w:numPr>
        <w:bidi/>
      </w:pPr>
      <w:r>
        <w:rPr>
          <w:rtl/>
        </w:rPr>
        <w:t xml:space="preserve">لا يُسأل أي طرف تجاه الآخر عن الخسائر غير المباشرة أو التبعية. ولا تتجاوز مسؤولية بيانات لابز الإجمالية تجاه المساهم</w:t>
      </w:r>
      <w:r>
        <w:rPr>
          <w:rtl/>
        </w:rPr>
        <w:t xml:space="preserve"> </w:t>
      </w:r>
      <w:r>
        <w:rPr>
          <w:rStyle w:val="VerbatimChar"/>
          <w:rtl/>
        </w:rPr>
        <w:t xml:space="preserve">{{LIABILITY_CAP}}</w:t>
      </w:r>
      <w:r>
        <w:rPr>
          <w:rtl/>
        </w:rPr>
        <w:t xml:space="preserve">، إلا حيث لا يجيز النظام وضع حد لها.</w:t>
      </w:r>
    </w:p>
    <w:p>
      <w:pPr>
        <w:pStyle w:val="Compact"/>
        <w:numPr>
          <w:ilvl w:val="0"/>
          <w:numId w:val="1009"/>
        </w:numPr>
        <w:bidi/>
      </w:pPr>
      <w:r>
        <w:rPr>
          <w:rtl/>
        </w:rPr>
        <w:t xml:space="preserve">لا يُطلب من المساهم تعويض بيانات لابز إلا عن المخالفات المتعمدة للبند CA-9.</w:t>
      </w:r>
    </w:p>
    <w:bookmarkEnd w:id="23"/>
    <w:bookmarkStart w:id="24" w:name="ca-16-الاحتيال-والإيقاف-وإنهاء-الاتفاقية"/>
    <w:p>
      <w:pPr>
        <w:pStyle w:val="Heading3"/>
        <w:bidi/>
      </w:pPr>
      <w:r>
        <w:rPr>
          <w:rtl/>
        </w:rPr>
        <w:t xml:space="preserve">CA-16 الاحتيال والإيقاف وإنهاء الاتفاقية</w:t>
      </w:r>
    </w:p>
    <w:p>
      <w:pPr>
        <w:pStyle w:val="Compact"/>
        <w:numPr>
          <w:ilvl w:val="0"/>
          <w:numId w:val="1010"/>
        </w:numPr>
        <w:bidi/>
      </w:pPr>
      <w:r>
        <w:rPr>
          <w:rtl/>
        </w:rPr>
        <w:t xml:space="preserve">يجوز لبيانات لابز إيقاف مشاركة المساهم أو إنهاؤها إذا كانت لديها أسباب معقولة للاعتقاد بمخالفة البند CA-9 أو CA-10 (كتعدد الحسابات، أو الصوت المركّب أو المعاد تشغيله، أو النصوص المنقولة)، على أن تبيّن السبب وتمنح المساهم فرصة الرد خلال</w:t>
      </w:r>
      <w:r>
        <w:rPr>
          <w:rtl/>
        </w:rPr>
        <w:t xml:space="preserve"> </w:t>
      </w:r>
      <w:r>
        <w:rPr>
          <w:rStyle w:val="VerbatimChar"/>
          <w:rtl/>
        </w:rPr>
        <w:t xml:space="preserve">{{RESPONSE_DAYS}}</w:t>
      </w:r>
      <w:r>
        <w:rPr>
          <w:rtl/>
        </w:rPr>
        <w:t xml:space="preserve"> </w:t>
      </w:r>
      <w:r>
        <w:rPr>
          <w:rtl/>
        </w:rPr>
        <w:t xml:space="preserve">يوماً.</w:t>
      </w:r>
    </w:p>
    <w:p>
      <w:pPr>
        <w:pStyle w:val="Compact"/>
        <w:numPr>
          <w:ilvl w:val="0"/>
          <w:numId w:val="1010"/>
        </w:numPr>
        <w:bidi/>
      </w:pPr>
      <w:r>
        <w:rPr>
          <w:rtl/>
        </w:rPr>
        <w:t xml:space="preserve">يجوز لأي طرف إنهاء هذه الاتفاقية في أي وقت بإشعار. وتبقى البنود من CA-4 إلى CA-8 (بالنسبة إلى المساهمات المنشورة) والبنود CA-13 وCA-14 وCA-15 سارية بعد الإنهاء.</w:t>
      </w:r>
    </w:p>
    <w:bookmarkEnd w:id="24"/>
    <w:bookmarkStart w:id="25" w:name="X9c8cddd7049676c1c3bac73aa69a9f390642e51"/>
    <w:p>
      <w:pPr>
        <w:pStyle w:val="Heading3"/>
        <w:bidi/>
      </w:pPr>
      <w:r>
        <w:rPr>
          <w:rtl/>
        </w:rPr>
        <w:t xml:space="preserve">CA-17 النظام الواجب التطبيق وتسوية النزاعات</w:t>
      </w:r>
    </w:p>
    <w:p>
      <w:pPr>
        <w:bidi/>
      </w:pPr>
      <w:r>
        <w:rPr>
          <w:rtl/>
        </w:rPr>
        <w:t xml:space="preserve">تخضع هذه الاتفاقية لـ</w:t>
      </w:r>
      <w:r>
        <w:rPr>
          <w:rtl/>
        </w:rPr>
        <w:t xml:space="preserve"> </w:t>
      </w:r>
      <w:r>
        <w:rPr>
          <w:rStyle w:val="VerbatimChar"/>
          <w:rtl/>
        </w:rPr>
        <w:t xml:space="preserve">{{GOVERNING_LAW}}</w:t>
      </w:r>
      <w:r>
        <w:rPr>
          <w:rtl/>
        </w:rPr>
        <w:t xml:space="preserve">، وتُحال النزاعات إلى</w:t>
      </w:r>
      <w:r>
        <w:rPr>
          <w:rtl/>
        </w:rPr>
        <w:t xml:space="preserve"> </w:t>
      </w:r>
      <w:r>
        <w:rPr>
          <w:rStyle w:val="VerbatimChar"/>
          <w:rtl/>
        </w:rPr>
        <w:t xml:space="preserve">{{DISPUTE_FORUM}}</w:t>
      </w:r>
      <w:r>
        <w:rPr>
          <w:rtl/>
        </w:rPr>
        <w:t xml:space="preserve">، بعد محاولة تسويتها عبر</w:t>
      </w:r>
      <w:r>
        <w:rPr>
          <w:rtl/>
        </w:rPr>
        <w:t xml:space="preserve"> </w:t>
      </w:r>
      <w:r>
        <w:rPr>
          <w:rStyle w:val="VerbatimChar"/>
          <w:rtl/>
        </w:rPr>
        <w:t xml:space="preserve">{{PRIVACY_CONTACT_EMAIL}}</w:t>
      </w:r>
      <w:r>
        <w:rPr>
          <w:rtl/>
        </w:rPr>
        <w:t xml:space="preserve"> </w:t>
      </w:r>
      <w:r>
        <w:rPr>
          <w:rtl/>
        </w:rPr>
        <w:t xml:space="preserve">خلال 30 يوماً.</w:t>
      </w:r>
    </w:p>
    <w:bookmarkEnd w:id="25"/>
    <w:bookmarkStart w:id="26" w:name="ca-18-اللغة"/>
    <w:p>
      <w:pPr>
        <w:pStyle w:val="Heading3"/>
        <w:bidi/>
      </w:pPr>
      <w:r>
        <w:rPr>
          <w:rtl/>
        </w:rPr>
        <w:t xml:space="preserve">CA-18 اللغة</w:t>
      </w:r>
    </w:p>
    <w:p>
      <w:pPr>
        <w:bidi/>
      </w:pPr>
      <w:r>
        <w:rPr>
          <w:rtl/>
        </w:rPr>
        <w:t xml:space="preserve">حُرّرت هذه الاتفاقية بالعربية والإنجليزية، وعند الاختلاف يسود النص</w:t>
      </w:r>
      <w:r>
        <w:rPr>
          <w:rtl/>
        </w:rPr>
        <w:t xml:space="preserve"> </w:t>
      </w:r>
      <w:r>
        <w:rPr>
          <w:rStyle w:val="VerbatimChar"/>
          <w:rtl/>
        </w:rPr>
        <w:t xml:space="preserve">{{PREVAILING_LANGUAGE}}</w:t>
      </w:r>
      <w:r>
        <w:rPr>
          <w:rtl/>
        </w:rPr>
        <w:t xml:space="preserve">. ويقرّ المساهم بأنه قرأها باللغة التي اختارها.</w:t>
      </w:r>
    </w:p>
    <w:bookmarkEnd w:id="26"/>
    <w:bookmarkStart w:id="27" w:name="ca-19-كامل-الاتفاق-والتعديل-والتوقيع"/>
    <w:p>
      <w:pPr>
        <w:pStyle w:val="Heading3"/>
        <w:bidi/>
      </w:pPr>
      <w:r>
        <w:rPr>
          <w:rtl/>
        </w:rPr>
        <w:t xml:space="preserve">CA-19 كامل الاتفاق والتعديل والتوقيع</w:t>
      </w:r>
    </w:p>
    <w:p>
      <w:pPr>
        <w:bidi/>
      </w:pPr>
      <w:r>
        <w:rPr>
          <w:rtl/>
        </w:rPr>
        <w:t xml:space="preserve">تمثّل هذه الاتفاقية وجداولها ونموذج الموافقة وإشعار الخصوصية كامل الاتفاق. ولن تغيّر بيانات لابز الشروط بالنسبة إلى المساهمات المنشورة. وتسري الشروط الجديدة على المساهمات الجديدة فقط، وبعد قبول المساهم لها. ويجوز التوقيع إلكترونياً عبر</w:t>
      </w:r>
      <w:r>
        <w:rPr>
          <w:rtl/>
        </w:rPr>
        <w:t xml:space="preserve"> </w:t>
      </w:r>
      <w:r>
        <w:rPr>
          <w:rStyle w:val="VerbatimChar"/>
          <w:rtl/>
        </w:rPr>
        <w:t xml:space="preserve">{{ESIGN_PROVIDER}}</w:t>
      </w:r>
      <w:r>
        <w:rPr>
          <w:rtl/>
        </w:rPr>
        <w:t xml:space="preserve">.</w:t>
      </w:r>
    </w:p>
    <w:p>
      <w:r>
        <w:pict>
          <v:rect style="width:0;height:1.5pt" o:hralign="center" o:hrstd="t" o:hr="t"/>
        </w:pict>
      </w:r>
    </w:p>
    <w:bookmarkEnd w:id="27"/>
    <w:bookmarkStart w:id="28" w:name="الجدول-1-تفاصيل-البرنامج"/>
    <w:p>
      <w:pPr>
        <w:pStyle w:val="Heading2"/>
        <w:bidi/>
      </w:pPr>
      <w:r>
        <w:rPr>
          <w:rtl/>
        </w:rPr>
        <w:t xml:space="preserve">الجدول 1: تفاصيل البرنامج</w:t>
      </w:r>
    </w:p>
    <w:tbl>
      <w:tblPr>
        <w:bidiVisual/>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الحقل</w:t>
            </w:r>
          </w:p>
        </w:tc>
        <w:tc>
          <w:tcPr/>
          <w:p>
            <w:pPr>
              <w:pStyle w:val="Compact"/>
              <w:bidi/>
            </w:pPr>
            <w:r>
              <w:rPr>
                <w:rtl/>
              </w:rPr>
              <w:t xml:space="preserve">القيمة</w:t>
            </w:r>
          </w:p>
        </w:tc>
      </w:tr>
      <w:tr>
        <w:tc>
          <w:tcPr/>
          <w:p>
            <w:pPr>
              <w:pStyle w:val="Compact"/>
              <w:bidi/>
            </w:pPr>
            <w:r>
              <w:rPr>
                <w:rtl/>
              </w:rPr>
              <w:t xml:space="preserve">البرنامج</w:t>
            </w:r>
          </w:p>
        </w:tc>
        <w:tc>
          <w:tcPr/>
          <w:p>
            <w:pPr>
              <w:pStyle w:val="Compact"/>
              <w:bidi/>
            </w:pPr>
            <w:r>
              <w:rPr>
                <w:rStyle w:val="VerbatimChar"/>
                <w:rtl/>
              </w:rPr>
              <w:t xml:space="preserve">{{PROGRAMME_NAME}}</w:t>
            </w:r>
            <w:r>
              <w:rPr>
                <w:rtl/>
              </w:rPr>
              <w:t xml:space="preserve"> </w:t>
            </w:r>
            <w:r>
              <w:rPr>
                <w:rtl/>
              </w:rPr>
              <w:t xml:space="preserve">(مثل: صوت)</w:t>
            </w:r>
          </w:p>
        </w:tc>
      </w:tr>
      <w:tr>
        <w:tc>
          <w:tcPr/>
          <w:p>
            <w:pPr>
              <w:pStyle w:val="Compact"/>
              <w:bidi/>
            </w:pPr>
            <w:r>
              <w:rPr>
                <w:rtl/>
              </w:rPr>
              <w:t xml:space="preserve">الرخصة المفتوحة</w:t>
            </w:r>
          </w:p>
        </w:tc>
        <w:tc>
          <w:tcPr/>
          <w:p>
            <w:pPr>
              <w:pStyle w:val="Compact"/>
              <w:bidi/>
            </w:pPr>
            <w:r>
              <w:rPr>
                <w:rStyle w:val="VerbatimChar"/>
                <w:rtl/>
              </w:rPr>
              <w:t xml:space="preserve">{{RELEASE_LICENCE}}</w:t>
            </w:r>
            <w:r>
              <w:rPr>
                <w:rtl/>
              </w:rPr>
              <w:t xml:space="preserve"> </w:t>
            </w:r>
            <w:r>
              <w:rPr>
                <w:rtl/>
              </w:rPr>
              <w:t xml:space="preserve">(الخيار أ CC0 1.0 أو الخيار ب CC BY 4.0)</w:t>
            </w:r>
          </w:p>
        </w:tc>
      </w:tr>
      <w:tr>
        <w:tc>
          <w:tcPr/>
          <w:p>
            <w:pPr>
              <w:pStyle w:val="Compact"/>
              <w:bidi/>
            </w:pPr>
            <w:r>
              <w:rPr>
                <w:rtl/>
              </w:rPr>
              <w:t xml:space="preserve">خيار نواتج العمل (CA-8)</w:t>
            </w:r>
          </w:p>
        </w:tc>
        <w:tc>
          <w:tcPr/>
          <w:p>
            <w:pPr>
              <w:pStyle w:val="Compact"/>
              <w:bidi/>
            </w:pPr>
            <w:r>
              <w:rPr>
                <w:rStyle w:val="VerbatimChar"/>
                <w:rtl/>
              </w:rPr>
              <w:t xml:space="preserve">{{CA8_OPTION}}</w:t>
            </w:r>
            <w:r>
              <w:rPr>
                <w:rtl/>
              </w:rPr>
              <w:t xml:space="preserve"> </w:t>
            </w:r>
            <w:r>
              <w:rPr>
                <w:rtl/>
              </w:rPr>
              <w:t xml:space="preserve">(1 نقل ملكية أو 2 ترخيص)</w:t>
            </w:r>
          </w:p>
        </w:tc>
      </w:tr>
      <w:tr>
        <w:tc>
          <w:tcPr/>
          <w:p>
            <w:pPr>
              <w:pStyle w:val="Compact"/>
              <w:bidi/>
            </w:pPr>
            <w:r>
              <w:rPr>
                <w:rtl/>
              </w:rPr>
              <w:t xml:space="preserve">أنواع المهام</w:t>
            </w:r>
          </w:p>
        </w:tc>
        <w:tc>
          <w:tcPr/>
          <w:p>
            <w:pPr>
              <w:pStyle w:val="Compact"/>
              <w:bidi/>
            </w:pPr>
            <w:r>
              <w:rPr>
                <w:rStyle w:val="VerbatimChar"/>
                <w:rtl/>
              </w:rPr>
              <w:t xml:space="preserve">{{TASK_TYPES}}</w:t>
            </w:r>
          </w:p>
        </w:tc>
      </w:tr>
      <w:tr>
        <w:tc>
          <w:tcPr/>
          <w:p>
            <w:pPr>
              <w:pStyle w:val="Compact"/>
              <w:bidi/>
            </w:pPr>
            <w:r>
              <w:rPr>
                <w:rtl/>
              </w:rPr>
              <w:t xml:space="preserve">جدول الأجور</w:t>
            </w:r>
          </w:p>
        </w:tc>
        <w:tc>
          <w:tcPr/>
          <w:p>
            <w:pPr>
              <w:pStyle w:val="Compact"/>
              <w:bidi/>
            </w:pPr>
            <w:r>
              <w:rPr>
                <w:rStyle w:val="VerbatimChar"/>
                <w:rtl/>
              </w:rPr>
              <w:t xml:space="preserve">{{PAY_TABLE_REF}}</w:t>
            </w:r>
            <w:r>
              <w:rPr>
                <w:rtl/>
              </w:rPr>
              <w:t xml:space="preserve"> </w:t>
            </w:r>
            <w:r>
              <w:rPr>
                <w:rtl/>
              </w:rPr>
              <w:t xml:space="preserve">(الصيغة بأجر فقط)</w:t>
            </w:r>
          </w:p>
        </w:tc>
      </w:tr>
      <w:tr>
        <w:tc>
          <w:tcPr/>
          <w:p>
            <w:pPr>
              <w:pStyle w:val="Compact"/>
              <w:bidi/>
            </w:pPr>
            <w:r>
              <w:rPr>
                <w:rtl/>
              </w:rPr>
              <w:t xml:space="preserve">منطقة التخزين الخاص</w:t>
            </w:r>
          </w:p>
        </w:tc>
        <w:tc>
          <w:tcPr/>
          <w:p>
            <w:pPr>
              <w:pStyle w:val="Compact"/>
              <w:bidi/>
            </w:pPr>
            <w:r>
              <w:rPr>
                <w:rStyle w:val="VerbatimChar"/>
                <w:rtl/>
              </w:rPr>
              <w:t xml:space="preserve">{{STORAGE_REGION}}</w:t>
            </w:r>
          </w:p>
        </w:tc>
      </w:tr>
      <w:tr>
        <w:tc>
          <w:tcPr/>
          <w:p>
            <w:pPr>
              <w:pStyle w:val="Compact"/>
              <w:bidi/>
            </w:pPr>
            <w:r>
              <w:rPr>
                <w:rtl/>
              </w:rPr>
              <w:t xml:space="preserve">منصات النشر العامة</w:t>
            </w:r>
          </w:p>
        </w:tc>
        <w:tc>
          <w:tcPr/>
          <w:p>
            <w:pPr>
              <w:pStyle w:val="Compact"/>
              <w:bidi/>
            </w:pPr>
            <w:r>
              <w:rPr>
                <w:rtl/>
              </w:rPr>
              <w:t xml:space="preserve">Hugging Face (</w:t>
            </w:r>
            <w:r>
              <w:rPr>
                <w:rStyle w:val="VerbatimChar"/>
                <w:rtl/>
              </w:rPr>
              <w:t xml:space="preserve">{{HF_ORG}}</w:t>
            </w:r>
            <w:r>
              <w:rPr>
                <w:rtl/>
              </w:rPr>
              <w:t xml:space="preserve">)، Zenodo</w:t>
            </w:r>
          </w:p>
        </w:tc>
      </w:tr>
      <w:tr>
        <w:tc>
          <w:tcPr/>
          <w:p>
            <w:pPr>
              <w:pStyle w:val="Compact"/>
              <w:bidi/>
            </w:pPr>
            <w:r>
              <w:rPr>
                <w:rtl/>
              </w:rPr>
              <w:t xml:space="preserve">مدة الاستجابة لطلب العدول</w:t>
            </w:r>
          </w:p>
        </w:tc>
        <w:tc>
          <w:tcPr/>
          <w:p>
            <w:pPr>
              <w:pStyle w:val="Compact"/>
              <w:bidi/>
            </w:pPr>
            <w:r>
              <w:rPr>
                <w:rStyle w:val="VerbatimChar"/>
                <w:rtl/>
              </w:rPr>
              <w:t xml:space="preserve">{{WITHDRAWAL_SLA_DAYS}}</w:t>
            </w:r>
            <w:r>
              <w:rPr>
                <w:rtl/>
              </w:rPr>
              <w:t xml:space="preserve"> </w:t>
            </w:r>
            <w:r>
              <w:rPr>
                <w:rtl/>
              </w:rPr>
              <w:t xml:space="preserve">يوماً</w:t>
            </w:r>
          </w:p>
        </w:tc>
      </w:tr>
    </w:tbl>
    <w:bookmarkEnd w:id="28"/>
    <w:bookmarkStart w:id="29" w:name="الجدول-2-إقرار-المساهم"/>
    <w:p>
      <w:pPr>
        <w:pStyle w:val="Heading2"/>
        <w:bidi/>
      </w:pPr>
      <w:r>
        <w:rPr>
          <w:rtl/>
        </w:rPr>
        <w:t xml:space="preserve">الجدول 2: إقرار المساهم</w:t>
      </w:r>
    </w:p>
    <w:p>
      <w:pPr>
        <w:bidi/>
      </w:pPr>
      <w:r>
        <w:rPr>
          <w:rtl/>
        </w:rPr>
        <w:t xml:space="preserve">☐ عمري 18 سنة أو أكثر. ☐ قرأت نموذج الموافقة وإشعار الخصوصية. ☐ ستكون مساهماتي من عملي (CA-9). ☐ أفهم أن الإصدارات المنشورة لا يمكن استرجاعها (CA-13).</w:t>
      </w:r>
    </w:p>
    <w:p>
      <w:pPr>
        <w:bidi/>
      </w:pPr>
      <w:r>
        <w:rPr>
          <w:rtl/>
        </w:rPr>
        <w:t xml:space="preserve">الاسم (سري): ____________ التاريخ: ____________ التوقيع / مرجع التوقيع الإلكتروني: ____________</w:t>
      </w:r>
    </w:p>
    <w:p>
      <w:r>
        <w:pict>
          <v:rect style="width:0;height:1.5pt" o:hralign="center" o:hrstd="t" o:hr="t"/>
        </w:pict>
      </w:r>
    </w:p>
    <w:p>
      <w:pPr>
        <w:bidi/>
      </w:pPr>
      <w:r>
        <w:rPr>
          <w:i/>
          <w:iCs/>
          <w:rtl/>
        </w:rPr>
        <w:t xml:space="preserve">سجل التغييرات:</w:t>
      </w:r>
      <w:r>
        <w:rPr>
          <w:rtl/>
        </w:rPr>
        <w:t xml:space="preserve"> </w:t>
      </w:r>
      <w:r>
        <w:rPr>
          <w:rtl/>
        </w:rPr>
        <w:t xml:space="preserve">الإصدار 1.0 (15 أكتوبر 2026): الإصدار الأول.</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اتفاقية المساهم مع بيانات لابز (قالب، الإصدار 1.0)</dc:title>
  <dc:creator/>
  <dc:language>ar</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