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بيان بيانات لابز للمساهمين بشأن نقل البيانات خارج المملكة (قالب، الإصدار 1.0)</w:t>
      </w:r>
    </w:p>
    <w:p>
      <w:pPr>
        <w:pStyle w:val="BlockText"/>
        <w:bidi/>
      </w:pPr>
      <w:r>
        <w:rPr>
          <w:b/>
          <w:bCs/>
          <w:rtl/>
        </w:rPr>
        <w:t xml:space="preserve">روجعت من مستشار قانوني، أكتوبر 2026. عدّلها قبل الاستخدام؛ ليست استشارة قانونية لمؤسستك.</w:t>
      </w:r>
      <w:r>
        <w:rPr>
          <w:rtl/>
        </w:rPr>
        <w:t xml:space="preserve"> </w:t>
      </w:r>
      <w:r>
        <w:rPr>
          <w:rtl/>
        </w:rPr>
        <w:t xml:space="preserve">(Reviewed by counsel, October 2026. Adapt before use; not legal advice for your organisation.)</w:t>
      </w:r>
    </w:p>
    <w:p>
      <w:pPr>
        <w:pStyle w:val="BlockText"/>
        <w:bidi/>
      </w:pPr>
      <w:r>
        <w:rPr>
          <w:b/>
          <w:bCs/>
          <w:rtl/>
        </w:rPr>
        <w:t xml:space="preserve">النص العربي.</w:t>
      </w:r>
      <w:r>
        <w:rPr>
          <w:rtl/>
        </w:rPr>
        <w:t xml:space="preserve"> </w:t>
      </w:r>
      <w:r>
        <w:rPr>
          <w:rtl/>
        </w:rPr>
        <w:t xml:space="preserve">مكتوب بالعربية الفصحى المعاصرة. لم يراجع النصَّ العربي بعدُ كاتبٌ لغته الأم العربية، والنص الإنجليزي هو المعتمد. (The Arabic text has not yet been reviewed by a native Arabic writer; the English governs.)</w:t>
      </w:r>
    </w:p>
    <w:p>
      <w:pPr>
        <w:pStyle w:val="BlockText"/>
        <w:bidi/>
      </w:pPr>
      <w:r>
        <w:rPr>
          <w:rtl/>
        </w:rPr>
        <w:t xml:space="preserve">معرّف الوثيقة:</w:t>
      </w:r>
      <w:r>
        <w:rPr>
          <w:rtl/>
        </w:rPr>
        <w:t xml:space="preserve"> </w:t>
      </w:r>
      <w:r>
        <w:rPr>
          <w:rStyle w:val="VerbatimChar"/>
          <w:rtl/>
        </w:rPr>
        <w:t xml:space="preserve">BL-XBORDER</w:t>
      </w:r>
      <w:r>
        <w:rPr>
          <w:rtl/>
        </w:rPr>
        <w:t xml:space="preserve"> </w:t>
      </w:r>
      <w:r>
        <w:rPr>
          <w:rtl/>
        </w:rPr>
        <w:t xml:space="preserve">· الإصدار:</w:t>
      </w:r>
      <w:r>
        <w:rPr>
          <w:rtl/>
        </w:rPr>
        <w:t xml:space="preserve"> </w:t>
      </w:r>
      <w:r>
        <w:rPr>
          <w:rStyle w:val="VerbatimChar"/>
          <w:rtl/>
        </w:rPr>
        <w:t xml:space="preserve">{{XBORDER_VERSION}}</w:t>
      </w:r>
      <w:r>
        <w:rPr>
          <w:rtl/>
        </w:rPr>
        <w:t xml:space="preserve">.</w:t>
      </w:r>
    </w:p>
    <w:p>
      <w:r>
        <w:pict>
          <v:rect style="width:0;height:1.5pt" o:hralign="center" o:hrstd="t" o:hr="t"/>
        </w:pict>
      </w:r>
    </w:p>
    <w:bookmarkStart w:id="9" w:name="cbs-1-لماذا-تقرأ-هذا-البيان"/>
    <w:p>
      <w:pPr>
        <w:pStyle w:val="Heading3"/>
        <w:bidi/>
      </w:pPr>
      <w:r>
        <w:rPr>
          <w:rtl/>
        </w:rPr>
        <w:t xml:space="preserve">CBS-1 لماذا تقرأ هذا البيان</w:t>
      </w:r>
    </w:p>
    <w:p>
      <w:pPr>
        <w:bidi/>
      </w:pPr>
      <w:r>
        <w:rPr>
          <w:rtl/>
        </w:rPr>
        <w:t xml:space="preserve">تنشر بيانات لابز مجموعات بيانات مفتوحة على منصات مستضافة خارج المملكة العربية السعودية، ونشر مساهماتك عليها يعني خروج بياناتك الشخصية من المملكة. يوضح هذا البيان ما الذي يخرج، وإلى أين، ولماذا، وما الحمايات القائمة وغير القائمة.</w:t>
      </w:r>
    </w:p>
    <w:bookmarkEnd w:id="9"/>
    <w:bookmarkStart w:id="10" w:name="cbs-2-ما-يخرج-من-المملكة-وما-يبقى-فيها"/>
    <w:p>
      <w:pPr>
        <w:pStyle w:val="Heading3"/>
        <w:bidi/>
      </w:pPr>
      <w:r>
        <w:rPr>
          <w:rtl/>
        </w:rPr>
        <w:t xml:space="preserve">CBS-2 ما يخرج من المملكة وما يبقى فيها</w:t>
      </w:r>
    </w:p>
    <w:tbl>
      <w:tblPr>
        <w:bidiVisual/>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البيانات</w:t>
            </w:r>
          </w:p>
        </w:tc>
        <w:tc>
          <w:tcPr/>
          <w:p>
            <w:pPr>
              <w:pStyle w:val="Compact"/>
              <w:bidi/>
            </w:pPr>
            <w:r>
              <w:rPr>
                <w:rtl/>
              </w:rPr>
              <w:t xml:space="preserve">هل تخرج من المملكة؟</w:t>
            </w:r>
          </w:p>
        </w:tc>
        <w:tc>
          <w:tcPr/>
          <w:p>
            <w:pPr>
              <w:pStyle w:val="Compact"/>
              <w:bidi/>
            </w:pPr>
            <w:r>
              <w:rPr>
                <w:rtl/>
              </w:rPr>
              <w:t xml:space="preserve">إلى أين</w:t>
            </w:r>
          </w:p>
        </w:tc>
        <w:tc>
          <w:tcPr/>
          <w:p>
            <w:pPr>
              <w:pStyle w:val="Compact"/>
              <w:bidi/>
            </w:pPr>
            <w:r>
              <w:rPr>
                <w:rtl/>
              </w:rPr>
              <w:t xml:space="preserve">متى</w:t>
            </w:r>
          </w:p>
        </w:tc>
      </w:tr>
      <w:tr>
        <w:tc>
          <w:tcPr/>
          <w:p>
            <w:pPr>
              <w:pStyle w:val="Compact"/>
              <w:bidi/>
            </w:pPr>
            <w:r>
              <w:rPr>
                <w:rtl/>
              </w:rPr>
              <w:t xml:space="preserve">ملفات الإصدارات المنشورة: صوتك أو نصك أو صورة كتابتك أو الفيديو، والتفريغ النصي، والمعرّف المستعار، والبيانات الوصفية الاختيارية</w:t>
            </w:r>
          </w:p>
        </w:tc>
        <w:tc>
          <w:tcPr/>
          <w:p>
            <w:pPr>
              <w:pStyle w:val="Compact"/>
              <w:bidi/>
            </w:pPr>
            <w:r>
              <w:rPr>
                <w:rtl/>
              </w:rPr>
              <w:t xml:space="preserve">نعم</w:t>
            </w:r>
          </w:p>
        </w:tc>
        <w:tc>
          <w:tcPr/>
          <w:p>
            <w:pPr>
              <w:pStyle w:val="Compact"/>
              <w:bidi/>
            </w:pPr>
            <w:r>
              <w:rPr>
                <w:rtl/>
              </w:rPr>
              <w:t xml:space="preserve">Hugging Face وZenodo، ثم أي شخص ينزّلها في العالم</w:t>
            </w:r>
          </w:p>
        </w:tc>
        <w:tc>
          <w:tcPr/>
          <w:p>
            <w:pPr>
              <w:pStyle w:val="Compact"/>
              <w:bidi/>
            </w:pPr>
            <w:r>
              <w:rPr>
                <w:rtl/>
              </w:rPr>
              <w:t xml:space="preserve">عند كل إصدار، وبعد فحوص الجودة والخصوصية والموافقة فقط</w:t>
            </w:r>
          </w:p>
        </w:tc>
      </w:tr>
      <w:tr>
        <w:tc>
          <w:tcPr/>
          <w:p>
            <w:pPr>
              <w:pStyle w:val="Compact"/>
              <w:bidi/>
            </w:pPr>
            <w:r>
              <w:rPr>
                <w:rtl/>
              </w:rPr>
              <w:t xml:space="preserve">التسجيلات والصور الأصلية بجودتها الكاملة</w:t>
            </w:r>
          </w:p>
        </w:tc>
        <w:tc>
          <w:tcPr/>
          <w:p>
            <w:pPr>
              <w:pStyle w:val="Compact"/>
              <w:bidi/>
            </w:pPr>
            <w:r>
              <w:rPr>
                <w:rtl/>
              </w:rPr>
              <w:t xml:space="preserve">لا</w:t>
            </w:r>
          </w:p>
        </w:tc>
        <w:tc>
          <w:tcPr/>
          <w:p>
            <w:pPr>
              <w:pStyle w:val="Compact"/>
              <w:bidi/>
            </w:pPr>
            <w:r>
              <w:rPr>
                <w:rStyle w:val="VerbatimChar"/>
                <w:rtl/>
              </w:rPr>
              <w:t xml:space="preserve">{{STORAGE_REGION}}</w:t>
            </w:r>
          </w:p>
        </w:tc>
        <w:tc>
          <w:tcPr/>
          <w:p>
            <w:pPr>
              <w:pStyle w:val="Compact"/>
              <w:bidi/>
            </w:pPr>
            <w:r>
              <w:rPr>
                <w:rtl/>
              </w:rPr>
              <w:t xml:space="preserve">—</w:t>
            </w:r>
          </w:p>
        </w:tc>
      </w:tr>
      <w:tr>
        <w:tc>
          <w:tcPr/>
          <w:p>
            <w:pPr>
              <w:pStyle w:val="Compact"/>
              <w:bidi/>
            </w:pPr>
            <w:r>
              <w:rPr>
                <w:rtl/>
              </w:rPr>
              <w:t xml:space="preserve">الاسم وبيانات التواصل والتحقق من العمر ومعرّف الحساب</w:t>
            </w:r>
          </w:p>
        </w:tc>
        <w:tc>
          <w:tcPr/>
          <w:p>
            <w:pPr>
              <w:pStyle w:val="Compact"/>
              <w:bidi/>
            </w:pPr>
            <w:r>
              <w:rPr>
                <w:rtl/>
              </w:rPr>
              <w:t xml:space="preserve">لا، ما لم تُستخدم جهة معالجة في الخارج (</w:t>
            </w:r>
            <w:r>
              <w:rPr>
                <w:rStyle w:val="VerbatimChar"/>
                <w:rtl/>
              </w:rPr>
              <w:t xml:space="preserve">{{FOREIGN_PROCESSORS}}</w:t>
            </w:r>
            <w:r>
              <w:rPr>
                <w:rtl/>
              </w:rPr>
              <w:t xml:space="preserve">)</w:t>
            </w:r>
          </w:p>
        </w:tc>
        <w:tc>
          <w:tcPr/>
          <w:p>
            <w:pPr>
              <w:pStyle w:val="Compact"/>
              <w:bidi/>
            </w:pPr>
            <w:r>
              <w:rPr>
                <w:rStyle w:val="VerbatimChar"/>
                <w:rtl/>
              </w:rPr>
              <w:t xml:space="preserve">{{STORAGE_REGION}}</w:t>
            </w:r>
          </w:p>
        </w:tc>
        <w:tc>
          <w:tcPr/>
          <w:p>
            <w:pPr>
              <w:pStyle w:val="Compact"/>
              <w:bidi/>
            </w:pPr>
            <w:r>
              <w:rPr>
                <w:rtl/>
              </w:rPr>
              <w:t xml:space="preserve">—</w:t>
            </w:r>
          </w:p>
        </w:tc>
      </w:tr>
      <w:tr>
        <w:tc>
          <w:tcPr/>
          <w:p>
            <w:pPr>
              <w:pStyle w:val="Compact"/>
              <w:bidi/>
            </w:pPr>
            <w:r>
              <w:rPr>
                <w:rtl/>
              </w:rPr>
              <w:t xml:space="preserve">سجلات الموافقة والمفتاح الذي يربطك بمعرّفك المستعار</w:t>
            </w:r>
          </w:p>
        </w:tc>
        <w:tc>
          <w:tcPr/>
          <w:p>
            <w:pPr>
              <w:pStyle w:val="Compact"/>
              <w:bidi/>
            </w:pPr>
            <w:r>
              <w:rPr>
                <w:rtl/>
              </w:rPr>
              <w:t xml:space="preserve">لا</w:t>
            </w:r>
          </w:p>
        </w:tc>
        <w:tc>
          <w:tcPr/>
          <w:p>
            <w:pPr>
              <w:pStyle w:val="Compact"/>
              <w:bidi/>
            </w:pPr>
            <w:r>
              <w:rPr>
                <w:rStyle w:val="VerbatimChar"/>
                <w:rtl/>
              </w:rPr>
              <w:t xml:space="preserve">{{STORAGE_REGION}}</w:t>
            </w:r>
          </w:p>
        </w:tc>
        <w:tc>
          <w:tcPr/>
          <w:p>
            <w:pPr>
              <w:pStyle w:val="Compact"/>
              <w:bidi/>
            </w:pPr>
            <w:r>
              <w:rPr>
                <w:rtl/>
              </w:rPr>
              <w:t xml:space="preserve">—</w:t>
            </w:r>
          </w:p>
        </w:tc>
      </w:tr>
      <w:tr>
        <w:tc>
          <w:tcPr/>
          <w:p>
            <w:pPr>
              <w:pStyle w:val="Compact"/>
              <w:bidi/>
            </w:pPr>
            <w:r>
              <w:rPr>
                <w:rtl/>
              </w:rPr>
              <w:t xml:space="preserve">البصمات الصوتية</w:t>
            </w:r>
          </w:p>
        </w:tc>
        <w:tc>
          <w:tcPr/>
          <w:p>
            <w:pPr>
              <w:pStyle w:val="Compact"/>
              <w:bidi/>
            </w:pPr>
            <w:r>
              <w:rPr>
                <w:rtl/>
              </w:rPr>
              <w:t xml:space="preserve">لا</w:t>
            </w:r>
          </w:p>
        </w:tc>
        <w:tc>
          <w:tcPr/>
          <w:p>
            <w:pPr>
              <w:pStyle w:val="Compact"/>
              <w:bidi/>
            </w:pPr>
            <w:r>
              <w:rPr>
                <w:rStyle w:val="VerbatimChar"/>
                <w:rtl/>
              </w:rPr>
              <w:t xml:space="preserve">{{STORAGE_REGION}}</w:t>
            </w:r>
          </w:p>
        </w:tc>
        <w:tc>
          <w:tcPr/>
          <w:p>
            <w:pPr>
              <w:pStyle w:val="Compact"/>
              <w:bidi/>
            </w:pPr>
            <w:r>
              <w:rPr>
                <w:rtl/>
              </w:rPr>
              <w:t xml:space="preserve">—</w:t>
            </w:r>
          </w:p>
        </w:tc>
      </w:tr>
      <w:tr>
        <w:tc>
          <w:tcPr/>
          <w:p>
            <w:pPr>
              <w:pStyle w:val="Compact"/>
              <w:bidi/>
            </w:pPr>
            <w:r>
              <w:rPr>
                <w:rtl/>
              </w:rPr>
              <w:t xml:space="preserve">نسخ تُرسل لاختبار الخدمات التجارية (مع الخانة CF-5.9 فقط)</w:t>
            </w:r>
          </w:p>
        </w:tc>
        <w:tc>
          <w:tcPr/>
          <w:p>
            <w:pPr>
              <w:pStyle w:val="Compact"/>
              <w:bidi/>
            </w:pPr>
            <w:r>
              <w:rPr>
                <w:rtl/>
              </w:rPr>
              <w:t xml:space="preserve">نعم، إذا كان مقدم الخدمة يعالج البيانات خارج المملكة</w:t>
            </w:r>
          </w:p>
        </w:tc>
        <w:tc>
          <w:tcPr/>
          <w:p>
            <w:pPr>
              <w:pStyle w:val="Compact"/>
              <w:bidi/>
            </w:pPr>
            <w:r>
              <w:rPr>
                <w:rStyle w:val="VerbatimChar"/>
                <w:rtl/>
              </w:rPr>
              <w:t xml:space="preserve">{{BENCHMARK_VENDORS}}</w:t>
            </w:r>
          </w:p>
        </w:tc>
        <w:tc>
          <w:tcPr/>
          <w:p>
            <w:pPr>
              <w:pStyle w:val="Compact"/>
              <w:bidi/>
            </w:pPr>
            <w:r>
              <w:rPr>
                <w:rtl/>
              </w:rPr>
              <w:t xml:space="preserve">أثناء تشغيل الاختبارات، وفق شروط كل مقدم خدمة بعد مراجعتها</w:t>
            </w:r>
          </w:p>
        </w:tc>
      </w:tr>
      <w:tr>
        <w:tc>
          <w:tcPr/>
          <w:p>
            <w:pPr>
              <w:pStyle w:val="Compact"/>
              <w:bidi/>
            </w:pPr>
            <w:r>
              <w:rPr>
                <w:rtl/>
              </w:rPr>
              <w:t xml:space="preserve">بيانات الدفع</w:t>
            </w:r>
          </w:p>
        </w:tc>
        <w:tc>
          <w:tcPr/>
          <w:p>
            <w:pPr>
              <w:pStyle w:val="Compact"/>
              <w:bidi/>
            </w:pPr>
            <w:r>
              <w:rPr>
                <w:rtl/>
              </w:rPr>
              <w:t xml:space="preserve">بحسب مقدم خدمة الدفع (</w:t>
            </w:r>
            <w:r>
              <w:rPr>
                <w:rStyle w:val="VerbatimChar"/>
                <w:rtl/>
              </w:rPr>
              <w:t xml:space="preserve">{{PAYMENT_PROVIDER}}</w:t>
            </w:r>
            <w:r>
              <w:rPr>
                <w:rtl/>
              </w:rPr>
              <w:t xml:space="preserve">،</w:t>
            </w:r>
            <w:r>
              <w:rPr>
                <w:rtl/>
              </w:rPr>
              <w:t xml:space="preserve"> </w:t>
            </w:r>
            <w:r>
              <w:rPr>
                <w:rStyle w:val="VerbatimChar"/>
                <w:rtl/>
              </w:rPr>
              <w:t xml:space="preserve">{{PAYMENT_PROVIDER_LOCATION}}</w:t>
            </w:r>
            <w:r>
              <w:rPr>
                <w:rtl/>
              </w:rPr>
              <w:t xml:space="preserve">)</w:t>
            </w:r>
          </w:p>
        </w:tc>
        <w:tc>
          <w:tcPr/>
          <w:p>
            <w:pPr>
              <w:pStyle w:val="Compact"/>
              <w:bidi/>
            </w:pPr>
            <w:r>
              <w:rPr>
                <w:rtl/>
              </w:rPr>
              <w:t xml:space="preserve">—</w:t>
            </w:r>
          </w:p>
        </w:tc>
        <w:tc>
          <w:tcPr/>
          <w:p>
            <w:pPr>
              <w:pStyle w:val="Compact"/>
              <w:bidi/>
            </w:pPr>
            <w:r>
              <w:rPr>
                <w:rtl/>
              </w:rPr>
              <w:t xml:space="preserve">عند الدفع</w:t>
            </w:r>
          </w:p>
        </w:tc>
      </w:tr>
    </w:tbl>
    <w:bookmarkEnd w:id="10"/>
    <w:bookmarkStart w:id="11" w:name="cbs-3-الوجهات"/>
    <w:p>
      <w:pPr>
        <w:pStyle w:val="Heading3"/>
        <w:bidi/>
      </w:pPr>
      <w:r>
        <w:rPr>
          <w:rtl/>
        </w:rPr>
        <w:t xml:space="preserve">CBS-3 الوجهات</w:t>
      </w:r>
    </w:p>
    <w:p>
      <w:pPr>
        <w:pStyle w:val="Compact"/>
        <w:numPr>
          <w:ilvl w:val="0"/>
          <w:numId w:val="1001"/>
        </w:numPr>
        <w:bidi/>
      </w:pPr>
      <w:r>
        <w:rPr>
          <w:b/>
          <w:bCs/>
          <w:rtl/>
        </w:rPr>
        <w:t xml:space="preserve">Hugging Face (الولايات المتحدة الأمريكية).</w:t>
      </w:r>
      <w:r>
        <w:rPr>
          <w:rtl/>
        </w:rPr>
        <w:t xml:space="preserve"> </w:t>
      </w:r>
      <w:r>
        <w:rPr>
          <w:rtl/>
        </w:rPr>
        <w:t xml:space="preserve">تنص سياسة الخصوصية لدى Hugging Face على:</w:t>
      </w:r>
      <w:r>
        <w:rPr>
          <w:rtl/>
        </w:rPr>
        <w:t xml:space="preserve"> </w:t>
      </w:r>
      <w:r>
        <w:rPr>
          <w:rtl/>
        </w:rPr>
        <w:t xml:space="preserve">“The Company and its servers are located in the United States.”</w:t>
      </w:r>
      <w:r>
        <w:rPr>
          <w:rtl/>
        </w:rPr>
        <w:t xml:space="preserve"> </w:t>
      </w:r>
      <w:r>
        <w:rPr>
          <w:rtl/>
        </w:rPr>
        <w:t xml:space="preserve">(ترجمتنا: تقع الشركة وخوادمها في الولايات المتحدة). وتذكر كذلك منشأة لها في الاتحاد الأوروبي هي Hugging Face SAS في باريس.</w:t>
      </w:r>
    </w:p>
    <w:p>
      <w:pPr>
        <w:pStyle w:val="Compact"/>
        <w:numPr>
          <w:ilvl w:val="0"/>
          <w:numId w:val="1001"/>
        </w:numPr>
        <w:bidi/>
      </w:pPr>
      <w:r>
        <w:rPr>
          <w:b/>
          <w:bCs/>
          <w:rtl/>
        </w:rPr>
        <w:t xml:space="preserve">Zenodo (CERN).</w:t>
      </w:r>
      <w:r>
        <w:rPr>
          <w:rtl/>
        </w:rPr>
        <w:t xml:space="preserve"> </w:t>
      </w:r>
      <w:r>
        <w:rPr>
          <w:rtl/>
        </w:rPr>
        <w:t xml:space="preserve">تنص شروط Zenodo على أن الخدمة</w:t>
      </w:r>
      <w:r>
        <w:rPr>
          <w:rtl/>
        </w:rPr>
        <w:t xml:space="preserve"> </w:t>
      </w:r>
      <w:r>
        <w:rPr>
          <w:rtl/>
        </w:rPr>
        <w:t xml:space="preserve">“is offered by CERN as part of its mission to make available the results of its work.”</w:t>
      </w:r>
      <w:r>
        <w:rPr>
          <w:rtl/>
        </w:rPr>
        <w:t xml:space="preserve"> </w:t>
      </w:r>
      <w:r>
        <w:rPr>
          <w:rtl/>
        </w:rPr>
        <w:t xml:space="preserve">(ترجمتنا: تقدّمها المنظمة الأوروبية للأبحاث النووية ضمن رسالتها في إتاحة نتائج أعمالها). وتنص سياساتها على:</w:t>
      </w:r>
      <w:r>
        <w:rPr>
          <w:rtl/>
        </w:rPr>
        <w:t xml:space="preserve"> </w:t>
      </w:r>
      <w:r>
        <w:rPr>
          <w:rtl/>
        </w:rPr>
        <w:t xml:space="preserve">“All data files are stored in CERN Data Centres, primarily Geneva, with replicas in Budapest.”</w:t>
      </w:r>
      <w:r>
        <w:rPr>
          <w:rtl/>
        </w:rPr>
        <w:t xml:space="preserve"> </w:t>
      </w:r>
      <w:r>
        <w:rPr>
          <w:rtl/>
        </w:rPr>
        <w:t xml:space="preserve">(ترجمتنا: تُخزَّن جميع ملفات البيانات في مراكز بيانات CERN، وأساساً في جنيف، مع نسخ مطابقة في بودابست). وCERN منظمة حكومية دولية؛ وجنيف في سويسرا، وبودابست في المجر (الاتحاد الأوروبي).</w:t>
      </w:r>
    </w:p>
    <w:p>
      <w:pPr>
        <w:pStyle w:val="Compact"/>
        <w:numPr>
          <w:ilvl w:val="0"/>
          <w:numId w:val="1001"/>
        </w:numPr>
        <w:bidi/>
      </w:pPr>
      <w:r>
        <w:rPr>
          <w:b/>
          <w:bCs/>
          <w:rtl/>
        </w:rPr>
        <w:t xml:space="preserve">المرايا.</w:t>
      </w:r>
      <w:r>
        <w:rPr>
          <w:rtl/>
        </w:rPr>
        <w:t xml:space="preserve"> </w:t>
      </w:r>
      <w:r>
        <w:rPr>
          <w:rtl/>
        </w:rPr>
        <w:t xml:space="preserve">إذا أدرج برنامج ما إصداره أيضاً على منصة أخرى (كنسخة مرآتية على Kaggle)، تُسمّى تلك المنصة في جدول البرنامج:</w:t>
      </w:r>
      <w:r>
        <w:rPr>
          <w:rtl/>
        </w:rPr>
        <w:t xml:space="preserve"> </w:t>
      </w:r>
      <w:r>
        <w:rPr>
          <w:rStyle w:val="VerbatimChar"/>
          <w:rtl/>
        </w:rPr>
        <w:t xml:space="preserve">{{MIRROR_PLATFORMS}}</w:t>
      </w:r>
      <w:r>
        <w:rPr>
          <w:rtl/>
        </w:rPr>
        <w:t xml:space="preserve">.</w:t>
      </w:r>
    </w:p>
    <w:p>
      <w:pPr>
        <w:pStyle w:val="Compact"/>
        <w:numPr>
          <w:ilvl w:val="0"/>
          <w:numId w:val="1001"/>
        </w:numPr>
        <w:bidi/>
      </w:pPr>
      <w:r>
        <w:rPr>
          <w:b/>
          <w:bCs/>
          <w:rtl/>
        </w:rPr>
        <w:t xml:space="preserve">سائر الناس.</w:t>
      </w:r>
      <w:r>
        <w:rPr>
          <w:rtl/>
        </w:rPr>
        <w:t xml:space="preserve"> </w:t>
      </w:r>
      <w:r>
        <w:rPr>
          <w:rtl/>
        </w:rPr>
        <w:t xml:space="preserve">بعد النشر يمكن تنزيل الملفات ونسخها من أي بلد، ولا تستطيع بيانات لابز معرفة أماكن النسخ أو التحكم فيها.</w:t>
      </w:r>
    </w:p>
    <w:bookmarkEnd w:id="11"/>
    <w:bookmarkStart w:id="12" w:name="cbs-4-المسوغ-النظامي-للنقل"/>
    <w:p>
      <w:pPr>
        <w:pStyle w:val="Heading3"/>
        <w:bidi/>
      </w:pPr>
      <w:r>
        <w:rPr>
          <w:rtl/>
        </w:rPr>
        <w:t xml:space="preserve">CBS-4 المسوغ النظامي للنقل</w:t>
      </w:r>
    </w:p>
    <w:p>
      <w:pPr>
        <w:bidi/>
      </w:pPr>
      <w:r>
        <w:rPr>
          <w:rtl/>
        </w:rPr>
        <w:t xml:space="preserve">لا يجيز نظام حماية البيانات الشخصية في المملكة نقل البيانات الشخصية إلى خارج المملكة إلا للأغراض وبالشروط الواردة في مادته التاسعة والعشرين وفي لائحة نقل البيانات الشخصية إلى خارج المملكة. ومن هذه الشروط أن يتوافر مستوى مناسب لحماية البيانات الشخصية خارج المملكة، وأن يقتصر النقل على الحد الأدنى من البيانات الشخصية الذي تدعو الحاجة إليه، وأن يُجرى تقويم لمخاطر النقل في الحالات التي تحددها اللائحة.</w:t>
      </w:r>
    </w:p>
    <w:p>
      <w:pPr>
        <w:bidi/>
      </w:pPr>
      <w:r>
        <w:rPr>
          <w:rtl/>
        </w:rPr>
        <w:t xml:space="preserve">وتستند بيانات لابز إلى موافقتك الصريحة في الخانة CF-5.3 من نموذج الموافقة لنشر مساهماتك خارج المملكة، وفي الخانة CF-5.9 لإرسال نسخ منها إلى خدمات الاختبار المعياري. وتطبّق الضمانات الواردة في البند CBS-5، وتُبقي بيانات هويتك ودفعك وسجلات موافقتك داخل المملكة.</w:t>
      </w:r>
    </w:p>
    <w:bookmarkEnd w:id="12"/>
    <w:bookmarkStart w:id="13" w:name="cbs-5-الضمانات-التي-تطبقها-بيانات-لابز"/>
    <w:p>
      <w:pPr>
        <w:pStyle w:val="Heading3"/>
        <w:bidi/>
      </w:pPr>
      <w:r>
        <w:rPr>
          <w:rtl/>
        </w:rPr>
        <w:t xml:space="preserve">CBS-5 الضمانات التي تطبقها بيانات لابز</w:t>
      </w:r>
    </w:p>
    <w:p>
      <w:pPr>
        <w:pStyle w:val="Compact"/>
        <w:numPr>
          <w:ilvl w:val="0"/>
          <w:numId w:val="1002"/>
        </w:numPr>
        <w:bidi/>
      </w:pPr>
      <w:r>
        <w:rPr>
          <w:rtl/>
        </w:rPr>
        <w:t xml:space="preserve">لا يخرج من المملكة إلا ملفات الإصدارات؛ وتبقى النسخ الأصلية والمفاتيح وسجلات الموافقة والبصمات في</w:t>
      </w:r>
      <w:r>
        <w:rPr>
          <w:rtl/>
        </w:rPr>
        <w:t xml:space="preserve"> </w:t>
      </w:r>
      <w:r>
        <w:rPr>
          <w:rStyle w:val="VerbatimChar"/>
          <w:rtl/>
        </w:rPr>
        <w:t xml:space="preserve">{{STORAGE_REGION}}</w:t>
      </w:r>
      <w:r>
        <w:rPr>
          <w:rtl/>
        </w:rPr>
        <w:t xml:space="preserve">.</w:t>
      </w:r>
    </w:p>
    <w:p>
      <w:pPr>
        <w:pStyle w:val="Compact"/>
        <w:numPr>
          <w:ilvl w:val="0"/>
          <w:numId w:val="1002"/>
        </w:numPr>
        <w:bidi/>
      </w:pPr>
      <w:r>
        <w:rPr>
          <w:rtl/>
        </w:rPr>
        <w:t xml:space="preserve">الحد الأدنى من البيانات: لا أسماء ولا بيانات تواصل ولا أرقام هوية ولا تواريخ ميلاد دقيقة؛ والبيانات الوصفية الاختيارية بموافقة فقط؛ ولا يُنشر أي موقع أدق من مستوى الدولة.</w:t>
      </w:r>
    </w:p>
    <w:p>
      <w:pPr>
        <w:pStyle w:val="Compact"/>
        <w:numPr>
          <w:ilvl w:val="0"/>
          <w:numId w:val="1002"/>
        </w:numPr>
        <w:bidi/>
      </w:pPr>
      <w:r>
        <w:rPr>
          <w:rtl/>
        </w:rPr>
        <w:t xml:space="preserve">تدقيق للبيانات الشخصية قبل كل إصدار (صفر معرّفات مباشرة في عيّنة طبقية من 3,000 سجل).</w:t>
      </w:r>
    </w:p>
    <w:p>
      <w:pPr>
        <w:pStyle w:val="Compact"/>
        <w:numPr>
          <w:ilvl w:val="0"/>
          <w:numId w:val="1002"/>
        </w:numPr>
        <w:bidi/>
      </w:pPr>
      <w:r>
        <w:rPr>
          <w:rtl/>
        </w:rPr>
        <w:t xml:space="preserve">تقويم لمخاطر النقل (المادة السابعة من لائحة النقل) وقيدٌ في سجل أنشطة المعالجة قبل أول رفع.</w:t>
      </w:r>
    </w:p>
    <w:p>
      <w:pPr>
        <w:pStyle w:val="Compact"/>
        <w:numPr>
          <w:ilvl w:val="0"/>
          <w:numId w:val="1002"/>
        </w:numPr>
        <w:bidi/>
      </w:pPr>
      <w:r>
        <w:rPr>
          <w:rtl/>
        </w:rPr>
        <w:t xml:space="preserve">لا يُرفع أي محتوى يتضمن بيانات شخصية إلى أي منصة، ولو كان مستودعاً خاصاً، قبل اجتياز هذه الفحوص.</w:t>
      </w:r>
    </w:p>
    <w:bookmarkEnd w:id="13"/>
    <w:bookmarkStart w:id="14" w:name="cbs-6-ما-ينبغي-أن-تفهمه"/>
    <w:p>
      <w:pPr>
        <w:pStyle w:val="Heading3"/>
        <w:bidi/>
      </w:pPr>
      <w:r>
        <w:rPr>
          <w:rtl/>
        </w:rPr>
        <w:t xml:space="preserve">CBS-6 ما ينبغي أن تفهمه</w:t>
      </w:r>
    </w:p>
    <w:p>
      <w:pPr>
        <w:pStyle w:val="Compact"/>
        <w:numPr>
          <w:ilvl w:val="0"/>
          <w:numId w:val="1003"/>
        </w:numPr>
        <w:bidi/>
      </w:pPr>
      <w:r>
        <w:rPr>
          <w:rtl/>
        </w:rPr>
        <w:t xml:space="preserve">تخضع البيانات المنشورة على Hugging Face وZenodo لأنظمة الدول التي تُستضاف فيها وتُنزَّل منها، وقد تكون حمايتها أقل من حماية النظام السعودي.</w:t>
      </w:r>
    </w:p>
    <w:p>
      <w:pPr>
        <w:pStyle w:val="Compact"/>
        <w:numPr>
          <w:ilvl w:val="0"/>
          <w:numId w:val="1003"/>
        </w:numPr>
        <w:bidi/>
      </w:pPr>
      <w:r>
        <w:rPr>
          <w:rtl/>
        </w:rPr>
        <w:t xml:space="preserve">لا نعلم بقرار منشور من الجهة المختصة يقضي بأن هذه الوجهات توفر حماية مكافئة لحماية النظام السعودي.</w:t>
      </w:r>
    </w:p>
    <w:p>
      <w:pPr>
        <w:pStyle w:val="Compact"/>
        <w:numPr>
          <w:ilvl w:val="0"/>
          <w:numId w:val="1003"/>
        </w:numPr>
        <w:bidi/>
      </w:pPr>
      <w:r>
        <w:rPr>
          <w:rtl/>
        </w:rPr>
        <w:t xml:space="preserve">لا يمكن استرجاع النسخ المنشورة (نموذج الموافقة CF-9).</w:t>
      </w:r>
    </w:p>
    <w:bookmarkEnd w:id="14"/>
    <w:bookmarkStart w:id="15" w:name="cbs-7-المساهمون-المقيمون-خارج-المملكة"/>
    <w:p>
      <w:pPr>
        <w:pStyle w:val="Heading3"/>
        <w:bidi/>
      </w:pPr>
      <w:r>
        <w:rPr>
          <w:rtl/>
        </w:rPr>
        <w:t xml:space="preserve">CBS-7 المساهمون المقيمون خارج المملكة</w:t>
      </w:r>
    </w:p>
    <w:p>
      <w:pPr>
        <w:bidi/>
      </w:pPr>
      <w:r>
        <w:rPr>
          <w:rtl/>
        </w:rPr>
        <w:t xml:space="preserve">إذا كنت تقيم في بلد آخر، فقد تُنقل تسجيلاتك من ذلك البلد إلى المملكة (للتخزين) ثم إلى الوجهات المذكورة أعلاه، وقد يضع نظام بلدك شروطاً خاصة:</w:t>
      </w:r>
      <w:r>
        <w:rPr>
          <w:rtl/>
        </w:rPr>
        <w:t xml:space="preserve"> </w:t>
      </w:r>
      <w:r>
        <w:rPr>
          <w:rStyle w:val="VerbatimChar"/>
          <w:rtl/>
        </w:rPr>
        <w:t xml:space="preserve">{{NON_KSA_TRANSFER_ANNEX}}</w:t>
      </w:r>
      <w:r>
        <w:rPr>
          <w:rtl/>
        </w:rPr>
        <w:t xml:space="preserve">. وتقتصر بيانات لابز حاليًا على تسجيل المقيمين في المملكة، ولا تسجّل المقيمين في بلد آخر إلا بعد مراجعة نظامه.</w:t>
      </w:r>
    </w:p>
    <w:bookmarkEnd w:id="15"/>
    <w:bookmarkStart w:id="16" w:name="cbs-8-موافقتك"/>
    <w:p>
      <w:pPr>
        <w:pStyle w:val="Heading3"/>
        <w:bidi/>
      </w:pPr>
      <w:r>
        <w:rPr>
          <w:rtl/>
        </w:rPr>
        <w:t xml:space="preserve">CBS-8 موافقتك</w:t>
      </w:r>
    </w:p>
    <w:p>
      <w:pPr>
        <w:bidi/>
      </w:pPr>
      <w:r>
        <w:rPr>
          <w:rtl/>
        </w:rPr>
        <w:t xml:space="preserve">يشرح هذا البيان النقل الذي توافق عليه في الخانة CF-5.3 من نموذج الموافقة. وإن لم تحدد تلك الخانة، فلن تُنشر مساهماتك.</w:t>
      </w:r>
    </w:p>
    <w:p>
      <w:r>
        <w:pict>
          <v:rect style="width:0;height:1.5pt" o:hralign="center" o:hrstd="t" o:hr="t"/>
        </w:pict>
      </w:r>
    </w:p>
    <w:p>
      <w:pPr>
        <w:bidi/>
      </w:pPr>
      <w:r>
        <w:rPr>
          <w:i/>
          <w:iCs/>
          <w:rtl/>
        </w:rPr>
        <w:t xml:space="preserve">سجل التغييرات:</w:t>
      </w:r>
      <w:r>
        <w:rPr>
          <w:rtl/>
        </w:rPr>
        <w:t xml:space="preserve"> </w:t>
      </w:r>
      <w:r>
        <w:rPr>
          <w:rtl/>
        </w:rPr>
        <w:t xml:space="preserve">الإصدار 1.0 (15 أكتوبر 2026): الإصدار الأول. ويبيّن البند CBS-4 مسوغ النقل الذي اعتمدته بيانات لابز، واقتصرت بيانات الموقع على مستوى الدولة.</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بيان بيانات لابز للمساهمين بشأن نقل البيانات خارج المملكة (قالب، الإصدار 1.0)</dc:title>
  <dc:creator/>
  <dc:language>ar</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