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contributor agreement (template v1.0)</w:t>
      </w:r>
    </w:p>
    <w:p>
      <w:pPr>
        <w:pStyle w:val="BlockText"/>
      </w:pPr>
      <w:r>
        <w:rPr>
          <w:b/>
          <w:bCs/>
        </w:rPr>
        <w:t xml:space="preserve">Reviewed by counsel, October 2026. Adapt before use; not legal advice for your organisation.</w:t>
      </w:r>
    </w:p>
    <w:p>
      <w:pPr>
        <w:pStyle w:val="BlockText"/>
      </w:pPr>
      <w:r>
        <w:t xml:space="preserve">This agreement covers intellectual-property rights, tasks and payment. Personal data is covered by the Consent Form and Privacy Notice, which this agreement does not replace.</w:t>
      </w:r>
    </w:p>
    <w:p>
      <w:pPr>
        <w:pStyle w:val="BlockText"/>
      </w:pPr>
      <w:r>
        <w:t xml:space="preserve">Document ID:</w:t>
      </w:r>
      <w:r>
        <w:t xml:space="preserve"> </w:t>
      </w:r>
      <w:r>
        <w:rPr>
          <w:rStyle w:val="VerbatimChar"/>
        </w:rPr>
        <w:t xml:space="preserve">BL-CONTRIB</w:t>
      </w:r>
      <w:r>
        <w:t xml:space="preserve"> </w:t>
      </w:r>
      <w:r>
        <w:t xml:space="preserve">· Version:</w:t>
      </w:r>
      <w:r>
        <w:t xml:space="preserve"> </w:t>
      </w:r>
      <w:r>
        <w:rPr>
          <w:rStyle w:val="VerbatimChar"/>
        </w:rPr>
        <w:t xml:space="preserve">{{AGREEMENT_VERSION}}</w:t>
      </w:r>
      <w:r>
        <w:t xml:space="preserve"> </w:t>
      </w:r>
      <w:r>
        <w:t xml:space="preserve">· Variants:</w:t>
      </w:r>
      <w:r>
        <w:t xml:space="preserve"> </w:t>
      </w:r>
      <w:r>
        <w:rPr>
          <w:b/>
          <w:bCs/>
        </w:rPr>
        <w:t xml:space="preserve">Paid</w:t>
      </w:r>
      <w:r>
        <w:t xml:space="preserve"> </w:t>
      </w:r>
      <w:r>
        <w:t xml:space="preserve">(for example Talent Network contributors) and</w:t>
      </w:r>
      <w:r>
        <w:t xml:space="preserve"> </w:t>
      </w:r>
      <w:r>
        <w:rPr>
          <w:b/>
          <w:bCs/>
        </w:rPr>
        <w:t xml:space="preserve">Volunteer</w:t>
      </w:r>
      <w:r>
        <w:t xml:space="preserve"> </w:t>
      </w:r>
      <w:r>
        <w:t xml:space="preserve">(no payment). Clauses that apply to only one variant say so.</w:t>
      </w:r>
    </w:p>
    <w:p>
      <w:r>
        <w:pict>
          <v:rect style="width:0;height:1.5pt" o:hralign="center" o:hrstd="t" o:hr="t"/>
        </w:pict>
      </w:r>
    </w:p>
    <w:bookmarkStart w:id="9" w:name="ca-1-parties-and-purpose"/>
    <w:p>
      <w:pPr>
        <w:pStyle w:val="Heading3"/>
      </w:pPr>
      <w:r>
        <w:t xml:space="preserve">CA-1 Parties and purpose</w:t>
      </w:r>
    </w:p>
    <w:p>
      <w:pPr>
        <w:pStyle w:val="FirstParagraph"/>
      </w:pPr>
      <w:r>
        <w:t xml:space="preserve">This agreement is between</w:t>
      </w:r>
      <w:r>
        <w:t xml:space="preserve"> </w:t>
      </w:r>
      <w:r>
        <w:rPr>
          <w:rStyle w:val="VerbatimChar"/>
        </w:rPr>
        <w:t xml:space="preserve">{{LEGAL_ENTITY_NAME_EN}}</w:t>
      </w:r>
      <w:r>
        <w:t xml:space="preserve">, Commercial Registration</w:t>
      </w:r>
      <w:r>
        <w:t xml:space="preserve"> </w:t>
      </w:r>
      <w:r>
        <w:rPr>
          <w:rStyle w:val="VerbatimChar"/>
        </w:rPr>
        <w:t xml:space="preserve">{{CR_NUMBER}}</w:t>
      </w:r>
      <w:r>
        <w:t xml:space="preserve">, of</w:t>
      </w:r>
      <w:r>
        <w:t xml:space="preserve"> </w:t>
      </w:r>
      <w:r>
        <w:rPr>
          <w:rStyle w:val="VerbatimChar"/>
        </w:rPr>
        <w:t xml:space="preserve">{{REGISTERED_ADDRESS}}</w:t>
      </w:r>
      <w:r>
        <w:t xml:space="preserve"> </w:t>
      </w:r>
      <w:r>
        <w:t xml:space="preserve">(</w:t>
      </w:r>
      <w:r>
        <w:t xml:space="preserve">“Bayanat Labs”</w:t>
      </w:r>
      <w:r>
        <w:t xml:space="preserve">), and the person who signs it (the</w:t>
      </w:r>
      <w:r>
        <w:t xml:space="preserve"> </w:t>
      </w:r>
      <w:r>
        <w:t xml:space="preserve">“Contributor”</w:t>
      </w:r>
      <w:r>
        <w:t xml:space="preserve">). The Contributor’s identity is kept only in Bayanat Labs’ private contributor registry.</w:t>
      </w:r>
    </w:p>
    <w:p>
      <w:pPr>
        <w:pStyle w:val="BodyText"/>
      </w:pPr>
      <w:r>
        <w:t xml:space="preserve">Its purpose is to let Bayanat Labs build and publish open Arabic datasets (the</w:t>
      </w:r>
      <w:r>
        <w:t xml:space="preserve"> </w:t>
      </w:r>
      <w:r>
        <w:t xml:space="preserve">“Programme”</w:t>
      </w:r>
      <w:r>
        <w:t xml:space="preserve"> </w:t>
      </w:r>
      <w:r>
        <w:t xml:space="preserve">named in Schedule 1) from contributions the Contributor makes.</w:t>
      </w:r>
    </w:p>
    <w:bookmarkEnd w:id="9"/>
    <w:bookmarkStart w:id="10" w:name="ca-2-definitions"/>
    <w:p>
      <w:pPr>
        <w:pStyle w:val="Heading3"/>
      </w:pPr>
      <w:r>
        <w:t xml:space="preserve">CA-2 Definitions</w:t>
      </w:r>
    </w:p>
    <w:p>
      <w:pPr>
        <w:pStyle w:val="Compact"/>
        <w:numPr>
          <w:ilvl w:val="0"/>
          <w:numId w:val="1001"/>
        </w:numPr>
      </w:pPr>
      <w:r>
        <w:rPr>
          <w:b/>
          <w:bCs/>
        </w:rPr>
        <w:t xml:space="preserve">Contribution</w:t>
      </w:r>
      <w:r>
        <w:t xml:space="preserve">: anything the Contributor creates or performs for the Programme: recordings of their voice (</w:t>
      </w:r>
      <w:r>
        <w:t xml:space="preserve">“Recordings”</w:t>
      </w:r>
      <w:r>
        <w:t xml:space="preserve">), texts they write or rewrite (</w:t>
      </w:r>
      <w:r>
        <w:t xml:space="preserve">“Writings”</w:t>
      </w:r>
      <w:r>
        <w:t xml:space="preserve">), transcripts (</w:t>
      </w:r>
      <w:r>
        <w:t xml:space="preserve">“Transcripts”</w:t>
      </w:r>
      <w:r>
        <w:t xml:space="preserve">), labels, votes, ratings and corrections (</w:t>
      </w:r>
      <w:r>
        <w:t xml:space="preserve">“Annotations”</w:t>
      </w:r>
      <w:r>
        <w:t xml:space="preserve">), sentences written for others to read (</w:t>
      </w:r>
      <w:r>
        <w:t xml:space="preserve">“Prompts”</w:t>
      </w:r>
      <w:r>
        <w:t xml:space="preserve">), and handwriting images.</w:t>
      </w:r>
    </w:p>
    <w:p>
      <w:pPr>
        <w:pStyle w:val="Compact"/>
        <w:numPr>
          <w:ilvl w:val="0"/>
          <w:numId w:val="1001"/>
        </w:numPr>
      </w:pPr>
      <w:r>
        <w:rPr>
          <w:b/>
          <w:bCs/>
        </w:rPr>
        <w:t xml:space="preserve">Release</w:t>
      </w:r>
      <w:r>
        <w:t xml:space="preserve">: a public, versioned dataset published by Bayanat Labs.</w:t>
      </w:r>
    </w:p>
    <w:p>
      <w:pPr>
        <w:pStyle w:val="Compact"/>
        <w:numPr>
          <w:ilvl w:val="0"/>
          <w:numId w:val="1001"/>
        </w:numPr>
      </w:pPr>
      <w:r>
        <w:rPr>
          <w:b/>
          <w:bCs/>
        </w:rPr>
        <w:t xml:space="preserve">Open Licence</w:t>
      </w:r>
      <w:r>
        <w:t xml:space="preserve">: the licence named in Schedule 1, either the Creative Commons CC0 1.0 Universal public domain dedication (</w:t>
      </w:r>
      <w:r>
        <w:t xml:space="preserve">“CC0”</w:t>
      </w:r>
      <w:r>
        <w:t xml:space="preserve">) or the Creative Commons Attribution 4.0 International licence (</w:t>
      </w:r>
      <w:r>
        <w:t xml:space="preserve">“CC BY 4.0”</w:t>
      </w:r>
      <w:r>
        <w:t xml:space="preserve">).</w:t>
      </w:r>
    </w:p>
    <w:p>
      <w:pPr>
        <w:pStyle w:val="Compact"/>
        <w:numPr>
          <w:ilvl w:val="0"/>
          <w:numId w:val="1001"/>
        </w:numPr>
      </w:pPr>
      <w:r>
        <w:rPr>
          <w:b/>
          <w:bCs/>
        </w:rPr>
        <w:t xml:space="preserve">Consent Form, Privacy Notice, Cross-Border Statement, Synthesis Release</w:t>
      </w:r>
      <w:r>
        <w:t xml:space="preserve">: the documents of those names in this pack, in the version the Contributor signed.</w:t>
      </w:r>
    </w:p>
    <w:bookmarkEnd w:id="10"/>
    <w:bookmarkStart w:id="11" w:name="X3fa6156d09ffc0017ddd25fc1ca4583b39afbe0"/>
    <w:p>
      <w:pPr>
        <w:pStyle w:val="Heading3"/>
      </w:pPr>
      <w:r>
        <w:t xml:space="preserve">CA-3 How this agreement relates to the consent documents</w:t>
      </w:r>
    </w:p>
    <w:p>
      <w:pPr>
        <w:pStyle w:val="Compact"/>
        <w:numPr>
          <w:ilvl w:val="0"/>
          <w:numId w:val="1002"/>
        </w:numPr>
      </w:pPr>
      <w:r>
        <w:t xml:space="preserve">The Consent Form governs whether and how Bayanat Labs processes the Contributor’s personal data. This agreement governs copyright, performers’ rights, tasks and payment.</w:t>
      </w:r>
    </w:p>
    <w:p>
      <w:pPr>
        <w:pStyle w:val="Compact"/>
        <w:numPr>
          <w:ilvl w:val="0"/>
          <w:numId w:val="1002"/>
        </w:numPr>
      </w:pPr>
      <w:r>
        <w:t xml:space="preserve">Bayanat Labs will not publish any Contribution unless the Contributor has ticked the publication and transfer boxes (CF-5.2, CF-5.3) in the Consent Form.</w:t>
      </w:r>
    </w:p>
    <w:p>
      <w:pPr>
        <w:pStyle w:val="Compact"/>
        <w:numPr>
          <w:ilvl w:val="0"/>
          <w:numId w:val="1002"/>
        </w:numPr>
      </w:pPr>
      <w:r>
        <w:t xml:space="preserve">If this agreement and the Consent Form conflict on a personal-data matter, the Consent Form and the law prevail.</w:t>
      </w:r>
    </w:p>
    <w:bookmarkEnd w:id="11"/>
    <w:bookmarkStart w:id="12" w:name="X10937b94b189842305beee487dc6e17c12fb538"/>
    <w:p>
      <w:pPr>
        <w:pStyle w:val="Heading3"/>
      </w:pPr>
      <w:r>
        <w:t xml:space="preserve">CA-4 Open-licence grant (choose one option per Programme)</w:t>
      </w:r>
    </w:p>
    <w:p>
      <w:pPr>
        <w:pStyle w:val="FirstParagraph"/>
      </w:pPr>
      <w:r>
        <w:t xml:space="preserve">Bayanat Labs sets one option for the whole Programme in Schedule 1 so that a Release never mixes licences within one configuration.</w:t>
      </w:r>
    </w:p>
    <w:p>
      <w:pPr>
        <w:pStyle w:val="BodyText"/>
      </w:pPr>
      <w:r>
        <w:rPr>
          <w:b/>
          <w:bCs/>
        </w:rPr>
        <w:t xml:space="preserve">Option A: CC0 1.0.</w:t>
      </w:r>
      <w:r>
        <w:t xml:space="preserve"> </w:t>
      </w:r>
      <w:r>
        <w:t xml:space="preserve">For each Contribution that Bayanat Labs selects for a Release, the Contributor dedicates their copyright and related rights in that Contribution to the public domain under CC0 1.0, to the fullest extent the law allows. CC0 1.0 describes its waiver as made</w:t>
      </w:r>
      <w:r>
        <w:t xml:space="preserve"> </w:t>
      </w:r>
      <w:r>
        <w:t xml:space="preserve">“overtly, fully, permanently, irrevocably and unconditionally”</w:t>
      </w:r>
      <w:r>
        <w:t xml:space="preserve"> </w:t>
      </w:r>
      <w:r>
        <w:t xml:space="preserve">and includes a fallback licence where a waiver is not legally effective.</w:t>
      </w:r>
    </w:p>
    <w:p>
      <w:pPr>
        <w:pStyle w:val="BodyText"/>
      </w:pPr>
      <w:r>
        <w:rPr>
          <w:b/>
          <w:bCs/>
        </w:rPr>
        <w:t xml:space="preserve">Option B: CC BY 4.0.</w:t>
      </w:r>
      <w:r>
        <w:t xml:space="preserve"> </w:t>
      </w:r>
      <w:r>
        <w:t xml:space="preserve">For each such Contribution, the Contributor licenses it to the public under CC BY 4.0. CC BY 4.0 grants</w:t>
      </w:r>
      <w:r>
        <w:t xml:space="preserve"> </w:t>
      </w:r>
      <w:r>
        <w:t xml:space="preserve">“a worldwide, royalty-free, non-sublicensable, non-exclusive, irrevocable license”</w:t>
      </w:r>
      <w:r>
        <w:t xml:space="preserve">. Attribution is given as</w:t>
      </w:r>
      <w:r>
        <w:t xml:space="preserve"> </w:t>
      </w:r>
      <w:r>
        <w:t xml:space="preserve">“Bayanat Labs and the {{PROGRAMME_NAME}} contributors”</w:t>
      </w:r>
      <w:r>
        <w:t xml:space="preserve">. The Contributor agrees not to be named individually unless they chose credit by name (CF-5.7), and then only in the acknowledgements list.</w:t>
      </w:r>
    </w:p>
    <w:p>
      <w:pPr>
        <w:pStyle w:val="BodyText"/>
      </w:pPr>
      <w:r>
        <w:rPr>
          <w:b/>
          <w:bCs/>
        </w:rPr>
        <w:t xml:space="preserve">Timing.</w:t>
      </w:r>
      <w:r>
        <w:t xml:space="preserve"> </w:t>
      </w:r>
      <w:r>
        <w:t xml:space="preserve">The dedication or licence takes effect for a Contribution when Bayanat Labs first publishes it in a Release. Before that, only CA-5 applies.</w:t>
      </w:r>
    </w:p>
    <w:bookmarkEnd w:id="12"/>
    <w:bookmarkStart w:id="13" w:name="Xdfc78a334bf540c29193bc708e735cb27945453"/>
    <w:p>
      <w:pPr>
        <w:pStyle w:val="Heading3"/>
      </w:pPr>
      <w:r>
        <w:t xml:space="preserve">CA-5 Licence to Bayanat Labs for preparation and private use</w:t>
      </w:r>
    </w:p>
    <w:p>
      <w:pPr>
        <w:pStyle w:val="FirstParagraph"/>
      </w:pPr>
      <w:r>
        <w:t xml:space="preserve">The Contributor grants Bayanat Labs a non-exclusive, worldwide, royalty-free, perpetual licence to copy, store, edit, cut into segments, normalise, transcribe, annotate, combine, evaluate and publish the Contributions, and to sublicense them under the Open Licence. This licence also covers private uses that never become public, such as held-back blind test sets. The licence ends for any Contribution that Bayanat Labs has not yet published if the Contributor withdraws (CA-13).</w:t>
      </w:r>
    </w:p>
    <w:bookmarkEnd w:id="13"/>
    <w:bookmarkStart w:id="14" w:name="ca-6-performers-rights-in-recordings"/>
    <w:p>
      <w:pPr>
        <w:pStyle w:val="Heading3"/>
      </w:pPr>
      <w:r>
        <w:t xml:space="preserve">CA-6 Performers’ rights in Recordings</w:t>
      </w:r>
    </w:p>
    <w:p>
      <w:pPr>
        <w:pStyle w:val="Compact"/>
        <w:numPr>
          <w:ilvl w:val="0"/>
          <w:numId w:val="1003"/>
        </w:numPr>
      </w:pPr>
      <w:r>
        <w:t xml:space="preserve">The Contributor consents to the recording (fixation) of their performance of Prompts and spontaneous speech, and to its reproduction and communication to the public in Releases.</w:t>
      </w:r>
    </w:p>
    <w:p>
      <w:pPr>
        <w:pStyle w:val="Compact"/>
        <w:numPr>
          <w:ilvl w:val="0"/>
          <w:numId w:val="1003"/>
        </w:numPr>
      </w:pPr>
      <w:r>
        <w:t xml:space="preserve">To the extent the Contributor holds performers’ or neighbouring rights in a Recording under any applicable law, the Contributor grants or waives them on the same terms as the Open Licence (CA-4) and the licence in CA-5.</w:t>
      </w:r>
    </w:p>
    <w:p>
      <w:pPr>
        <w:pStyle w:val="Compact"/>
        <w:numPr>
          <w:ilvl w:val="0"/>
          <w:numId w:val="1003"/>
        </w:numPr>
      </w:pPr>
      <w:r>
        <w:t xml:space="preserve">This clause does not cover speech synthesis or voice likeness. Those need the separate Synthesis Release.</w:t>
      </w:r>
    </w:p>
    <w:bookmarkEnd w:id="14"/>
    <w:bookmarkStart w:id="15" w:name="X46ab7db7b939e2f3fe917fbb2b0b49837a96cfe"/>
    <w:p>
      <w:pPr>
        <w:pStyle w:val="Heading3"/>
      </w:pPr>
      <w:r>
        <w:t xml:space="preserve">CA-7 Moral rights, attribution and personality rights</w:t>
      </w:r>
    </w:p>
    <w:p>
      <w:pPr>
        <w:pStyle w:val="Compact"/>
        <w:numPr>
          <w:ilvl w:val="0"/>
          <w:numId w:val="1004"/>
        </w:numPr>
      </w:pPr>
      <w:r>
        <w:t xml:space="preserve">The Contributor agrees that Releases name contributors only by pseudonymous ID (or in an acknowledgements list under CF-5.7), and that Bayanat Labs may cut, normalise, transcribe and annotate Contributions.</w:t>
      </w:r>
    </w:p>
    <w:p>
      <w:pPr>
        <w:pStyle w:val="Compact"/>
        <w:numPr>
          <w:ilvl w:val="0"/>
          <w:numId w:val="1004"/>
        </w:numPr>
      </w:pPr>
      <w:r>
        <w:t xml:space="preserve">To the extent the law allows, the Contributor agrees not to assert moral rights (including any right of integrity) against those ordinary dataset operations, or against reuse permitted by the Open Licence.</w:t>
      </w:r>
    </w:p>
    <w:p>
      <w:pPr>
        <w:pStyle w:val="Compact"/>
        <w:numPr>
          <w:ilvl w:val="0"/>
          <w:numId w:val="1004"/>
        </w:numPr>
      </w:pPr>
      <w:r>
        <w:t xml:space="preserve">CC BY 4.0 states:</w:t>
      </w:r>
      <w:r>
        <w:t xml:space="preserve"> </w:t>
      </w:r>
      <w:r>
        <w:t xml:space="preserve">“Moral rights, such as the right of integrity, are not licensed under this Public License, nor are publicity, privacy, and/or other similar personality rights”</w:t>
      </w:r>
      <w:r>
        <w:t xml:space="preserve">. Voice likeness is therefore handled only in the Synthesis Release.</w:t>
      </w:r>
    </w:p>
    <w:bookmarkEnd w:id="15"/>
    <w:bookmarkStart w:id="16" w:name="X54c6fc608472d9339f677f61c1acb6641708a12"/>
    <w:p>
      <w:pPr>
        <w:pStyle w:val="Heading3"/>
      </w:pPr>
      <w:r>
        <w:t xml:space="preserve">CA-8 Writings, Transcripts, Prompts and Annotations</w:t>
      </w:r>
    </w:p>
    <w:p>
      <w:pPr>
        <w:pStyle w:val="FirstParagraph"/>
      </w:pPr>
      <w:r>
        <w:t xml:space="preserve">These are commissioned work products. Bayanat Labs needs clear title so it can release them as Bayanat Labs data.</w:t>
      </w:r>
    </w:p>
    <w:p>
      <w:pPr>
        <w:pStyle w:val="BodyText"/>
      </w:pPr>
      <w:r>
        <w:rPr>
          <w:b/>
          <w:bCs/>
        </w:rPr>
        <w:t xml:space="preserve">Option 1 (assignment, default for paid work).</w:t>
      </w:r>
      <w:r>
        <w:t xml:space="preserve"> </w:t>
      </w:r>
      <w:r>
        <w:t xml:space="preserve">The Contributor assigns to Bayanat Labs all copyright in Writings, Transcripts, Prompts and Annotations made for the Programme, from the moment they are created. Bayanat Labs then releases them under CC BY 4.0 (or under CC0 for Prompts in a CC0 prompt bank).</w:t>
      </w:r>
      <w:r>
        <w:t xml:space="preserve"> </w:t>
      </w:r>
      <w:r>
        <w:rPr>
          <w:b/>
          <w:bCs/>
        </w:rPr>
        <w:t xml:space="preserve">Option 2 (licence, default for volunteers).</w:t>
      </w:r>
      <w:r>
        <w:t xml:space="preserve"> </w:t>
      </w:r>
      <w:r>
        <w:t xml:space="preserve">The Contributor licenses them to Bayanat Labs on the terms of CA-5, and to the public under the Open Licence.</w:t>
      </w:r>
    </w:p>
    <w:p>
      <w:pPr>
        <w:pStyle w:val="BodyText"/>
      </w:pPr>
      <w:r>
        <w:t xml:space="preserve">Either way:</w:t>
      </w:r>
      <w:r>
        <w:t xml:space="preserve"> </w:t>
      </w:r>
      <w:r>
        <w:t xml:space="preserve">1. The Contributor keeps no right to stop Bayanat Labs or the public from using Releases that contain these work products.</w:t>
      </w:r>
      <w:r>
        <w:t xml:space="preserve"> </w:t>
      </w:r>
      <w:r>
        <w:t xml:space="preserve">2. Bayanat Labs may publish Annotations without naming the annotator. Annotator IDs in Releases are pseudonymous.</w:t>
      </w:r>
      <w:r>
        <w:t xml:space="preserve"> </w:t>
      </w:r>
      <w:r>
        <w:t xml:space="preserve">3. Prompts written for blind test sets stay confidential (CA-14).</w:t>
      </w:r>
    </w:p>
    <w:bookmarkEnd w:id="16"/>
    <w:bookmarkStart w:id="17" w:name="ca-9-originality-and-honesty-attestation"/>
    <w:p>
      <w:pPr>
        <w:pStyle w:val="Heading3"/>
      </w:pPr>
      <w:r>
        <w:t xml:space="preserve">CA-9 Originality and honesty attestation</w:t>
      </w:r>
    </w:p>
    <w:p>
      <w:pPr>
        <w:pStyle w:val="FirstParagraph"/>
      </w:pPr>
      <w:r>
        <w:t xml:space="preserve">The Contributor confirms, for every Contribution:</w:t>
      </w:r>
    </w:p>
    <w:p>
      <w:pPr>
        <w:pStyle w:val="Compact"/>
        <w:numPr>
          <w:ilvl w:val="0"/>
          <w:numId w:val="1005"/>
        </w:numPr>
      </w:pPr>
      <w:r>
        <w:rPr>
          <w:b/>
          <w:bCs/>
        </w:rPr>
        <w:t xml:space="preserve">Own work.</w:t>
      </w:r>
      <w:r>
        <w:t xml:space="preserve"> </w:t>
      </w:r>
      <w:r>
        <w:t xml:space="preserve">Writings, Prompts and Transcripts are the Contributor’s own words. They are not copied from books, websites, songs, poems, online posts, chat messages or any other source, except the task material Bayanat Labs supplies.</w:t>
      </w:r>
    </w:p>
    <w:p>
      <w:pPr>
        <w:pStyle w:val="Compact"/>
        <w:numPr>
          <w:ilvl w:val="0"/>
          <w:numId w:val="1005"/>
        </w:numPr>
      </w:pPr>
      <w:r>
        <w:rPr>
          <w:b/>
          <w:bCs/>
        </w:rPr>
        <w:t xml:space="preserve">No AI unless asked.</w:t>
      </w:r>
      <w:r>
        <w:t xml:space="preserve"> </w:t>
      </w:r>
      <w:r>
        <w:t xml:space="preserve">The Contributor did not use an AI system or translation tool to produce the Contribution, unless the task instructions allow it. If allowed, the Contributor says so in the task field provided.</w:t>
      </w:r>
    </w:p>
    <w:p>
      <w:pPr>
        <w:pStyle w:val="Compact"/>
        <w:numPr>
          <w:ilvl w:val="0"/>
          <w:numId w:val="1005"/>
        </w:numPr>
      </w:pPr>
      <w:r>
        <w:rPr>
          <w:b/>
          <w:bCs/>
        </w:rPr>
        <w:t xml:space="preserve">Own voice and own hand.</w:t>
      </w:r>
      <w:r>
        <w:t xml:space="preserve"> </w:t>
      </w:r>
      <w:r>
        <w:t xml:space="preserve">Recordings are the Contributor’s own live voice, not a synthetic voice, a voice changer, a replay or someone else’s voice. Handwriting is the Contributor’s own.</w:t>
      </w:r>
    </w:p>
    <w:p>
      <w:pPr>
        <w:pStyle w:val="Compact"/>
        <w:numPr>
          <w:ilvl w:val="0"/>
          <w:numId w:val="1005"/>
        </w:numPr>
      </w:pPr>
      <w:r>
        <w:rPr>
          <w:b/>
          <w:bCs/>
        </w:rPr>
        <w:t xml:space="preserve">No third-party personal data.</w:t>
      </w:r>
      <w:r>
        <w:t xml:space="preserve"> </w:t>
      </w:r>
      <w:r>
        <w:t xml:space="preserve">The Contribution contains no real person’s name, contact details, ID numbers or account numbers, and no confidential information.</w:t>
      </w:r>
    </w:p>
    <w:p>
      <w:pPr>
        <w:pStyle w:val="Compact"/>
        <w:numPr>
          <w:ilvl w:val="0"/>
          <w:numId w:val="1005"/>
        </w:numPr>
      </w:pPr>
      <w:r>
        <w:rPr>
          <w:b/>
          <w:bCs/>
        </w:rPr>
        <w:t xml:space="preserve">One account.</w:t>
      </w:r>
      <w:r>
        <w:t xml:space="preserve"> </w:t>
      </w:r>
      <w:r>
        <w:t xml:space="preserve">The Contributor uses only one account and does not submit on behalf of anyone else.</w:t>
      </w:r>
    </w:p>
    <w:p>
      <w:pPr>
        <w:pStyle w:val="FirstParagraph"/>
      </w:pPr>
      <w:r>
        <w:t xml:space="preserve">If any of these is untrue, Bayanat Labs may remove the Contributions and, for paid work, withhold payment for the affected items (CA-16).</w:t>
      </w:r>
    </w:p>
    <w:bookmarkEnd w:id="17"/>
    <w:bookmarkStart w:id="18" w:name="ca-10-content-rules"/>
    <w:p>
      <w:pPr>
        <w:pStyle w:val="Heading3"/>
      </w:pPr>
      <w:r>
        <w:t xml:space="preserve">CA-10 Content rules</w:t>
      </w:r>
    </w:p>
    <w:p>
      <w:pPr>
        <w:pStyle w:val="Compact"/>
        <w:numPr>
          <w:ilvl w:val="0"/>
          <w:numId w:val="1006"/>
        </w:numPr>
      </w:pPr>
      <w:r>
        <w:t xml:space="preserve">No real people’s details. Role-plays use only fictional names, companies and numbers.</w:t>
      </w:r>
    </w:p>
    <w:p>
      <w:pPr>
        <w:pStyle w:val="Compact"/>
        <w:numPr>
          <w:ilvl w:val="0"/>
          <w:numId w:val="1006"/>
        </w:numPr>
      </w:pPr>
      <w:r>
        <w:t xml:space="preserve">No insults about real people, groups or brands; no religious rulings; no political statements, unless the task explicitly asks for scripted content of that type (see 3).</w:t>
      </w:r>
    </w:p>
    <w:p>
      <w:pPr>
        <w:pStyle w:val="Compact"/>
        <w:numPr>
          <w:ilvl w:val="0"/>
          <w:numId w:val="1006"/>
        </w:numPr>
      </w:pPr>
      <w:r>
        <w:rPr>
          <w:b/>
          <w:bCs/>
        </w:rPr>
        <w:t xml:space="preserve">Scripted sensitive content</w:t>
      </w:r>
      <w:r>
        <w:t xml:space="preserve"> </w:t>
      </w:r>
      <w:r>
        <w:t xml:space="preserve">(for example, reading or writing offensive or unsafe sentences for a safety or moderation dataset) is done only under a separate task annex that explains the content in advance, lets the Contributor skip any item, and offers support.</w:t>
      </w:r>
      <w:r>
        <w:t xml:space="preserve"> </w:t>
      </w:r>
      <w:r>
        <w:rPr>
          <w:rStyle w:val="VerbatimChar"/>
        </w:rPr>
        <w:t xml:space="preserve">{{SENSITIVE_CONTENT_ANNEX}}</w:t>
      </w:r>
      <w:r>
        <w:t xml:space="preserve">.</w:t>
      </w:r>
    </w:p>
    <w:bookmarkEnd w:id="18"/>
    <w:bookmarkStart w:id="19" w:name="ca-11-payment-paid-variant-only"/>
    <w:p>
      <w:pPr>
        <w:pStyle w:val="Heading3"/>
      </w:pPr>
      <w:r>
        <w:t xml:space="preserve">CA-11 Payment (Paid variant only)</w:t>
      </w:r>
    </w:p>
    <w:p>
      <w:pPr>
        <w:pStyle w:val="Compact"/>
        <w:numPr>
          <w:ilvl w:val="0"/>
          <w:numId w:val="1007"/>
        </w:numPr>
      </w:pPr>
      <w:r>
        <w:t xml:space="preserve">Bayanat Labs pays the rates in the pay table</w:t>
      </w:r>
      <w:r>
        <w:t xml:space="preserve"> </w:t>
      </w:r>
      <w:r>
        <w:rPr>
          <w:rStyle w:val="VerbatimChar"/>
        </w:rPr>
        <w:t xml:space="preserve">{{PAY_TABLE_REF}}</w:t>
      </w:r>
      <w:r>
        <w:t xml:space="preserve"> </w:t>
      </w:r>
      <w:r>
        <w:t xml:space="preserve">for accepted work. For recordings, payment is per validated minute after validation. For other tasks, payment is per accepted item.</w:t>
      </w:r>
    </w:p>
    <w:p>
      <w:pPr>
        <w:pStyle w:val="Compact"/>
        <w:numPr>
          <w:ilvl w:val="0"/>
          <w:numId w:val="1007"/>
        </w:numPr>
      </w:pPr>
      <w:r>
        <w:t xml:space="preserve">Payment is consideration both for the tasks and for the rights granted in CA-4 to CA-8.</w:t>
      </w:r>
    </w:p>
    <w:p>
      <w:pPr>
        <w:pStyle w:val="Compact"/>
        <w:numPr>
          <w:ilvl w:val="0"/>
          <w:numId w:val="1007"/>
        </w:numPr>
      </w:pPr>
      <w:r>
        <w:t xml:space="preserve">Payment never depends on the Contributor ticking optional boxes in the Consent Form or signing the Synthesis Release.</w:t>
      </w:r>
    </w:p>
    <w:p>
      <w:pPr>
        <w:pStyle w:val="Compact"/>
        <w:numPr>
          <w:ilvl w:val="0"/>
          <w:numId w:val="1007"/>
        </w:numPr>
      </w:pPr>
      <w:r>
        <w:t xml:space="preserve">Payments are made through</w:t>
      </w:r>
      <w:r>
        <w:t xml:space="preserve"> </w:t>
      </w:r>
      <w:r>
        <w:rPr>
          <w:rStyle w:val="VerbatimChar"/>
        </w:rPr>
        <w:t xml:space="preserve">{{PAYMENT_PROVIDER}}</w:t>
      </w:r>
      <w:r>
        <w:t xml:space="preserve"> </w:t>
      </w:r>
      <w:r>
        <w:t xml:space="preserve">in</w:t>
      </w:r>
      <w:r>
        <w:t xml:space="preserve"> </w:t>
      </w:r>
      <w:r>
        <w:rPr>
          <w:rStyle w:val="VerbatimChar"/>
        </w:rPr>
        <w:t xml:space="preserve">{{CURRENCY}}</w:t>
      </w:r>
      <w:r>
        <w:t xml:space="preserve"> </w:t>
      </w:r>
      <w:r>
        <w:t xml:space="preserve">within</w:t>
      </w:r>
      <w:r>
        <w:t xml:space="preserve"> </w:t>
      </w:r>
      <w:r>
        <w:rPr>
          <w:rStyle w:val="VerbatimChar"/>
        </w:rPr>
        <w:t xml:space="preserve">{{PAYMENT_TERMS_DAYS}}</w:t>
      </w:r>
      <w:r>
        <w:t xml:space="preserve"> </w:t>
      </w:r>
      <w:r>
        <w:t xml:space="preserve">days of acceptance. Bayanat Labs keeps payment records as Schedule 1 and the Privacy Notice describe.</w:t>
      </w:r>
    </w:p>
    <w:p>
      <w:pPr>
        <w:pStyle w:val="Compact"/>
        <w:numPr>
          <w:ilvl w:val="0"/>
          <w:numId w:val="1007"/>
        </w:numPr>
      </w:pPr>
      <w:r>
        <w:t xml:space="preserve">Taxes:</w:t>
      </w:r>
      <w:r>
        <w:t xml:space="preserve"> </w:t>
      </w:r>
      <w:r>
        <w:rPr>
          <w:rStyle w:val="VerbatimChar"/>
        </w:rPr>
        <w:t xml:space="preserve">{{TAX_TREATMENT}}</w:t>
      </w:r>
      <w:r>
        <w:t xml:space="preserve"> </w:t>
      </w:r>
      <w:r>
        <w:t xml:space="preserve">(withholding tax on payments to non-residents, VAT and any reporting duty).</w:t>
      </w:r>
    </w:p>
    <w:p>
      <w:pPr>
        <w:pStyle w:val="Compact"/>
        <w:numPr>
          <w:ilvl w:val="0"/>
          <w:numId w:val="1007"/>
        </w:numPr>
      </w:pPr>
      <w:r>
        <w:t xml:space="preserve">Payments already made are not reclaimed if the Contributor later withdraws consent.</w:t>
      </w:r>
    </w:p>
    <w:p>
      <w:pPr>
        <w:pStyle w:val="FirstParagraph"/>
      </w:pPr>
      <w:r>
        <w:rPr>
          <w:b/>
          <w:bCs/>
        </w:rPr>
        <w:t xml:space="preserve">Volunteer variant.</w:t>
      </w:r>
      <w:r>
        <w:t xml:space="preserve"> </w:t>
      </w:r>
      <w:r>
        <w:t xml:space="preserve">The Contributor receives no payment. Bayanat Labs may offer non-cash recognition (for example, a badge) only if the Contributor opted in to credit (CF-5.7).</w:t>
      </w:r>
    </w:p>
    <w:bookmarkEnd w:id="19"/>
    <w:bookmarkStart w:id="20" w:name="ca-12-independent-status-paid-variant"/>
    <w:p>
      <w:pPr>
        <w:pStyle w:val="Heading3"/>
      </w:pPr>
      <w:r>
        <w:t xml:space="preserve">CA-12 Independent status (Paid variant)</w:t>
      </w:r>
    </w:p>
    <w:p>
      <w:pPr>
        <w:pStyle w:val="FirstParagraph"/>
      </w:pPr>
      <w:r>
        <w:t xml:space="preserve">The Contributor works as an independent contractor, not as an employee, and may accept or decline tasks.</w:t>
      </w:r>
      <w:r>
        <w:t xml:space="preserve"> </w:t>
      </w:r>
      <w:r>
        <w:rPr>
          <w:rStyle w:val="VerbatimChar"/>
        </w:rPr>
        <w:t xml:space="preserve">{{CONTRACTOR_STATUS_TEXT}}</w:t>
      </w:r>
      <w:r>
        <w:t xml:space="preserve">.</w:t>
      </w:r>
    </w:p>
    <w:bookmarkEnd w:id="20"/>
    <w:bookmarkStart w:id="21" w:name="ca-13-withdrawal-and-the-licence"/>
    <w:p>
      <w:pPr>
        <w:pStyle w:val="Heading3"/>
      </w:pPr>
      <w:r>
        <w:t xml:space="preserve">CA-13 Withdrawal and the licence</w:t>
      </w:r>
    </w:p>
    <w:p>
      <w:pPr>
        <w:pStyle w:val="Compact"/>
        <w:numPr>
          <w:ilvl w:val="0"/>
          <w:numId w:val="1008"/>
        </w:numPr>
      </w:pPr>
      <w:r>
        <w:t xml:space="preserve">Before Bayanat Labs publishes a Contribution, the Contributor may withdraw it. Bayanat Labs then stops using it and deletes it as the Consent Form (CF-9) describes.</w:t>
      </w:r>
    </w:p>
    <w:p>
      <w:pPr>
        <w:pStyle w:val="Compact"/>
        <w:numPr>
          <w:ilvl w:val="0"/>
          <w:numId w:val="1008"/>
        </w:numPr>
      </w:pPr>
      <w:r>
        <w:t xml:space="preserve">After publication, the Open Licence already granted to the public cannot be revoked. As a matter of policy, Bayanat Labs leaves the Contributor’s Contributions out of future Releases within</w:t>
      </w:r>
      <w:r>
        <w:t xml:space="preserve"> </w:t>
      </w:r>
      <w:r>
        <w:rPr>
          <w:rStyle w:val="VerbatimChar"/>
        </w:rPr>
        <w:t xml:space="preserve">{{WITHDRAWAL_SLA_DAYS}}</w:t>
      </w:r>
      <w:r>
        <w:t xml:space="preserve"> </w:t>
      </w:r>
      <w:r>
        <w:t xml:space="preserve">days of the request.</w:t>
      </w:r>
    </w:p>
    <w:p>
      <w:pPr>
        <w:pStyle w:val="Compact"/>
        <w:numPr>
          <w:ilvl w:val="0"/>
          <w:numId w:val="1008"/>
        </w:numPr>
      </w:pPr>
      <w:r>
        <w:t xml:space="preserve">Withdrawal does not affect payment already made.</w:t>
      </w:r>
    </w:p>
    <w:bookmarkEnd w:id="21"/>
    <w:bookmarkStart w:id="22" w:name="ca-14-confidentiality"/>
    <w:p>
      <w:pPr>
        <w:pStyle w:val="Heading3"/>
      </w:pPr>
      <w:r>
        <w:t xml:space="preserve">CA-14 Confidentiality</w:t>
      </w:r>
    </w:p>
    <w:p>
      <w:pPr>
        <w:pStyle w:val="FirstParagraph"/>
      </w:pPr>
      <w:r>
        <w:t xml:space="preserve">The Contributor keeps confidential, during and after the Programme: unpublished Prompts (especially blind test prompts), other contributors’ recordings and texts seen while validating, and the content of internal guidelines marked confidential. The Contributor may say publicly that they took part.</w:t>
      </w:r>
    </w:p>
    <w:bookmarkEnd w:id="22"/>
    <w:bookmarkStart w:id="23" w:name="ca-15-warranties-and-liability"/>
    <w:p>
      <w:pPr>
        <w:pStyle w:val="Heading3"/>
      </w:pPr>
      <w:r>
        <w:t xml:space="preserve">CA-15 Warranties and liability</w:t>
      </w:r>
    </w:p>
    <w:p>
      <w:pPr>
        <w:pStyle w:val="Compact"/>
        <w:numPr>
          <w:ilvl w:val="0"/>
          <w:numId w:val="1009"/>
        </w:numPr>
      </w:pPr>
      <w:r>
        <w:t xml:space="preserve">Each party confirms it has the right to enter this agreement.</w:t>
      </w:r>
    </w:p>
    <w:p>
      <w:pPr>
        <w:pStyle w:val="Compact"/>
        <w:numPr>
          <w:ilvl w:val="0"/>
          <w:numId w:val="1009"/>
        </w:numPr>
      </w:pPr>
      <w:r>
        <w:t xml:space="preserve">Bayanat Labs provides its recorder and portal</w:t>
      </w:r>
      <w:r>
        <w:t xml:space="preserve"> </w:t>
      </w:r>
      <w:r>
        <w:t xml:space="preserve">“as is”</w:t>
      </w:r>
      <w:r>
        <w:t xml:space="preserve"> </w:t>
      </w:r>
      <w:r>
        <w:t xml:space="preserve">and does not promise they will always be available.</w:t>
      </w:r>
    </w:p>
    <w:p>
      <w:pPr>
        <w:pStyle w:val="Compact"/>
        <w:numPr>
          <w:ilvl w:val="0"/>
          <w:numId w:val="1009"/>
        </w:numPr>
      </w:pPr>
      <w:r>
        <w:t xml:space="preserve">Neither party is liable to the other for indirect or consequential loss. Bayanat Labs’ total liability to the Contributor is limited to</w:t>
      </w:r>
      <w:r>
        <w:t xml:space="preserve"> </w:t>
      </w:r>
      <w:r>
        <w:rPr>
          <w:rStyle w:val="VerbatimChar"/>
        </w:rPr>
        <w:t xml:space="preserve">{{LIABILITY_CAP}}</w:t>
      </w:r>
      <w:r>
        <w:t xml:space="preserve">, except where the law does not allow a limit.</w:t>
      </w:r>
    </w:p>
    <w:p>
      <w:pPr>
        <w:pStyle w:val="Compact"/>
        <w:numPr>
          <w:ilvl w:val="0"/>
          <w:numId w:val="1009"/>
        </w:numPr>
      </w:pPr>
      <w:r>
        <w:t xml:space="preserve">The Contributor is not asked to indemnify Bayanat Labs, except for deliberate breaches of CA-9.</w:t>
      </w:r>
    </w:p>
    <w:bookmarkEnd w:id="23"/>
    <w:bookmarkStart w:id="24" w:name="X11a9421af9e3ff7172d9d2a1115e6b0b60c1c5d"/>
    <w:p>
      <w:pPr>
        <w:pStyle w:val="Heading3"/>
      </w:pPr>
      <w:r>
        <w:t xml:space="preserve">CA-16 Fraud, suspension and ending the agreement</w:t>
      </w:r>
    </w:p>
    <w:p>
      <w:pPr>
        <w:pStyle w:val="Compact"/>
        <w:numPr>
          <w:ilvl w:val="0"/>
          <w:numId w:val="1010"/>
        </w:numPr>
      </w:pPr>
      <w:r>
        <w:t xml:space="preserve">Bayanat Labs may suspend or end a Contributor’s participation if it has reasonable grounds to believe CA-9 or CA-10 has been breached (for example, duplicate accounts, synthetic or replayed audio, copied text). It will explain the reason and give the Contributor a chance to respond within</w:t>
      </w:r>
      <w:r>
        <w:t xml:space="preserve"> </w:t>
      </w:r>
      <w:r>
        <w:rPr>
          <w:rStyle w:val="VerbatimChar"/>
        </w:rPr>
        <w:t xml:space="preserve">{{RESPONSE_DAYS}}</w:t>
      </w:r>
      <w:r>
        <w:t xml:space="preserve"> </w:t>
      </w:r>
      <w:r>
        <w:t xml:space="preserve">days.</w:t>
      </w:r>
    </w:p>
    <w:p>
      <w:pPr>
        <w:pStyle w:val="Compact"/>
        <w:numPr>
          <w:ilvl w:val="0"/>
          <w:numId w:val="1010"/>
        </w:numPr>
      </w:pPr>
      <w:r>
        <w:t xml:space="preserve">Either party may end this agreement at any time with notice. Clauses CA-4 to CA-8 (for published Contributions), CA-13, CA-14 and CA-15 continue after it ends.</w:t>
      </w:r>
    </w:p>
    <w:bookmarkEnd w:id="24"/>
    <w:bookmarkStart w:id="25" w:name="ca-17-governing-law-and-disputes"/>
    <w:p>
      <w:pPr>
        <w:pStyle w:val="Heading3"/>
      </w:pPr>
      <w:r>
        <w:t xml:space="preserve">CA-17 Governing law and disputes</w:t>
      </w:r>
    </w:p>
    <w:p>
      <w:pPr>
        <w:pStyle w:val="FirstParagraph"/>
      </w:pPr>
      <w:r>
        <w:t xml:space="preserve">This agreement is governed by</w:t>
      </w:r>
      <w:r>
        <w:t xml:space="preserve"> </w:t>
      </w:r>
      <w:r>
        <w:rPr>
          <w:rStyle w:val="VerbatimChar"/>
        </w:rPr>
        <w:t xml:space="preserve">{{GOVERNING_LAW}}</w:t>
      </w:r>
      <w:r>
        <w:t xml:space="preserve">. Disputes go to</w:t>
      </w:r>
      <w:r>
        <w:t xml:space="preserve"> </w:t>
      </w:r>
      <w:r>
        <w:rPr>
          <w:rStyle w:val="VerbatimChar"/>
        </w:rPr>
        <w:t xml:space="preserve">{{DISPUTE_FORUM}}</w:t>
      </w:r>
      <w:r>
        <w:t xml:space="preserve">, after an attempt to settle them through</w:t>
      </w:r>
      <w:r>
        <w:t xml:space="preserve"> </w:t>
      </w:r>
      <w:r>
        <w:rPr>
          <w:rStyle w:val="VerbatimChar"/>
        </w:rPr>
        <w:t xml:space="preserve">{{PRIVACY_CONTACT_EMAIL}}</w:t>
      </w:r>
      <w:r>
        <w:t xml:space="preserve"> </w:t>
      </w:r>
      <w:r>
        <w:t xml:space="preserve">within 30 days.</w:t>
      </w:r>
    </w:p>
    <w:bookmarkEnd w:id="25"/>
    <w:bookmarkStart w:id="26" w:name="ca-18-languages"/>
    <w:p>
      <w:pPr>
        <w:pStyle w:val="Heading3"/>
      </w:pPr>
      <w:r>
        <w:t xml:space="preserve">CA-18 Languages</w:t>
      </w:r>
    </w:p>
    <w:p>
      <w:pPr>
        <w:pStyle w:val="FirstParagraph"/>
      </w:pPr>
      <w:r>
        <w:t xml:space="preserve">This agreement is made in Arabic and English. If they differ,</w:t>
      </w:r>
      <w:r>
        <w:t xml:space="preserve"> </w:t>
      </w:r>
      <w:r>
        <w:rPr>
          <w:rStyle w:val="VerbatimChar"/>
        </w:rPr>
        <w:t xml:space="preserve">{{PREVAILING_LANGUAGE}}</w:t>
      </w:r>
      <w:r>
        <w:t xml:space="preserve"> </w:t>
      </w:r>
      <w:r>
        <w:t xml:space="preserve">prevails. The Contributor confirms they read it in the language they chose.</w:t>
      </w:r>
    </w:p>
    <w:bookmarkEnd w:id="26"/>
    <w:bookmarkStart w:id="27" w:name="X45557f186c7e9cef56e37e7211100ae1687182d"/>
    <w:p>
      <w:pPr>
        <w:pStyle w:val="Heading3"/>
      </w:pPr>
      <w:r>
        <w:t xml:space="preserve">CA-19 Whole agreement, changes and signature</w:t>
      </w:r>
    </w:p>
    <w:p>
      <w:pPr>
        <w:pStyle w:val="FirstParagraph"/>
      </w:pPr>
      <w:r>
        <w:t xml:space="preserve">This agreement, its schedules, the Consent Form and the Privacy Notice are the whole agreement. Bayanat Labs will not change the terms for Contributions already published. New terms apply only to new Contributions and only after the Contributor accepts them. The agreement may be signed electronically through</w:t>
      </w:r>
      <w:r>
        <w:t xml:space="preserve"> </w:t>
      </w:r>
      <w:r>
        <w:rPr>
          <w:rStyle w:val="VerbatimChar"/>
        </w:rPr>
        <w:t xml:space="preserve">{{ESIGN_PROVIDER}}</w:t>
      </w:r>
      <w:r>
        <w:t xml:space="preserve">.</w:t>
      </w:r>
    </w:p>
    <w:p>
      <w:r>
        <w:pict>
          <v:rect style="width:0;height:1.5pt" o:hralign="center" o:hrstd="t" o:hr="t"/>
        </w:pict>
      </w:r>
    </w:p>
    <w:bookmarkEnd w:id="27"/>
    <w:bookmarkStart w:id="28" w:name="schedule-1-programme-details"/>
    <w:p>
      <w:pPr>
        <w:pStyle w:val="Heading2"/>
      </w:pPr>
      <w:r>
        <w:t xml:space="preserve">Schedule 1: Programme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Programme</w:t>
            </w:r>
          </w:p>
        </w:tc>
        <w:tc>
          <w:tcPr/>
          <w:p>
            <w:pPr>
              <w:pStyle w:val="Compact"/>
            </w:pPr>
            <w:r>
              <w:rPr>
                <w:rStyle w:val="VerbatimChar"/>
              </w:rPr>
              <w:t xml:space="preserve">{{PROGRAMME_NAME}}</w:t>
            </w:r>
            <w:r>
              <w:t xml:space="preserve"> </w:t>
            </w:r>
            <w:r>
              <w:t xml:space="preserve">(for example Sawt)</w:t>
            </w:r>
          </w:p>
        </w:tc>
      </w:tr>
      <w:tr>
        <w:tc>
          <w:tcPr/>
          <w:p>
            <w:pPr>
              <w:pStyle w:val="Compact"/>
            </w:pPr>
            <w:r>
              <w:t xml:space="preserve">Open Licence</w:t>
            </w:r>
          </w:p>
        </w:tc>
        <w:tc>
          <w:tcPr/>
          <w:p>
            <w:pPr>
              <w:pStyle w:val="Compact"/>
            </w:pPr>
            <w:r>
              <w:rPr>
                <w:rStyle w:val="VerbatimChar"/>
              </w:rPr>
              <w:t xml:space="preserve">{{RELEASE_LICENCE}}</w:t>
            </w:r>
            <w:r>
              <w:t xml:space="preserve"> </w:t>
            </w:r>
            <w:r>
              <w:t xml:space="preserve">(Option A CC0 1.0 or Option B CC BY 4.0)</w:t>
            </w:r>
          </w:p>
        </w:tc>
      </w:tr>
      <w:tr>
        <w:tc>
          <w:tcPr/>
          <w:p>
            <w:pPr>
              <w:pStyle w:val="Compact"/>
            </w:pPr>
            <w:r>
              <w:t xml:space="preserve">Work-product option (CA-8)</w:t>
            </w:r>
          </w:p>
        </w:tc>
        <w:tc>
          <w:tcPr/>
          <w:p>
            <w:pPr>
              <w:pStyle w:val="Compact"/>
            </w:pPr>
            <w:r>
              <w:rPr>
                <w:rStyle w:val="VerbatimChar"/>
              </w:rPr>
              <w:t xml:space="preserve">{{CA8_OPTION}}</w:t>
            </w:r>
            <w:r>
              <w:t xml:space="preserve"> </w:t>
            </w:r>
            <w:r>
              <w:t xml:space="preserve">(1 assignment or 2 licence)</w:t>
            </w:r>
          </w:p>
        </w:tc>
      </w:tr>
      <w:tr>
        <w:tc>
          <w:tcPr/>
          <w:p>
            <w:pPr>
              <w:pStyle w:val="Compact"/>
            </w:pPr>
            <w:r>
              <w:t xml:space="preserve">Task types</w:t>
            </w:r>
          </w:p>
        </w:tc>
        <w:tc>
          <w:tcPr/>
          <w:p>
            <w:pPr>
              <w:pStyle w:val="Compact"/>
            </w:pPr>
            <w:r>
              <w:rPr>
                <w:rStyle w:val="VerbatimChar"/>
              </w:rPr>
              <w:t xml:space="preserve">{{TASK_TYPES}}</w:t>
            </w:r>
          </w:p>
        </w:tc>
      </w:tr>
      <w:tr>
        <w:tc>
          <w:tcPr/>
          <w:p>
            <w:pPr>
              <w:pStyle w:val="Compact"/>
            </w:pPr>
            <w:r>
              <w:t xml:space="preserve">Pay table</w:t>
            </w:r>
          </w:p>
        </w:tc>
        <w:tc>
          <w:tcPr/>
          <w:p>
            <w:pPr>
              <w:pStyle w:val="Compact"/>
            </w:pPr>
            <w:r>
              <w:rPr>
                <w:rStyle w:val="VerbatimChar"/>
              </w:rPr>
              <w:t xml:space="preserve">{{PAY_TABLE_REF}}</w:t>
            </w:r>
            <w:r>
              <w:t xml:space="preserve"> </w:t>
            </w:r>
            <w:r>
              <w:t xml:space="preserve">(Paid variant only)</w:t>
            </w:r>
          </w:p>
        </w:tc>
      </w:tr>
      <w:tr>
        <w:tc>
          <w:tcPr/>
          <w:p>
            <w:pPr>
              <w:pStyle w:val="Compact"/>
            </w:pPr>
            <w:r>
              <w:t xml:space="preserve">Private storage region</w:t>
            </w:r>
          </w:p>
        </w:tc>
        <w:tc>
          <w:tcPr/>
          <w:p>
            <w:pPr>
              <w:pStyle w:val="Compact"/>
            </w:pPr>
            <w:r>
              <w:rPr>
                <w:rStyle w:val="VerbatimChar"/>
              </w:rPr>
              <w:t xml:space="preserve">{{STORAGE_REGION}}</w:t>
            </w:r>
          </w:p>
        </w:tc>
      </w:tr>
      <w:tr>
        <w:tc>
          <w:tcPr/>
          <w:p>
            <w:pPr>
              <w:pStyle w:val="Compact"/>
            </w:pPr>
            <w:r>
              <w:t xml:space="preserve">Public hosts</w:t>
            </w:r>
          </w:p>
        </w:tc>
        <w:tc>
          <w:tcPr/>
          <w:p>
            <w:pPr>
              <w:pStyle w:val="Compact"/>
            </w:pPr>
            <w:r>
              <w:t xml:space="preserve">Hugging Face (</w:t>
            </w:r>
            <w:r>
              <w:rPr>
                <w:rStyle w:val="VerbatimChar"/>
              </w:rPr>
              <w:t xml:space="preserve">{{HF_ORG}}</w:t>
            </w:r>
            <w:r>
              <w:t xml:space="preserve">), Zenodo</w:t>
            </w:r>
          </w:p>
        </w:tc>
      </w:tr>
      <w:tr>
        <w:tc>
          <w:tcPr/>
          <w:p>
            <w:pPr>
              <w:pStyle w:val="Compact"/>
            </w:pPr>
            <w:r>
              <w:t xml:space="preserve">Withdrawal service level</w:t>
            </w:r>
          </w:p>
        </w:tc>
        <w:tc>
          <w:tcPr/>
          <w:p>
            <w:pPr>
              <w:pStyle w:val="Compact"/>
            </w:pPr>
            <w:r>
              <w:rPr>
                <w:rStyle w:val="VerbatimChar"/>
              </w:rPr>
              <w:t xml:space="preserve">{{WITHDRAWAL_SLA_DAYS}}</w:t>
            </w:r>
            <w:r>
              <w:t xml:space="preserve"> </w:t>
            </w:r>
            <w:r>
              <w:t xml:space="preserve">days</w:t>
            </w:r>
          </w:p>
        </w:tc>
      </w:tr>
    </w:tbl>
    <w:bookmarkEnd w:id="28"/>
    <w:bookmarkStart w:id="29" w:name="schedule-2-contributor-declaration"/>
    <w:p>
      <w:pPr>
        <w:pStyle w:val="Heading2"/>
      </w:pPr>
      <w:r>
        <w:t xml:space="preserve">Schedule 2: Contributor declaration</w:t>
      </w:r>
    </w:p>
    <w:p>
      <w:pPr>
        <w:pStyle w:val="FirstParagraph"/>
      </w:pPr>
      <w:r>
        <w:t xml:space="preserve">☐ I am 18 or older. ☐ I have read the Consent Form and Privacy Notice. ☐ My contributions will be my own (CA-9). ☐ I understand published Releases cannot be recalled (CA-13).</w:t>
      </w:r>
    </w:p>
    <w:p>
      <w:pPr>
        <w:pStyle w:val="BodyText"/>
      </w:pPr>
      <w:r>
        <w:t xml:space="preserve">Name (private): ____________ Date: ____________ Signature / e-signature reference: ____________</w:t>
      </w:r>
    </w:p>
    <w:p>
      <w:r>
        <w:pict>
          <v:rect style="width:0;height:1.5pt" o:hralign="center" o:hrstd="t" o:hr="t"/>
        </w:pict>
      </w:r>
    </w:p>
    <w:p>
      <w:pPr>
        <w:pStyle w:val="FirstParagraph"/>
      </w:pPr>
      <w:r>
        <w:rPr>
          <w:i/>
          <w:iCs/>
        </w:rPr>
        <w:t xml:space="preserve">Changelog:</w:t>
      </w:r>
      <w:r>
        <w:t xml:space="preserve"> </w:t>
      </w:r>
      <w:r>
        <w:t xml:space="preserve">v1.0 (15 Oct 2026): first version.</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contributor agreement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