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A4F33"/>
          <w:sz w:val="30"/>
          <w:szCs w:val="30"/>
        </w:rPr>
        <w:t xml:space="preserve">CURRICULUM VITAE</w:t>
      </w:r>
    </w:p>
    <w:p>
      <w:pPr>
        <w:spacing w:after="200"/>
      </w:pPr>
      <w:r>
        <w:rPr>
          <w:i/>
          <w:iCs/>
          <w:color w:val="5A6B75"/>
          <w:sz w:val="18"/>
          <w:szCs w:val="18"/>
        </w:rPr>
        <w:t xml:space="preserve">Format récapitulatif — dossier de manifestation d'intérêt AMI N°03/CPMP/PROGRES/2026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8F6F0" w:val="clear"/>
            <w:tcMar>
              <w:top w:type="dxa" w:w="70"/>
              <w:left w:type="dxa" w:w="90"/>
              <w:bottom w:type="dxa" w:w="70"/>
              <w:right w:type="dxa" w:w="90"/>
            </w:tcMar>
          </w:tcPr>
          <w:p>
            <w:r>
              <w:rPr>
                <w:b/>
                <w:bCs/>
                <w:sz w:val="19"/>
                <w:szCs w:val="19"/>
              </w:rPr>
              <w:t xml:space="preserve">Nom et prénom</w:t>
            </w:r>
          </w:p>
        </w:tc>
        <w:tc>
          <w:tcPr>
            <w:tcW w:type="dxa" w:w="6900"/>
            <w:tcMar>
              <w:top w:type="dxa" w:w="70"/>
              <w:left w:type="dxa" w:w="90"/>
              <w:bottom w:type="dxa" w:w="70"/>
              <w:right w:type="dxa" w:w="90"/>
            </w:tcMar>
          </w:tcPr>
          <w:p>
            <w:r>
              <w:rPr>
                <w:b/>
                <w:bCs/>
              </w:rPr>
              <w:t xml:space="preserve">DIOP Ibrahima</w:t>
            </w:r>
          </w:p>
        </w:tc>
      </w:tr>
      <w:tr>
        <w:tc>
          <w:tcPr>
            <w:tcW w:type="dxa" w:w="2600"/>
            <w:shd w:fill="F8F6F0" w:val="clear"/>
            <w:tcMar>
              <w:top w:type="dxa" w:w="70"/>
              <w:left w:type="dxa" w:w="90"/>
              <w:bottom w:type="dxa" w:w="70"/>
              <w:right w:type="dxa" w:w="90"/>
            </w:tcMar>
          </w:tcPr>
          <w:p>
            <w:r>
              <w:rPr>
                <w:b/>
                <w:bCs/>
                <w:sz w:val="19"/>
                <w:szCs w:val="19"/>
              </w:rPr>
              <w:t xml:space="preserve">Nationalité</w:t>
            </w:r>
          </w:p>
        </w:tc>
        <w:tc>
          <w:tcPr>
            <w:tcW w:type="dxa" w:w="6900"/>
            <w:tcMar>
              <w:top w:type="dxa" w:w="70"/>
              <w:left w:type="dxa" w:w="90"/>
              <w:bottom w:type="dxa" w:w="70"/>
              <w:right w:type="dxa" w:w="90"/>
            </w:tcMar>
          </w:tcPr>
          <w:p>
            <w:r>
              <w:t xml:space="preserve">Sénégalaise</w:t>
            </w:r>
          </w:p>
        </w:tc>
      </w:tr>
      <w:tr>
        <w:tc>
          <w:tcPr>
            <w:tcW w:type="dxa" w:w="2600"/>
            <w:shd w:fill="F8F6F0" w:val="clear"/>
            <w:tcMar>
              <w:top w:type="dxa" w:w="70"/>
              <w:left w:type="dxa" w:w="90"/>
              <w:bottom w:type="dxa" w:w="70"/>
              <w:right w:type="dxa" w:w="90"/>
            </w:tcMar>
          </w:tcPr>
          <w:p>
            <w:r>
              <w:rPr>
                <w:b/>
                <w:bCs/>
                <w:sz w:val="19"/>
                <w:szCs w:val="19"/>
              </w:rPr>
              <w:t xml:space="preserve">Titres</w:t>
            </w:r>
          </w:p>
        </w:tc>
        <w:tc>
          <w:tcPr>
            <w:tcW w:type="dxa" w:w="6900"/>
            <w:tcMar>
              <w:top w:type="dxa" w:w="70"/>
              <w:left w:type="dxa" w:w="90"/>
              <w:bottom w:type="dxa" w:w="70"/>
              <w:right w:type="dxa" w:w="90"/>
            </w:tcMar>
          </w:tcPr>
          <w:p>
            <w:r>
              <w:t xml:space="preserve">Ingénieur Agronome ; DESS Aménagement, Décentralisation et Développement Territorial ; Master 2 Management des Projets ; Maître Formateur en Champ École des Producteurs ; Chevalier de l'Ordre National du Mérite</w:t>
            </w:r>
          </w:p>
        </w:tc>
      </w:tr>
      <w:tr>
        <w:tc>
          <w:tcPr>
            <w:tcW w:type="dxa" w:w="2600"/>
            <w:shd w:fill="F8F6F0" w:val="clear"/>
            <w:tcMar>
              <w:top w:type="dxa" w:w="70"/>
              <w:left w:type="dxa" w:w="90"/>
              <w:bottom w:type="dxa" w:w="70"/>
              <w:right w:type="dxa" w:w="90"/>
            </w:tcMar>
          </w:tcPr>
          <w:p>
            <w:r>
              <w:rPr>
                <w:b/>
                <w:bCs/>
                <w:sz w:val="19"/>
                <w:szCs w:val="19"/>
              </w:rPr>
              <w:t xml:space="preserve">Fonction actuelle</w:t>
            </w:r>
          </w:p>
        </w:tc>
        <w:tc>
          <w:tcPr>
            <w:tcW w:type="dxa" w:w="6900"/>
            <w:tcMar>
              <w:top w:type="dxa" w:w="70"/>
              <w:left w:type="dxa" w:w="90"/>
              <w:bottom w:type="dxa" w:w="70"/>
              <w:right w:type="dxa" w:w="90"/>
            </w:tcMar>
          </w:tcPr>
          <w:p>
            <w:r>
              <w:t xml:space="preserve">Consultant Senior</w:t>
            </w:r>
          </w:p>
        </w:tc>
      </w:tr>
      <w:tr>
        <w:tc>
          <w:tcPr>
            <w:tcW w:type="dxa" w:w="2600"/>
            <w:shd w:fill="F8F6F0" w:val="clear"/>
            <w:tcMar>
              <w:top w:type="dxa" w:w="70"/>
              <w:left w:type="dxa" w:w="90"/>
              <w:bottom w:type="dxa" w:w="70"/>
              <w:right w:type="dxa" w:w="90"/>
            </w:tcMar>
          </w:tcPr>
          <w:p>
            <w:r>
              <w:rPr>
                <w:b/>
                <w:bCs/>
                <w:sz w:val="19"/>
                <w:szCs w:val="19"/>
              </w:rPr>
              <w:t xml:space="preserve">Poste proposé pour la mission</w:t>
            </w:r>
          </w:p>
        </w:tc>
        <w:tc>
          <w:tcPr>
            <w:tcW w:type="dxa" w:w="6900"/>
            <w:tcMar>
              <w:top w:type="dxa" w:w="70"/>
              <w:left w:type="dxa" w:w="90"/>
              <w:bottom w:type="dxa" w:w="70"/>
              <w:right w:type="dxa" w:w="90"/>
            </w:tcMar>
          </w:tcPr>
          <w:p>
            <w:r>
              <w:rPr>
                <w:i/>
                <w:iCs/>
                <w:color w:val="C0392B"/>
              </w:rPr>
              <w:t xml:space="preserve">Expert formation / Expert en gestion des ressources naturelles et des infrastructures communautaires [intitulé à valider avec AGROELITE et Agro Eco Consulting]</w:t>
            </w:r>
          </w:p>
        </w:tc>
      </w:tr>
      <w:tr>
        <w:tc>
          <w:tcPr>
            <w:tcW w:type="dxa" w:w="2600"/>
            <w:shd w:fill="F8F6F0" w:val="clear"/>
            <w:tcMar>
              <w:top w:type="dxa" w:w="70"/>
              <w:left w:type="dxa" w:w="90"/>
              <w:bottom w:type="dxa" w:w="70"/>
              <w:right w:type="dxa" w:w="90"/>
            </w:tcMar>
          </w:tcPr>
          <w:p>
            <w:r>
              <w:rPr>
                <w:b/>
                <w:bCs/>
                <w:sz w:val="19"/>
                <w:szCs w:val="19"/>
              </w:rPr>
              <w:t xml:space="preserve">Expérience professionnelle</w:t>
            </w:r>
          </w:p>
        </w:tc>
        <w:tc>
          <w:tcPr>
            <w:tcW w:type="dxa" w:w="6900"/>
            <w:tcMar>
              <w:top w:type="dxa" w:w="70"/>
              <w:left w:type="dxa" w:w="90"/>
              <w:bottom w:type="dxa" w:w="70"/>
              <w:right w:type="dxa" w:w="90"/>
            </w:tcMar>
          </w:tcPr>
          <w:p>
            <w:r>
              <w:t xml:space="preserve">40 ans (1984 – en cours)</w:t>
            </w:r>
          </w:p>
        </w:tc>
      </w:tr>
      <w:tr>
        <w:tc>
          <w:tcPr>
            <w:tcW w:type="dxa" w:w="2600"/>
            <w:shd w:fill="F8F6F0" w:val="clear"/>
            <w:tcMar>
              <w:top w:type="dxa" w:w="70"/>
              <w:left w:type="dxa" w:w="90"/>
              <w:bottom w:type="dxa" w:w="70"/>
              <w:right w:type="dxa" w:w="90"/>
            </w:tcMar>
          </w:tcPr>
          <w:p>
            <w:r>
              <w:rPr>
                <w:b/>
                <w:bCs/>
                <w:sz w:val="19"/>
                <w:szCs w:val="19"/>
              </w:rPr>
              <w:t xml:space="preserve">Contact</w:t>
            </w:r>
          </w:p>
        </w:tc>
        <w:tc>
          <w:tcPr>
            <w:tcW w:type="dxa" w:w="6900"/>
            <w:tcMar>
              <w:top w:type="dxa" w:w="70"/>
              <w:left w:type="dxa" w:w="90"/>
              <w:bottom w:type="dxa" w:w="70"/>
              <w:right w:type="dxa" w:w="90"/>
            </w:tcMar>
          </w:tcPr>
          <w:p>
            <w:r>
              <w:t xml:space="preserve">Tél. : (+221) 77 634 43 88 — E-mail : idiopkkfr@yahoo.fr</w:t>
            </w:r>
          </w:p>
        </w:tc>
      </w:tr>
    </w:tbl>
    <w:p>
      <w:pPr>
        <w:pBdr>
          <w:bottom w:val="single" w:color="DDDDDD" w:sz="4" w:space="4"/>
        </w:pBdr>
        <w:spacing w:after="140" w:before="240"/>
      </w:pPr>
      <w:r>
        <w:rPr>
          <w:b/>
          <w:bCs/>
          <w:color w:val="0E7C4A"/>
          <w:sz w:val="24"/>
          <w:szCs w:val="24"/>
        </w:rPr>
        <w:t xml:space="preserve">I. Résumé des qualifications clés</w:t>
      </w:r>
    </w:p>
    <w:p>
      <w:pPr>
        <w:pStyle w:val="ListParagraph"/>
        <w:numPr>
          <w:ilvl w:val="0"/>
          <w:numId w:val="2"/>
        </w:numPr>
        <w:spacing w:after="90"/>
        <w:jc w:val="both"/>
      </w:pPr>
      <w:r>
        <w:t xml:space="preserve">Expérience directe en République Islamique de Mauritanie : coordination de programmes de traitements phytosanitaires et de lutte anti-acridienne dans les régions du Tiris Zemour (1995) et du Trarza (2004), pour le compte de la FAO ; participation en 2022 à une mission de diagnostic des filières semencières dans les pays membres de l'OMVS incluant la Mauritanie.</w:t>
      </w:r>
    </w:p>
    <w:p>
      <w:pPr>
        <w:pStyle w:val="ListParagraph"/>
        <w:numPr>
          <w:ilvl w:val="0"/>
          <w:numId w:val="2"/>
        </w:numPr>
        <w:spacing w:after="90"/>
        <w:jc w:val="both"/>
      </w:pPr>
      <w:r>
        <w:t xml:space="preserve">Expérience avérée en entretien communautaire des infrastructures : formateur principal d'Organisations Communautaires de Base (OCB) en gestion des infrastructures (cases de santé, postes de santé, écoles élémentaires, magasins de stockage de denrées alimentaires) dans le département de Linguère, pour le compte de l'Agence pour le Fonds du Développement Social (AFDS, 2005).</w:t>
      </w:r>
    </w:p>
    <w:p>
      <w:pPr>
        <w:pStyle w:val="ListParagraph"/>
        <w:numPr>
          <w:ilvl w:val="0"/>
          <w:numId w:val="2"/>
        </w:numPr>
        <w:spacing w:after="90"/>
        <w:jc w:val="both"/>
      </w:pPr>
      <w:r>
        <w:t xml:space="preserve">Expertise en gestion des ressources en eau et des bassins hydrographiques : interventions répétées (2014-2020) auprès de comités d'usagers d'ouvrages hydrauliques et dans le cadre du Projet de Gestion Intégrée des Ressources en Eau (PGIRE, avec la SAED et la Banque mondiale) et du Projet de Restauration des Fonctions Écologiques et Économiques du Lac de Guiers (PREFELAG, avec l'Office du Lac de Guiers).</w:t>
      </w:r>
    </w:p>
    <w:p>
      <w:pPr>
        <w:pStyle w:val="ListParagraph"/>
        <w:numPr>
          <w:ilvl w:val="0"/>
          <w:numId w:val="2"/>
        </w:numPr>
        <w:spacing w:after="90"/>
        <w:jc w:val="both"/>
      </w:pPr>
      <w:r>
        <w:t xml:space="preserve">Plus de 100 sessions de formation de producteurs, productrices et organisations de producteurs (dont de nombreux groupements de femmes et de jeunes) sur l'agriculture durable, l'agroécologie, la gestion des pesticides et l'adaptation aux changements climatiques, à travers tout le Sénégal (1984-2024).</w:t>
      </w:r>
    </w:p>
    <w:p>
      <w:pPr>
        <w:pStyle w:val="ListParagraph"/>
        <w:numPr>
          <w:ilvl w:val="0"/>
          <w:numId w:val="2"/>
        </w:numPr>
        <w:spacing w:after="90"/>
        <w:jc w:val="both"/>
      </w:pPr>
      <w:r>
        <w:t xml:space="preserve">Point focal Changements climatiques du Programme « Territorial Approach to Climate Change » (TACC, PNUD) au Conseil régional de Saint-Louis (2012-2015) : analyse de vulnérabilité, élaboration du Plan Climat Territorial Intégré.</w:t>
      </w:r>
    </w:p>
    <w:p>
      <w:pPr>
        <w:pStyle w:val="ListParagraph"/>
        <w:numPr>
          <w:ilvl w:val="0"/>
          <w:numId w:val="2"/>
        </w:numPr>
        <w:spacing w:after="90"/>
        <w:jc w:val="both"/>
      </w:pPr>
      <w:r>
        <w:t xml:space="preserve">Maître Formateur en Champ École des Producteurs et ingénierie pédagogique reconnue par de multiples bailleurs (FAO, Banque mondiale, USAID, Union européenne, PNUD, AACID, USADF, GIZ, entre autres).</w:t>
      </w:r>
    </w:p>
    <w:p>
      <w:pPr>
        <w:pBdr>
          <w:bottom w:val="single" w:color="DDDDDD" w:sz="4" w:space="4"/>
        </w:pBdr>
        <w:spacing w:after="140" w:before="240"/>
      </w:pPr>
      <w:r>
        <w:rPr>
          <w:b/>
          <w:bCs/>
          <w:color w:val="0E7C4A"/>
          <w:sz w:val="24"/>
          <w:szCs w:val="24"/>
        </w:rPr>
        <w:t xml:space="preserve">II. Formation</w:t>
      </w:r>
    </w:p>
    <w:p>
      <w:pPr>
        <w:spacing w:after="60"/>
      </w:pPr>
      <w:r>
        <w:rPr>
          <w:b/>
          <w:bCs/>
        </w:rPr>
        <w:t xml:space="preserve">2007 – 2008 — </w:t>
      </w:r>
      <w:r>
        <w:t xml:space="preserve">Master 2 en Management des Projets — Institut Supérieur de Management de Dakar</w:t>
      </w:r>
    </w:p>
    <w:p>
      <w:pPr>
        <w:spacing w:after="60"/>
      </w:pPr>
      <w:r>
        <w:rPr>
          <w:b/>
          <w:bCs/>
        </w:rPr>
        <w:t xml:space="preserve">2005 – 2007 — </w:t>
      </w:r>
      <w:r>
        <w:t xml:space="preserve">DESS Aménagement, Décentralisation et Développement Territorial — École Nationale d'Économie Appliquée de Dakar</w:t>
      </w:r>
    </w:p>
    <w:p>
      <w:pPr>
        <w:spacing w:after="60"/>
      </w:pPr>
      <w:r>
        <w:rPr>
          <w:b/>
          <w:bCs/>
        </w:rPr>
        <w:t xml:space="preserve">1980 – 1983 — </w:t>
      </w:r>
      <w:r>
        <w:t xml:space="preserve">Ingénieur des Travaux Agricoles — École Nationale des Cadres Ruraux de Bambey</w:t>
      </w:r>
    </w:p>
    <w:p>
      <w:pPr>
        <w:spacing w:after="60"/>
      </w:pPr>
      <w:r>
        <w:rPr>
          <w:b/>
          <w:bCs/>
        </w:rPr>
        <w:t xml:space="preserve">1978 – 1980 — </w:t>
      </w:r>
      <w:r>
        <w:t xml:space="preserve">Baccalauréat série D — Lycée Gaston Berger de Kaolack</w:t>
      </w:r>
    </w:p>
    <w:p>
      <w:pPr>
        <w:pBdr>
          <w:bottom w:val="single" w:color="DDDDDD" w:sz="4" w:space="4"/>
        </w:pBdr>
        <w:spacing w:after="140" w:before="240"/>
      </w:pPr>
      <w:r>
        <w:rPr>
          <w:b/>
          <w:bCs/>
          <w:color w:val="0E7C4A"/>
          <w:sz w:val="24"/>
          <w:szCs w:val="24"/>
        </w:rPr>
        <w:t xml:space="preserve">III. Domaines de compétence</w:t>
      </w:r>
    </w:p>
    <w:p>
      <w:pPr>
        <w:spacing w:after="100"/>
        <w:jc w:val="both"/>
      </w:pPr>
      <w:r>
        <w:t xml:space="preserve">Agriculture, horticulture, protection des végétaux ; gestion des pesticides ; genre et développement durable ; changements climatiques ; étude d'impact environnemental ; diagnostic participatif ; formation et ingénierie pédagogique ; développement organisationnel des Organisations Communautaires de Base ; suivi-évaluation ; développement local et décentralisation ; gestion axée sur les résultats ; recherche participative.</w:t>
      </w:r>
    </w:p>
    <w:p>
      <w:pPr>
        <w:pBdr>
          <w:bottom w:val="single" w:color="DDDDDD" w:sz="4" w:space="4"/>
        </w:pBdr>
        <w:spacing w:after="140" w:before="240"/>
      </w:pPr>
      <w:r>
        <w:rPr>
          <w:b/>
          <w:bCs/>
          <w:color w:val="0E7C4A"/>
          <w:sz w:val="24"/>
          <w:szCs w:val="24"/>
        </w:rPr>
        <w:t xml:space="preserve">IV. Expérience professionnelle — postes occupés</w:t>
      </w:r>
    </w:p>
    <w:p>
      <w:pPr>
        <w:spacing w:after="70"/>
        <w:jc w:val="both"/>
      </w:pPr>
      <w:r>
        <w:rPr>
          <w:b/>
          <w:bCs/>
        </w:rPr>
        <w:t xml:space="preserve">2015 – 2016 </w:t>
      </w:r>
      <w:r>
        <w:t xml:space="preserve">(Saint-Louis) — </w:t>
      </w:r>
      <w:r>
        <w:t xml:space="preserve">Responsable Régional de la Protection des Végétaux, cumulativement Chef du Service Départemental du Développement Rural de Saint-Louis</w:t>
      </w:r>
    </w:p>
    <w:p>
      <w:pPr>
        <w:spacing w:after="70"/>
        <w:jc w:val="both"/>
      </w:pPr>
      <w:r>
        <w:rPr>
          <w:b/>
          <w:bCs/>
        </w:rPr>
        <w:t xml:space="preserve">2012 – 2015 </w:t>
      </w:r>
      <w:r>
        <w:t xml:space="preserve">(Saint-Louis) — </w:t>
      </w:r>
      <w:r>
        <w:t xml:space="preserve">Point Focal des Changements Climatiques du Programme TACC (PNUD), Conseil Régional de Saint-Louis</w:t>
      </w:r>
    </w:p>
    <w:p>
      <w:pPr>
        <w:spacing w:after="70"/>
        <w:jc w:val="both"/>
      </w:pPr>
      <w:r>
        <w:rPr>
          <w:b/>
          <w:bCs/>
        </w:rPr>
        <w:t xml:space="preserve">2003 – 2012 </w:t>
      </w:r>
      <w:r>
        <w:t xml:space="preserve">(Saint-Louis) — </w:t>
      </w:r>
      <w:r>
        <w:t xml:space="preserve">Responsable Régional de la Protection des Végétaux, cumulativement Chef du Service Départemental du Développement Rural</w:t>
      </w:r>
    </w:p>
    <w:p>
      <w:pPr>
        <w:spacing w:after="70"/>
        <w:jc w:val="both"/>
      </w:pPr>
      <w:r>
        <w:rPr>
          <w:b/>
          <w:bCs/>
        </w:rPr>
        <w:t xml:space="preserve">2000 – 2003 </w:t>
      </w:r>
      <w:r>
        <w:t xml:space="preserve">(Saint-Louis) — </w:t>
      </w:r>
      <w:r>
        <w:t xml:space="preserve">Responsable Régional de la Protection des Végétaux, chargé du suivi des campagnes agricoles et des programmes spéciaux à la DRDR</w:t>
      </w:r>
    </w:p>
    <w:p>
      <w:pPr>
        <w:spacing w:after="70"/>
        <w:jc w:val="both"/>
      </w:pPr>
      <w:r>
        <w:rPr>
          <w:b/>
          <w:bCs/>
        </w:rPr>
        <w:t xml:space="preserve">1994 – 2000 </w:t>
      </w:r>
      <w:r>
        <w:t xml:space="preserve">(Richard-Toll) — </w:t>
      </w:r>
      <w:r>
        <w:t xml:space="preserve">Chef du Centre Secondaire de la Protection des Végétaux</w:t>
      </w:r>
    </w:p>
    <w:p>
      <w:pPr>
        <w:spacing w:after="70"/>
        <w:jc w:val="both"/>
      </w:pPr>
      <w:r>
        <w:rPr>
          <w:b/>
          <w:bCs/>
        </w:rPr>
        <w:t xml:space="preserve">1992 – 1994 </w:t>
      </w:r>
      <w:r>
        <w:t xml:space="preserve">(Richard-Toll / Dagana) — </w:t>
      </w:r>
      <w:r>
        <w:t xml:space="preserve">Chef du Centre Secondaire de la Protection des Végétaux, cumulativement Chef de Service Départemental de la Protection des Végétaux de Dagana</w:t>
      </w:r>
    </w:p>
    <w:p>
      <w:pPr>
        <w:spacing w:after="70"/>
        <w:jc w:val="both"/>
      </w:pPr>
      <w:r>
        <w:rPr>
          <w:b/>
          <w:bCs/>
        </w:rPr>
        <w:t xml:space="preserve">1987 – 1992 </w:t>
      </w:r>
      <w:r>
        <w:t xml:space="preserve">(Podor) — </w:t>
      </w:r>
      <w:r>
        <w:t xml:space="preserve">Chef de Service Départemental de la Protection des Végétaux</w:t>
      </w:r>
    </w:p>
    <w:p>
      <w:pPr>
        <w:spacing w:after="70"/>
        <w:jc w:val="both"/>
      </w:pPr>
      <w:r>
        <w:rPr>
          <w:b/>
          <w:bCs/>
        </w:rPr>
        <w:t xml:space="preserve">1984 – 1987 </w:t>
      </w:r>
      <w:r>
        <w:t xml:space="preserve">(Linguère) — </w:t>
      </w:r>
      <w:r>
        <w:t xml:space="preserve">Agent puis Adjoint au Chef de Secteur de l'Agriculture de Linguère</w:t>
      </w:r>
    </w:p>
    <w:p>
      <w:pPr>
        <w:spacing w:after="80"/>
      </w:pPr>
    </w:p>
    <w:p>
      <w:pPr>
        <w:pBdr>
          <w:bottom w:val="single" w:color="DDDDDD" w:sz="4" w:space="4"/>
        </w:pBdr>
        <w:spacing w:after="100" w:before="200"/>
      </w:pPr>
      <w:r>
        <w:rPr>
          <w:b/>
          <w:bCs/>
          <w:color w:val="0E7C4A"/>
          <w:sz w:val="24"/>
          <w:szCs w:val="24"/>
        </w:rPr>
        <w:t xml:space="preserve">V. Sélection de missions directement pertinentes pour l'AMI N°03/CPMP/PROGRES/2026</w:t>
      </w:r>
    </w:p>
    <w:p>
      <w:pPr>
        <w:spacing w:after="140"/>
        <w:jc w:val="both"/>
      </w:pPr>
      <w:r>
        <w:rPr>
          <w:i/>
          <w:iCs/>
          <w:color w:val="C0392B"/>
        </w:rPr>
        <w:t xml:space="preserve">Sélection extraite d'un CV recensant plus de 150 missions entre 1984 et 2024. La liste complète peut être fournie en annexe sur demande de l'UG-Prog / CPMP.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750"/>
        <w:gridCol w:w="1400"/>
        <w:gridCol w:w="1700"/>
      </w:tblGrid>
      <w:tr>
        <w:trPr>
          <w:tblHeader/>
        </w:trPr>
        <w:tc>
          <w:tcPr>
            <w:tcW w:type="dxa" w:w="1500"/>
            <w:shd w:fill="0A4F33" w:val="clear"/>
            <w:tcMar>
              <w:top w:type="dxa" w:w="70"/>
              <w:left w:type="dxa" w:w="90"/>
              <w:bottom w:type="dxa" w:w="70"/>
              <w:right w:type="dxa" w:w="90"/>
            </w:tcMar>
          </w:tcPr>
          <w:p>
            <w:r>
              <w:rPr>
                <w:b/>
                <w:bCs/>
                <w:color w:val="FFFFFF"/>
                <w:sz w:val="18"/>
                <w:szCs w:val="18"/>
              </w:rPr>
              <w:t xml:space="preserve">Période</w:t>
            </w:r>
          </w:p>
        </w:tc>
        <w:tc>
          <w:tcPr>
            <w:tcW w:type="dxa" w:w="4750"/>
            <w:shd w:fill="0A4F33" w:val="clear"/>
            <w:tcMar>
              <w:top w:type="dxa" w:w="70"/>
              <w:left w:type="dxa" w:w="90"/>
              <w:bottom w:type="dxa" w:w="70"/>
              <w:right w:type="dxa" w:w="90"/>
            </w:tcMar>
          </w:tcPr>
          <w:p>
            <w:r>
              <w:rPr>
                <w:b/>
                <w:bCs/>
                <w:color w:val="FFFFFF"/>
                <w:sz w:val="18"/>
                <w:szCs w:val="18"/>
              </w:rPr>
              <w:t xml:space="preserve">Objet de la mission</w:t>
            </w:r>
          </w:p>
        </w:tc>
        <w:tc>
          <w:tcPr>
            <w:tcW w:type="dxa" w:w="1400"/>
            <w:shd w:fill="0A4F33" w:val="clear"/>
            <w:tcMar>
              <w:top w:type="dxa" w:w="70"/>
              <w:left w:type="dxa" w:w="90"/>
              <w:bottom w:type="dxa" w:w="70"/>
              <w:right w:type="dxa" w:w="90"/>
            </w:tcMar>
          </w:tcPr>
          <w:p>
            <w:r>
              <w:rPr>
                <w:b/>
                <w:bCs/>
                <w:color w:val="FFFFFF"/>
                <w:sz w:val="18"/>
                <w:szCs w:val="18"/>
              </w:rPr>
              <w:t xml:space="preserve">Lieu</w:t>
            </w:r>
          </w:p>
        </w:tc>
        <w:tc>
          <w:tcPr>
            <w:tcW w:type="dxa" w:w="1700"/>
            <w:shd w:fill="0A4F33" w:val="clear"/>
            <w:tcMar>
              <w:top w:type="dxa" w:w="70"/>
              <w:left w:type="dxa" w:w="90"/>
              <w:bottom w:type="dxa" w:w="70"/>
              <w:right w:type="dxa" w:w="90"/>
            </w:tcMar>
          </w:tcPr>
          <w:p>
            <w:r>
              <w:rPr>
                <w:b/>
                <w:bCs/>
                <w:color w:val="FFFFFF"/>
                <w:sz w:val="18"/>
                <w:szCs w:val="18"/>
              </w:rPr>
              <w:t xml:space="preserve">Bailleur / partenaire</w:t>
            </w:r>
          </w:p>
        </w:tc>
      </w:tr>
      <w:tr>
        <w:tc>
          <w:tcPr>
            <w:tcW w:type="dxa" w:w="1500"/>
            <w:tcMar>
              <w:top w:type="dxa" w:w="70"/>
              <w:left w:type="dxa" w:w="90"/>
              <w:bottom w:type="dxa" w:w="70"/>
              <w:right w:type="dxa" w:w="90"/>
            </w:tcMar>
          </w:tcPr>
          <w:p>
            <w:r>
              <w:rPr>
                <w:b w:val="false"/>
                <w:bCs w:val="false"/>
                <w:color w:val="10242F"/>
                <w:sz w:val="18"/>
                <w:szCs w:val="18"/>
              </w:rPr>
              <w:t xml:space="preserve">Mars – mai 1995</w:t>
            </w:r>
          </w:p>
        </w:tc>
        <w:tc>
          <w:tcPr>
            <w:tcW w:type="dxa" w:w="4750"/>
            <w:tcMar>
              <w:top w:type="dxa" w:w="70"/>
              <w:left w:type="dxa" w:w="90"/>
              <w:bottom w:type="dxa" w:w="70"/>
              <w:right w:type="dxa" w:w="90"/>
            </w:tcMar>
          </w:tcPr>
          <w:p>
            <w:r>
              <w:rPr>
                <w:b w:val="false"/>
                <w:bCs w:val="false"/>
                <w:color w:val="10242F"/>
                <w:sz w:val="18"/>
                <w:szCs w:val="18"/>
              </w:rPr>
              <w:t xml:space="preserve">Coordinateur du programme de traitements phytosanitaires contre le criquet pèlerin</w:t>
            </w:r>
          </w:p>
        </w:tc>
        <w:tc>
          <w:tcPr>
            <w:tcW w:type="dxa" w:w="1400"/>
            <w:tcMar>
              <w:top w:type="dxa" w:w="70"/>
              <w:left w:type="dxa" w:w="90"/>
              <w:bottom w:type="dxa" w:w="70"/>
              <w:right w:type="dxa" w:w="90"/>
            </w:tcMar>
          </w:tcPr>
          <w:p>
            <w:r>
              <w:rPr>
                <w:b w:val="false"/>
                <w:bCs w:val="false"/>
                <w:color w:val="10242F"/>
                <w:sz w:val="18"/>
                <w:szCs w:val="18"/>
              </w:rPr>
              <w:t xml:space="preserve">Tiris Zemour, Mauritanie</w:t>
            </w:r>
          </w:p>
        </w:tc>
        <w:tc>
          <w:tcPr>
            <w:tcW w:type="dxa" w:w="1700"/>
            <w:tcMar>
              <w:top w:type="dxa" w:w="70"/>
              <w:left w:type="dxa" w:w="90"/>
              <w:bottom w:type="dxa" w:w="70"/>
              <w:right w:type="dxa" w:w="90"/>
            </w:tcMar>
          </w:tcPr>
          <w:p>
            <w:r>
              <w:rPr>
                <w:b w:val="false"/>
                <w:bCs w:val="false"/>
                <w:color w:val="10242F"/>
                <w:sz w:val="18"/>
                <w:szCs w:val="18"/>
              </w:rPr>
              <w:t xml:space="preserve">FAO</w:t>
            </w:r>
          </w:p>
        </w:tc>
      </w:tr>
      <w:tr>
        <w:tc>
          <w:tcPr>
            <w:tcW w:type="dxa" w:w="1500"/>
            <w:tcMar>
              <w:top w:type="dxa" w:w="70"/>
              <w:left w:type="dxa" w:w="90"/>
              <w:bottom w:type="dxa" w:w="70"/>
              <w:right w:type="dxa" w:w="90"/>
            </w:tcMar>
          </w:tcPr>
          <w:p>
            <w:r>
              <w:rPr>
                <w:b w:val="false"/>
                <w:bCs w:val="false"/>
                <w:color w:val="10242F"/>
                <w:sz w:val="18"/>
                <w:szCs w:val="18"/>
              </w:rPr>
              <w:t xml:space="preserve">Sept. – nov. 2004</w:t>
            </w:r>
          </w:p>
        </w:tc>
        <w:tc>
          <w:tcPr>
            <w:tcW w:type="dxa" w:w="4750"/>
            <w:tcMar>
              <w:top w:type="dxa" w:w="70"/>
              <w:left w:type="dxa" w:w="90"/>
              <w:bottom w:type="dxa" w:w="70"/>
              <w:right w:type="dxa" w:w="90"/>
            </w:tcMar>
          </w:tcPr>
          <w:p>
            <w:r>
              <w:rPr>
                <w:b w:val="false"/>
                <w:bCs w:val="false"/>
                <w:color w:val="10242F"/>
                <w:sz w:val="18"/>
                <w:szCs w:val="18"/>
              </w:rPr>
              <w:t xml:space="preserve">Coordonnateur des équipes sénégalaises de gestion du criquet pèlerin</w:t>
            </w:r>
          </w:p>
        </w:tc>
        <w:tc>
          <w:tcPr>
            <w:tcW w:type="dxa" w:w="1400"/>
            <w:tcMar>
              <w:top w:type="dxa" w:w="70"/>
              <w:left w:type="dxa" w:w="90"/>
              <w:bottom w:type="dxa" w:w="70"/>
              <w:right w:type="dxa" w:w="90"/>
            </w:tcMar>
          </w:tcPr>
          <w:p>
            <w:r>
              <w:rPr>
                <w:b w:val="false"/>
                <w:bCs w:val="false"/>
                <w:color w:val="10242F"/>
                <w:sz w:val="18"/>
                <w:szCs w:val="18"/>
              </w:rPr>
              <w:t xml:space="preserve">Trarza, Mauritanie</w:t>
            </w:r>
          </w:p>
        </w:tc>
        <w:tc>
          <w:tcPr>
            <w:tcW w:type="dxa" w:w="1700"/>
            <w:tcMar>
              <w:top w:type="dxa" w:w="70"/>
              <w:left w:type="dxa" w:w="90"/>
              <w:bottom w:type="dxa" w:w="70"/>
              <w:right w:type="dxa" w:w="90"/>
            </w:tcMar>
          </w:tcPr>
          <w:p>
            <w:r>
              <w:rPr>
                <w:b w:val="false"/>
                <w:bCs w:val="false"/>
                <w:color w:val="10242F"/>
                <w:sz w:val="18"/>
                <w:szCs w:val="18"/>
              </w:rPr>
              <w:t xml:space="preserve">FAO</w:t>
            </w:r>
          </w:p>
        </w:tc>
      </w:tr>
      <w:tr>
        <w:tc>
          <w:tcPr>
            <w:tcW w:type="dxa" w:w="1500"/>
            <w:tcMar>
              <w:top w:type="dxa" w:w="70"/>
              <w:left w:type="dxa" w:w="90"/>
              <w:bottom w:type="dxa" w:w="70"/>
              <w:right w:type="dxa" w:w="90"/>
            </w:tcMar>
          </w:tcPr>
          <w:p>
            <w:r>
              <w:rPr>
                <w:b w:val="false"/>
                <w:bCs w:val="false"/>
                <w:color w:val="10242F"/>
                <w:sz w:val="18"/>
                <w:szCs w:val="18"/>
              </w:rPr>
              <w:t xml:space="preserve">Juillet 2005</w:t>
            </w:r>
          </w:p>
        </w:tc>
        <w:tc>
          <w:tcPr>
            <w:tcW w:type="dxa" w:w="4750"/>
            <w:tcMar>
              <w:top w:type="dxa" w:w="70"/>
              <w:left w:type="dxa" w:w="90"/>
              <w:bottom w:type="dxa" w:w="70"/>
              <w:right w:type="dxa" w:w="90"/>
            </w:tcMar>
          </w:tcPr>
          <w:p>
            <w:r>
              <w:rPr>
                <w:b w:val="false"/>
                <w:bCs w:val="false"/>
                <w:color w:val="10242F"/>
                <w:sz w:val="18"/>
                <w:szCs w:val="18"/>
              </w:rPr>
              <w:t xml:space="preserve">Formateur principal d'OCB en gestion des infrastructures (case de santé, poste de santé, école, magasin de stockage) et techniques de production céréalière</w:t>
            </w:r>
          </w:p>
        </w:tc>
        <w:tc>
          <w:tcPr>
            <w:tcW w:type="dxa" w:w="1400"/>
            <w:tcMar>
              <w:top w:type="dxa" w:w="70"/>
              <w:left w:type="dxa" w:w="90"/>
              <w:bottom w:type="dxa" w:w="70"/>
              <w:right w:type="dxa" w:w="90"/>
            </w:tcMar>
          </w:tcPr>
          <w:p>
            <w:r>
              <w:rPr>
                <w:b w:val="false"/>
                <w:bCs w:val="false"/>
                <w:color w:val="10242F"/>
                <w:sz w:val="18"/>
                <w:szCs w:val="18"/>
              </w:rPr>
              <w:t xml:space="preserve">Gassane, Linguère, Sénégal</w:t>
            </w:r>
          </w:p>
        </w:tc>
        <w:tc>
          <w:tcPr>
            <w:tcW w:type="dxa" w:w="1700"/>
            <w:tcMar>
              <w:top w:type="dxa" w:w="70"/>
              <w:left w:type="dxa" w:w="90"/>
              <w:bottom w:type="dxa" w:w="70"/>
              <w:right w:type="dxa" w:w="90"/>
            </w:tcMar>
          </w:tcPr>
          <w:p>
            <w:r>
              <w:rPr>
                <w:b w:val="false"/>
                <w:bCs w:val="false"/>
                <w:color w:val="10242F"/>
                <w:sz w:val="18"/>
                <w:szCs w:val="18"/>
              </w:rPr>
              <w:t xml:space="preserve">AFDS</w:t>
            </w:r>
          </w:p>
        </w:tc>
      </w:tr>
      <w:tr>
        <w:tc>
          <w:tcPr>
            <w:tcW w:type="dxa" w:w="1500"/>
            <w:tcMar>
              <w:top w:type="dxa" w:w="70"/>
              <w:left w:type="dxa" w:w="90"/>
              <w:bottom w:type="dxa" w:w="70"/>
              <w:right w:type="dxa" w:w="90"/>
            </w:tcMar>
          </w:tcPr>
          <w:p>
            <w:r>
              <w:rPr>
                <w:b w:val="false"/>
                <w:bCs w:val="false"/>
                <w:color w:val="10242F"/>
                <w:sz w:val="18"/>
                <w:szCs w:val="18"/>
              </w:rPr>
              <w:t xml:space="preserve">Oct. 2005</w:t>
            </w:r>
          </w:p>
        </w:tc>
        <w:tc>
          <w:tcPr>
            <w:tcW w:type="dxa" w:w="4750"/>
            <w:tcMar>
              <w:top w:type="dxa" w:w="70"/>
              <w:left w:type="dxa" w:w="90"/>
              <w:bottom w:type="dxa" w:w="70"/>
              <w:right w:type="dxa" w:w="90"/>
            </w:tcMar>
          </w:tcPr>
          <w:p>
            <w:r>
              <w:rPr>
                <w:b w:val="false"/>
                <w:bCs w:val="false"/>
                <w:color w:val="10242F"/>
                <w:sz w:val="18"/>
                <w:szCs w:val="18"/>
              </w:rPr>
              <w:t xml:space="preserve">Formateur principal d'OCB en gestion des infrastructures et technique de production céréalière</w:t>
            </w:r>
          </w:p>
        </w:tc>
        <w:tc>
          <w:tcPr>
            <w:tcW w:type="dxa" w:w="1400"/>
            <w:tcMar>
              <w:top w:type="dxa" w:w="70"/>
              <w:left w:type="dxa" w:w="90"/>
              <w:bottom w:type="dxa" w:w="70"/>
              <w:right w:type="dxa" w:w="90"/>
            </w:tcMar>
          </w:tcPr>
          <w:p>
            <w:r>
              <w:rPr>
                <w:b w:val="false"/>
                <w:bCs w:val="false"/>
                <w:color w:val="10242F"/>
                <w:sz w:val="18"/>
                <w:szCs w:val="18"/>
              </w:rPr>
              <w:t xml:space="preserve">Barkédji / Lougré Thiolly, Linguère, Sénégal</w:t>
            </w:r>
          </w:p>
        </w:tc>
        <w:tc>
          <w:tcPr>
            <w:tcW w:type="dxa" w:w="1700"/>
            <w:tcMar>
              <w:top w:type="dxa" w:w="70"/>
              <w:left w:type="dxa" w:w="90"/>
              <w:bottom w:type="dxa" w:w="70"/>
              <w:right w:type="dxa" w:w="90"/>
            </w:tcMar>
          </w:tcPr>
          <w:p>
            <w:r>
              <w:rPr>
                <w:b w:val="false"/>
                <w:bCs w:val="false"/>
                <w:color w:val="10242F"/>
                <w:sz w:val="18"/>
                <w:szCs w:val="18"/>
              </w:rPr>
              <w:t xml:space="preserve">AFDS</w:t>
            </w:r>
          </w:p>
        </w:tc>
      </w:tr>
      <w:tr>
        <w:tc>
          <w:tcPr>
            <w:tcW w:type="dxa" w:w="1500"/>
            <w:tcMar>
              <w:top w:type="dxa" w:w="70"/>
              <w:left w:type="dxa" w:w="90"/>
              <w:bottom w:type="dxa" w:w="70"/>
              <w:right w:type="dxa" w:w="90"/>
            </w:tcMar>
          </w:tcPr>
          <w:p>
            <w:r>
              <w:rPr>
                <w:b w:val="false"/>
                <w:bCs w:val="false"/>
                <w:color w:val="10242F"/>
                <w:sz w:val="18"/>
                <w:szCs w:val="18"/>
              </w:rPr>
              <w:t xml:space="preserve">2012 – 2015</w:t>
            </w:r>
          </w:p>
        </w:tc>
        <w:tc>
          <w:tcPr>
            <w:tcW w:type="dxa" w:w="4750"/>
            <w:tcMar>
              <w:top w:type="dxa" w:w="70"/>
              <w:left w:type="dxa" w:w="90"/>
              <w:bottom w:type="dxa" w:w="70"/>
              <w:right w:type="dxa" w:w="90"/>
            </w:tcMar>
          </w:tcPr>
          <w:p>
            <w:r>
              <w:rPr>
                <w:b w:val="false"/>
                <w:bCs w:val="false"/>
                <w:color w:val="10242F"/>
                <w:sz w:val="18"/>
                <w:szCs w:val="18"/>
              </w:rPr>
              <w:t xml:space="preserve">Point focal Changements climatiques ; élaboration du Plan Climat Territorial Intégré</w:t>
            </w:r>
          </w:p>
        </w:tc>
        <w:tc>
          <w:tcPr>
            <w:tcW w:type="dxa" w:w="1400"/>
            <w:tcMar>
              <w:top w:type="dxa" w:w="70"/>
              <w:left w:type="dxa" w:w="90"/>
              <w:bottom w:type="dxa" w:w="70"/>
              <w:right w:type="dxa" w:w="90"/>
            </w:tcMar>
          </w:tcPr>
          <w:p>
            <w:r>
              <w:rPr>
                <w:b w:val="false"/>
                <w:bCs w:val="false"/>
                <w:color w:val="10242F"/>
                <w:sz w:val="18"/>
                <w:szCs w:val="18"/>
              </w:rPr>
              <w:t xml:space="preserve">Région de Saint-Louis, Sénégal</w:t>
            </w:r>
          </w:p>
        </w:tc>
        <w:tc>
          <w:tcPr>
            <w:tcW w:type="dxa" w:w="1700"/>
            <w:tcMar>
              <w:top w:type="dxa" w:w="70"/>
              <w:left w:type="dxa" w:w="90"/>
              <w:bottom w:type="dxa" w:w="70"/>
              <w:right w:type="dxa" w:w="90"/>
            </w:tcMar>
          </w:tcPr>
          <w:p>
            <w:r>
              <w:rPr>
                <w:b w:val="false"/>
                <w:bCs w:val="false"/>
                <w:color w:val="10242F"/>
                <w:sz w:val="18"/>
                <w:szCs w:val="18"/>
              </w:rPr>
              <w:t xml:space="preserve">TACC / PNUD</w:t>
            </w:r>
          </w:p>
        </w:tc>
      </w:tr>
      <w:tr>
        <w:tc>
          <w:tcPr>
            <w:tcW w:type="dxa" w:w="1500"/>
            <w:tcMar>
              <w:top w:type="dxa" w:w="70"/>
              <w:left w:type="dxa" w:w="90"/>
              <w:bottom w:type="dxa" w:w="70"/>
              <w:right w:type="dxa" w:w="90"/>
            </w:tcMar>
          </w:tcPr>
          <w:p>
            <w:r>
              <w:rPr>
                <w:b w:val="false"/>
                <w:bCs w:val="false"/>
                <w:color w:val="10242F"/>
                <w:sz w:val="18"/>
                <w:szCs w:val="18"/>
              </w:rPr>
              <w:t xml:space="preserve">Déc. 2014</w:t>
            </w:r>
          </w:p>
        </w:tc>
        <w:tc>
          <w:tcPr>
            <w:tcW w:type="dxa" w:w="4750"/>
            <w:tcMar>
              <w:top w:type="dxa" w:w="70"/>
              <w:left w:type="dxa" w:w="90"/>
              <w:bottom w:type="dxa" w:w="70"/>
              <w:right w:type="dxa" w:w="90"/>
            </w:tcMar>
          </w:tcPr>
          <w:p>
            <w:r>
              <w:rPr>
                <w:b w:val="false"/>
                <w:bCs w:val="false"/>
                <w:color w:val="10242F"/>
                <w:sz w:val="18"/>
                <w:szCs w:val="18"/>
              </w:rPr>
              <w:t xml:space="preserve">Formateur de 39 membres de comités d'usagers d'ouvrages hydrauliques sur la gestion environnementale</w:t>
            </w:r>
          </w:p>
        </w:tc>
        <w:tc>
          <w:tcPr>
            <w:tcW w:type="dxa" w:w="1400"/>
            <w:tcMar>
              <w:top w:type="dxa" w:w="70"/>
              <w:left w:type="dxa" w:w="90"/>
              <w:bottom w:type="dxa" w:w="70"/>
              <w:right w:type="dxa" w:w="90"/>
            </w:tcMar>
          </w:tcPr>
          <w:p>
            <w:r>
              <w:rPr>
                <w:b w:val="false"/>
                <w:bCs w:val="false"/>
                <w:color w:val="10242F"/>
                <w:sz w:val="18"/>
                <w:szCs w:val="18"/>
              </w:rPr>
              <w:t xml:space="preserve">Matam, Podor, Dagana, Sénégal</w:t>
            </w:r>
          </w:p>
        </w:tc>
        <w:tc>
          <w:tcPr>
            <w:tcW w:type="dxa" w:w="1700"/>
            <w:tcMar>
              <w:top w:type="dxa" w:w="70"/>
              <w:left w:type="dxa" w:w="90"/>
              <w:bottom w:type="dxa" w:w="70"/>
              <w:right w:type="dxa" w:w="90"/>
            </w:tcMar>
          </w:tcPr>
          <w:p>
            <w:r>
              <w:rPr>
                <w:b w:val="false"/>
                <w:bCs w:val="false"/>
                <w:color w:val="10242F"/>
                <w:sz w:val="18"/>
                <w:szCs w:val="18"/>
              </w:rPr>
              <w:t xml:space="preserve">MCA / IDEV-EDD / CIFA</w:t>
            </w:r>
          </w:p>
        </w:tc>
      </w:tr>
      <w:tr>
        <w:tc>
          <w:tcPr>
            <w:tcW w:type="dxa" w:w="1500"/>
            <w:tcMar>
              <w:top w:type="dxa" w:w="70"/>
              <w:left w:type="dxa" w:w="90"/>
              <w:bottom w:type="dxa" w:w="70"/>
              <w:right w:type="dxa" w:w="90"/>
            </w:tcMar>
          </w:tcPr>
          <w:p>
            <w:r>
              <w:rPr>
                <w:b w:val="false"/>
                <w:bCs w:val="false"/>
                <w:color w:val="10242F"/>
                <w:sz w:val="18"/>
                <w:szCs w:val="18"/>
              </w:rPr>
              <w:t xml:space="preserve">2016, 2019-2020</w:t>
            </w:r>
          </w:p>
        </w:tc>
        <w:tc>
          <w:tcPr>
            <w:tcW w:type="dxa" w:w="4750"/>
            <w:tcMar>
              <w:top w:type="dxa" w:w="70"/>
              <w:left w:type="dxa" w:w="90"/>
              <w:bottom w:type="dxa" w:w="70"/>
              <w:right w:type="dxa" w:w="90"/>
            </w:tcMar>
          </w:tcPr>
          <w:p>
            <w:r>
              <w:rPr>
                <w:b w:val="false"/>
                <w:bCs w:val="false"/>
                <w:color w:val="10242F"/>
                <w:sz w:val="18"/>
                <w:szCs w:val="18"/>
              </w:rPr>
              <w:t xml:space="preserve">Formateur / expert en préservation des ressources en eau du système du Lac de Guiers (300, puis 150 producteurs relais)</w:t>
            </w:r>
          </w:p>
        </w:tc>
        <w:tc>
          <w:tcPr>
            <w:tcW w:type="dxa" w:w="1400"/>
            <w:tcMar>
              <w:top w:type="dxa" w:w="70"/>
              <w:left w:type="dxa" w:w="90"/>
              <w:bottom w:type="dxa" w:w="70"/>
              <w:right w:type="dxa" w:w="90"/>
            </w:tcMar>
          </w:tcPr>
          <w:p>
            <w:r>
              <w:rPr>
                <w:b w:val="false"/>
                <w:bCs w:val="false"/>
                <w:color w:val="10242F"/>
                <w:sz w:val="18"/>
                <w:szCs w:val="18"/>
              </w:rPr>
              <w:t xml:space="preserve">Dagana, Saint-Louis, Louga, Sénégal</w:t>
            </w:r>
          </w:p>
        </w:tc>
        <w:tc>
          <w:tcPr>
            <w:tcW w:type="dxa" w:w="1700"/>
            <w:tcMar>
              <w:top w:type="dxa" w:w="70"/>
              <w:left w:type="dxa" w:w="90"/>
              <w:bottom w:type="dxa" w:w="70"/>
              <w:right w:type="dxa" w:w="90"/>
            </w:tcMar>
          </w:tcPr>
          <w:p>
            <w:r>
              <w:rPr>
                <w:b w:val="false"/>
                <w:bCs w:val="false"/>
                <w:color w:val="10242F"/>
                <w:sz w:val="18"/>
                <w:szCs w:val="18"/>
              </w:rPr>
              <w:t xml:space="preserve">Office du Lac de Guiers (PREFELAG)</w:t>
            </w:r>
          </w:p>
        </w:tc>
      </w:tr>
      <w:tr>
        <w:tc>
          <w:tcPr>
            <w:tcW w:type="dxa" w:w="1500"/>
            <w:tcMar>
              <w:top w:type="dxa" w:w="70"/>
              <w:left w:type="dxa" w:w="90"/>
              <w:bottom w:type="dxa" w:w="70"/>
              <w:right w:type="dxa" w:w="90"/>
            </w:tcMar>
          </w:tcPr>
          <w:p>
            <w:r>
              <w:rPr>
                <w:b w:val="false"/>
                <w:bCs w:val="false"/>
                <w:color w:val="10242F"/>
                <w:sz w:val="18"/>
                <w:szCs w:val="18"/>
              </w:rPr>
              <w:t xml:space="preserve">2016 – 2020 (multiples)</w:t>
            </w:r>
          </w:p>
        </w:tc>
        <w:tc>
          <w:tcPr>
            <w:tcW w:type="dxa" w:w="4750"/>
            <w:tcMar>
              <w:top w:type="dxa" w:w="70"/>
              <w:left w:type="dxa" w:w="90"/>
              <w:bottom w:type="dxa" w:w="70"/>
              <w:right w:type="dxa" w:w="90"/>
            </w:tcMar>
          </w:tcPr>
          <w:p>
            <w:r>
              <w:rPr>
                <w:b w:val="false"/>
                <w:bCs w:val="false"/>
                <w:color w:val="10242F"/>
                <w:sz w:val="18"/>
                <w:szCs w:val="18"/>
              </w:rPr>
              <w:t xml:space="preserve">Formateur de producteurs de riz et maraîchage dans le cadre du Projet de Gestion Intégrée des Ressources en Eau</w:t>
            </w:r>
          </w:p>
        </w:tc>
        <w:tc>
          <w:tcPr>
            <w:tcW w:type="dxa" w:w="1400"/>
            <w:tcMar>
              <w:top w:type="dxa" w:w="70"/>
              <w:left w:type="dxa" w:w="90"/>
              <w:bottom w:type="dxa" w:w="70"/>
              <w:right w:type="dxa" w:w="90"/>
            </w:tcMar>
          </w:tcPr>
          <w:p>
            <w:r>
              <w:rPr>
                <w:b w:val="false"/>
                <w:bCs w:val="false"/>
                <w:color w:val="10242F"/>
                <w:sz w:val="18"/>
                <w:szCs w:val="18"/>
              </w:rPr>
              <w:t xml:space="preserve">Matam, Dagana, Kanel, Sénégal</w:t>
            </w:r>
          </w:p>
        </w:tc>
        <w:tc>
          <w:tcPr>
            <w:tcW w:type="dxa" w:w="1700"/>
            <w:tcMar>
              <w:top w:type="dxa" w:w="70"/>
              <w:left w:type="dxa" w:w="90"/>
              <w:bottom w:type="dxa" w:w="70"/>
              <w:right w:type="dxa" w:w="90"/>
            </w:tcMar>
          </w:tcPr>
          <w:p>
            <w:r>
              <w:rPr>
                <w:b w:val="false"/>
                <w:bCs w:val="false"/>
                <w:color w:val="10242F"/>
                <w:sz w:val="18"/>
                <w:szCs w:val="18"/>
              </w:rPr>
              <w:t xml:space="preserve">SAED / PGIRE / Banque mondiale</w:t>
            </w:r>
          </w:p>
        </w:tc>
      </w:tr>
      <w:tr>
        <w:tc>
          <w:tcPr>
            <w:tcW w:type="dxa" w:w="1500"/>
            <w:tcMar>
              <w:top w:type="dxa" w:w="70"/>
              <w:left w:type="dxa" w:w="90"/>
              <w:bottom w:type="dxa" w:w="70"/>
              <w:right w:type="dxa" w:w="90"/>
            </w:tcMar>
          </w:tcPr>
          <w:p>
            <w:r>
              <w:rPr>
                <w:b w:val="false"/>
                <w:bCs w:val="false"/>
                <w:color w:val="10242F"/>
                <w:sz w:val="18"/>
                <w:szCs w:val="18"/>
              </w:rPr>
              <w:t xml:space="preserve">Fév. – mars 2011</w:t>
            </w:r>
          </w:p>
        </w:tc>
        <w:tc>
          <w:tcPr>
            <w:tcW w:type="dxa" w:w="4750"/>
            <w:tcMar>
              <w:top w:type="dxa" w:w="70"/>
              <w:left w:type="dxa" w:w="90"/>
              <w:bottom w:type="dxa" w:w="70"/>
              <w:right w:type="dxa" w:w="90"/>
            </w:tcMar>
          </w:tcPr>
          <w:p>
            <w:r>
              <w:rPr>
                <w:b w:val="false"/>
                <w:bCs w:val="false"/>
                <w:color w:val="10242F"/>
                <w:sz w:val="18"/>
                <w:szCs w:val="18"/>
              </w:rPr>
              <w:t xml:space="preserve">Formateur principal de 300 femmes des groupements de promotion féminine en production maraîchère</w:t>
            </w:r>
          </w:p>
        </w:tc>
        <w:tc>
          <w:tcPr>
            <w:tcW w:type="dxa" w:w="1400"/>
            <w:tcMar>
              <w:top w:type="dxa" w:w="70"/>
              <w:left w:type="dxa" w:w="90"/>
              <w:bottom w:type="dxa" w:w="70"/>
              <w:right w:type="dxa" w:w="90"/>
            </w:tcMar>
          </w:tcPr>
          <w:p>
            <w:r>
              <w:rPr>
                <w:b w:val="false"/>
                <w:bCs w:val="false"/>
                <w:color w:val="10242F"/>
                <w:sz w:val="18"/>
                <w:szCs w:val="18"/>
              </w:rPr>
              <w:t xml:space="preserve">Gandon, Saint-Louis, Sénégal</w:t>
            </w:r>
          </w:p>
        </w:tc>
        <w:tc>
          <w:tcPr>
            <w:tcW w:type="dxa" w:w="1700"/>
            <w:tcMar>
              <w:top w:type="dxa" w:w="70"/>
              <w:left w:type="dxa" w:w="90"/>
              <w:bottom w:type="dxa" w:w="70"/>
              <w:right w:type="dxa" w:w="90"/>
            </w:tcMar>
          </w:tcPr>
          <w:p>
            <w:r>
              <w:rPr>
                <w:b w:val="false"/>
                <w:bCs w:val="false"/>
                <w:color w:val="10242F"/>
                <w:sz w:val="18"/>
                <w:szCs w:val="18"/>
              </w:rPr>
              <w:t xml:space="preserve">FAO / Caritas Saint-Louis</w:t>
            </w:r>
          </w:p>
        </w:tc>
      </w:tr>
      <w:tr>
        <w:tc>
          <w:tcPr>
            <w:tcW w:type="dxa" w:w="1500"/>
            <w:tcMar>
              <w:top w:type="dxa" w:w="70"/>
              <w:left w:type="dxa" w:w="90"/>
              <w:bottom w:type="dxa" w:w="70"/>
              <w:right w:type="dxa" w:w="90"/>
            </w:tcMar>
          </w:tcPr>
          <w:p>
            <w:r>
              <w:rPr>
                <w:b w:val="false"/>
                <w:bCs w:val="false"/>
                <w:color w:val="10242F"/>
                <w:sz w:val="18"/>
                <w:szCs w:val="18"/>
              </w:rPr>
              <w:t xml:space="preserve">Fév. 2021</w:t>
            </w:r>
          </w:p>
        </w:tc>
        <w:tc>
          <w:tcPr>
            <w:tcW w:type="dxa" w:w="4750"/>
            <w:tcMar>
              <w:top w:type="dxa" w:w="70"/>
              <w:left w:type="dxa" w:w="90"/>
              <w:bottom w:type="dxa" w:w="70"/>
              <w:right w:type="dxa" w:w="90"/>
            </w:tcMar>
          </w:tcPr>
          <w:p>
            <w:r>
              <w:rPr>
                <w:b w:val="false"/>
                <w:bCs w:val="false"/>
                <w:color w:val="10242F"/>
                <w:sz w:val="18"/>
                <w:szCs w:val="18"/>
              </w:rPr>
              <w:t xml:space="preserve">Formateur sur la gestion durable et équitable de l'eau pour des Organisations de Producteurs Agricoles</w:t>
            </w:r>
          </w:p>
        </w:tc>
        <w:tc>
          <w:tcPr>
            <w:tcW w:type="dxa" w:w="1400"/>
            <w:tcMar>
              <w:top w:type="dxa" w:w="70"/>
              <w:left w:type="dxa" w:w="90"/>
              <w:bottom w:type="dxa" w:w="70"/>
              <w:right w:type="dxa" w:w="90"/>
            </w:tcMar>
          </w:tcPr>
          <w:p>
            <w:r>
              <w:rPr>
                <w:b w:val="false"/>
                <w:bCs w:val="false"/>
                <w:color w:val="10242F"/>
                <w:sz w:val="18"/>
                <w:szCs w:val="18"/>
              </w:rPr>
              <w:t xml:space="preserve">Sédhiou, Kolda, Tambacounda, Sénégal</w:t>
            </w:r>
          </w:p>
        </w:tc>
        <w:tc>
          <w:tcPr>
            <w:tcW w:type="dxa" w:w="1700"/>
            <w:tcMar>
              <w:top w:type="dxa" w:w="70"/>
              <w:left w:type="dxa" w:w="90"/>
              <w:bottom w:type="dxa" w:w="70"/>
              <w:right w:type="dxa" w:w="90"/>
            </w:tcMar>
          </w:tcPr>
          <w:p>
            <w:r>
              <w:rPr>
                <w:b w:val="false"/>
                <w:bCs w:val="false"/>
                <w:color w:val="10242F"/>
                <w:sz w:val="18"/>
                <w:szCs w:val="18"/>
              </w:rPr>
              <w:t xml:space="preserve">Consortium CECI-SOCODEVI</w:t>
            </w:r>
          </w:p>
        </w:tc>
      </w:tr>
      <w:tr>
        <w:tc>
          <w:tcPr>
            <w:tcW w:type="dxa" w:w="1500"/>
            <w:tcMar>
              <w:top w:type="dxa" w:w="70"/>
              <w:left w:type="dxa" w:w="90"/>
              <w:bottom w:type="dxa" w:w="70"/>
              <w:right w:type="dxa" w:w="90"/>
            </w:tcMar>
          </w:tcPr>
          <w:p>
            <w:r>
              <w:rPr>
                <w:b w:val="false"/>
                <w:bCs w:val="false"/>
                <w:color w:val="10242F"/>
                <w:sz w:val="18"/>
                <w:szCs w:val="18"/>
              </w:rPr>
              <w:t xml:space="preserve">2020 (multiples)</w:t>
            </w:r>
          </w:p>
        </w:tc>
        <w:tc>
          <w:tcPr>
            <w:tcW w:type="dxa" w:w="4750"/>
            <w:tcMar>
              <w:top w:type="dxa" w:w="70"/>
              <w:left w:type="dxa" w:w="90"/>
              <w:bottom w:type="dxa" w:w="70"/>
              <w:right w:type="dxa" w:w="90"/>
            </w:tcMar>
          </w:tcPr>
          <w:p>
            <w:r>
              <w:rPr>
                <w:b w:val="false"/>
                <w:bCs w:val="false"/>
                <w:color w:val="10242F"/>
                <w:sz w:val="18"/>
                <w:szCs w:val="18"/>
              </w:rPr>
              <w:t xml:space="preserve">Diagnostic et formation organisationnelle de Groupements de Promotion Féminine et d'unions de jeunes agriculteurs</w:t>
            </w:r>
          </w:p>
        </w:tc>
        <w:tc>
          <w:tcPr>
            <w:tcW w:type="dxa" w:w="1400"/>
            <w:tcMar>
              <w:top w:type="dxa" w:w="70"/>
              <w:left w:type="dxa" w:w="90"/>
              <w:bottom w:type="dxa" w:w="70"/>
              <w:right w:type="dxa" w:w="90"/>
            </w:tcMar>
          </w:tcPr>
          <w:p>
            <w:r>
              <w:rPr>
                <w:b w:val="false"/>
                <w:bCs w:val="false"/>
                <w:color w:val="10242F"/>
                <w:sz w:val="18"/>
                <w:szCs w:val="18"/>
              </w:rPr>
              <w:t xml:space="preserve">Podor, Sénégal</w:t>
            </w:r>
          </w:p>
        </w:tc>
        <w:tc>
          <w:tcPr>
            <w:tcW w:type="dxa" w:w="1700"/>
            <w:tcMar>
              <w:top w:type="dxa" w:w="70"/>
              <w:left w:type="dxa" w:w="90"/>
              <w:bottom w:type="dxa" w:w="70"/>
              <w:right w:type="dxa" w:w="90"/>
            </w:tcMar>
          </w:tcPr>
          <w:p>
            <w:r>
              <w:rPr>
                <w:b w:val="false"/>
                <w:bCs w:val="false"/>
                <w:color w:val="10242F"/>
                <w:sz w:val="18"/>
                <w:szCs w:val="18"/>
              </w:rPr>
              <w:t xml:space="preserve">UJAK / CERAI</w:t>
            </w:r>
          </w:p>
        </w:tc>
      </w:tr>
      <w:tr>
        <w:tc>
          <w:tcPr>
            <w:tcW w:type="dxa" w:w="1500"/>
            <w:tcMar>
              <w:top w:type="dxa" w:w="70"/>
              <w:left w:type="dxa" w:w="90"/>
              <w:bottom w:type="dxa" w:w="70"/>
              <w:right w:type="dxa" w:w="90"/>
            </w:tcMar>
          </w:tcPr>
          <w:p>
            <w:r>
              <w:rPr>
                <w:b w:val="false"/>
                <w:bCs w:val="false"/>
                <w:color w:val="10242F"/>
                <w:sz w:val="18"/>
                <w:szCs w:val="18"/>
              </w:rPr>
              <w:t xml:space="preserve">Nov. – déc. 2022</w:t>
            </w:r>
          </w:p>
        </w:tc>
        <w:tc>
          <w:tcPr>
            <w:tcW w:type="dxa" w:w="4750"/>
            <w:tcMar>
              <w:top w:type="dxa" w:w="70"/>
              <w:left w:type="dxa" w:w="90"/>
              <w:bottom w:type="dxa" w:w="70"/>
              <w:right w:type="dxa" w:w="90"/>
            </w:tcMar>
          </w:tcPr>
          <w:p>
            <w:r>
              <w:rPr>
                <w:b w:val="false"/>
                <w:bCs w:val="false"/>
                <w:color w:val="10242F"/>
                <w:sz w:val="18"/>
                <w:szCs w:val="18"/>
              </w:rPr>
              <w:t xml:space="preserve">Mission de diagnostic des filières semencières dans les pays membres de l'OMVS (Guinée, Mali, Mauritanie, Sénégal)</w:t>
            </w:r>
          </w:p>
        </w:tc>
        <w:tc>
          <w:tcPr>
            <w:tcW w:type="dxa" w:w="1400"/>
            <w:tcMar>
              <w:top w:type="dxa" w:w="70"/>
              <w:left w:type="dxa" w:w="90"/>
              <w:bottom w:type="dxa" w:w="70"/>
              <w:right w:type="dxa" w:w="90"/>
            </w:tcMar>
          </w:tcPr>
          <w:p>
            <w:r>
              <w:rPr>
                <w:b w:val="false"/>
                <w:bCs w:val="false"/>
                <w:color w:val="10242F"/>
                <w:sz w:val="18"/>
                <w:szCs w:val="18"/>
              </w:rPr>
              <w:t xml:space="preserve">OMVS (incl. Mauritanie)</w:t>
            </w:r>
          </w:p>
        </w:tc>
        <w:tc>
          <w:tcPr>
            <w:tcW w:type="dxa" w:w="1700"/>
            <w:tcMar>
              <w:top w:type="dxa" w:w="70"/>
              <w:left w:type="dxa" w:w="90"/>
              <w:bottom w:type="dxa" w:w="70"/>
              <w:right w:type="dxa" w:w="90"/>
            </w:tcMar>
          </w:tcPr>
          <w:p>
            <w:r>
              <w:rPr>
                <w:b w:val="false"/>
                <w:bCs w:val="false"/>
                <w:color w:val="10242F"/>
                <w:sz w:val="18"/>
                <w:szCs w:val="18"/>
              </w:rPr>
              <w:t xml:space="preserve">Coopération italienne</w:t>
            </w:r>
          </w:p>
        </w:tc>
      </w:tr>
    </w:tbl>
    <w:p>
      <w:pPr>
        <w:pBdr>
          <w:bottom w:val="single" w:color="DDDDDD" w:sz="4" w:space="4"/>
        </w:pBdr>
        <w:spacing w:after="140" w:before="240"/>
      </w:pPr>
      <w:r>
        <w:rPr>
          <w:b/>
          <w:bCs/>
          <w:color w:val="0E7C4A"/>
          <w:sz w:val="24"/>
          <w:szCs w:val="24"/>
        </w:rPr>
        <w:t xml:space="preserve">VI. Personnes de référence</w:t>
      </w:r>
    </w:p>
    <w:p>
      <w:pPr>
        <w:spacing w:after="80"/>
        <w:jc w:val="both"/>
      </w:pPr>
      <w:r>
        <w:rPr>
          <w:b/>
          <w:bCs/>
        </w:rPr>
        <w:t xml:space="preserve">M. El Hadji SENE — </w:t>
      </w:r>
      <w:r>
        <w:t xml:space="preserve">Ingénieur Agronome, Directeur Exécutif du Centre Interprofessionnel pour la Formation aux Métiers de l'Agriculture (CIFA), Ndiaye / Saint-Louis — Tél. : 77 333 52 82 — elhadjisene@hotmail.com</w:t>
      </w:r>
    </w:p>
    <w:p>
      <w:pPr>
        <w:spacing w:after="80"/>
        <w:jc w:val="both"/>
      </w:pPr>
      <w:r>
        <w:rPr>
          <w:b/>
          <w:bCs/>
        </w:rPr>
        <w:t xml:space="preserve">M. Hamadou BALDE — </w:t>
      </w:r>
      <w:r>
        <w:t xml:space="preserve">Ingénieur Agronome, Directeur Régional du Développement Rural de Saint-Louis — Tél. : 77 374 24 90 — oubalde@yahoo.fr</w:t>
      </w:r>
    </w:p>
    <w:p>
      <w:pPr>
        <w:spacing w:after="80"/>
        <w:jc w:val="both"/>
      </w:pPr>
      <w:r>
        <w:rPr>
          <w:b/>
          <w:bCs/>
        </w:rPr>
        <w:t xml:space="preserve">Dr Cheikh Tidiane WADE — </w:t>
      </w:r>
      <w:r>
        <w:t xml:space="preserve">Professeur de Géographie, Spécialiste en Changement Climatique, Université Assane Seck de Ziguinchor — Tél. : 77 503 13 27 — cheikhwad@gmail.com</w:t>
      </w:r>
    </w:p>
    <w:p>
      <w:pPr>
        <w:spacing w:after="200"/>
      </w:pPr>
    </w:p>
    <w:p>
      <w:pPr>
        <w:pBdr>
          <w:top w:val="single" w:color="CCCCCC" w:sz="4" w:space="8"/>
        </w:pBdr>
        <w:spacing w:before="200"/>
        <w:jc w:val="both"/>
      </w:pPr>
      <w:r>
        <w:rPr>
          <w:i/>
          <w:iCs/>
          <w:color w:val="C0392B"/>
        </w:rPr>
        <w:t xml:space="preserve">CV condensé établi à partir du CV complet fourni par M. Diop (certifié sur l'honneur, Saint-Louis, le 06/09/2024). L'intitulé du poste proposé reste à valider avant intégration au dossier de manifestation d'intérêt du groupement Agro Eco Consulting / AGROELITE-SUARL.</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2026-09-18T00:18:33.606Z</dcterms:created>
  <dcterms:modified xsi:type="dcterms:W3CDTF">2026-09-18T00:18:33.606Z</dcterms:modified>
</cp:coreProperties>
</file>

<file path=docProps/custom.xml><?xml version="1.0" encoding="utf-8"?>
<Properties xmlns="http://schemas.openxmlformats.org/officeDocument/2006/custom-properties" xmlns:vt="http://schemas.openxmlformats.org/officeDocument/2006/docPropsVTypes"/>
</file>