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0A4F33"/>
          <w:sz w:val="30"/>
          <w:szCs w:val="30"/>
        </w:rPr>
        <w:t xml:space="preserve">CURRICULUM VITAE</w:t>
      </w:r>
    </w:p>
    <w:p>
      <w:pPr>
        <w:spacing w:after="200"/>
      </w:pPr>
      <w:r>
        <w:rPr>
          <w:i/>
          <w:iCs/>
          <w:color w:val="5A6B75"/>
          <w:sz w:val="18"/>
          <w:szCs w:val="18"/>
        </w:rPr>
        <w:t xml:space="preserve">Format récapitulatif — dossier de manifestation d'intérêt AMI N°03/CPMP/PROGRES/2026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8F6F0" w:val="clear"/>
            <w:tcMar>
              <w:top w:type="dxa" w:w="70"/>
              <w:left w:type="dxa" w:w="90"/>
              <w:bottom w:type="dxa" w:w="70"/>
              <w:right w:type="dxa" w:w="90"/>
            </w:tcMar>
          </w:tcPr>
          <w:p>
            <w:r>
              <w:rPr>
                <w:b w:val="false"/>
                <w:bCs w:val="false"/>
                <w:color w:val="10242F"/>
                <w:sz w:val="19"/>
                <w:szCs w:val="19"/>
              </w:rPr>
              <w:t xml:space="preserve">Nom et prénom</w:t>
            </w:r>
          </w:p>
        </w:tc>
        <w:tc>
          <w:tcPr>
            <w:tcW w:type="dxa" w:w="6900"/>
            <w:tcMar>
              <w:top w:type="dxa" w:w="70"/>
              <w:left w:type="dxa" w:w="90"/>
              <w:bottom w:type="dxa" w:w="70"/>
              <w:right w:type="dxa" w:w="90"/>
            </w:tcMar>
          </w:tcPr>
          <w:p>
            <w:r>
              <w:rPr>
                <w:b/>
                <w:bCs/>
              </w:rPr>
              <w:t xml:space="preserve">GAYE Mamadou</w:t>
            </w:r>
          </w:p>
        </w:tc>
      </w:tr>
      <w:tr>
        <w:tc>
          <w:tcPr>
            <w:tcW w:type="dxa" w:w="2600"/>
            <w:shd w:fill="F8F6F0" w:val="clear"/>
            <w:tcMar>
              <w:top w:type="dxa" w:w="70"/>
              <w:left w:type="dxa" w:w="90"/>
              <w:bottom w:type="dxa" w:w="70"/>
              <w:right w:type="dxa" w:w="90"/>
            </w:tcMar>
          </w:tcPr>
          <w:p>
            <w:r>
              <w:rPr>
                <w:b w:val="false"/>
                <w:bCs w:val="false"/>
                <w:color w:val="10242F"/>
                <w:sz w:val="19"/>
                <w:szCs w:val="19"/>
              </w:rPr>
              <w:t xml:space="preserve">Nationalité</w:t>
            </w:r>
          </w:p>
        </w:tc>
        <w:tc>
          <w:tcPr>
            <w:tcW w:type="dxa" w:w="6900"/>
            <w:tcMar>
              <w:top w:type="dxa" w:w="70"/>
              <w:left w:type="dxa" w:w="90"/>
              <w:bottom w:type="dxa" w:w="70"/>
              <w:right w:type="dxa" w:w="90"/>
            </w:tcMar>
          </w:tcPr>
          <w:p>
            <w:r>
              <w:rPr>
                <w:b w:val="false"/>
                <w:bCs w:val="false"/>
                <w:color w:val="10242F"/>
                <w:sz w:val="19"/>
                <w:szCs w:val="19"/>
              </w:rPr>
              <w:t xml:space="preserve">Sénégalaise</w:t>
            </w:r>
          </w:p>
        </w:tc>
      </w:tr>
      <w:tr>
        <w:tc>
          <w:tcPr>
            <w:tcW w:type="dxa" w:w="2600"/>
            <w:shd w:fill="F8F6F0" w:val="clear"/>
            <w:tcMar>
              <w:top w:type="dxa" w:w="70"/>
              <w:left w:type="dxa" w:w="90"/>
              <w:bottom w:type="dxa" w:w="70"/>
              <w:right w:type="dxa" w:w="90"/>
            </w:tcMar>
          </w:tcPr>
          <w:p>
            <w:r>
              <w:rPr>
                <w:b w:val="false"/>
                <w:bCs w:val="false"/>
                <w:color w:val="10242F"/>
                <w:sz w:val="19"/>
                <w:szCs w:val="19"/>
              </w:rPr>
              <w:t xml:space="preserve">Cabinet / structure</w:t>
            </w:r>
          </w:p>
        </w:tc>
        <w:tc>
          <w:tcPr>
            <w:tcW w:type="dxa" w:w="6900"/>
            <w:tcMar>
              <w:top w:type="dxa" w:w="70"/>
              <w:left w:type="dxa" w:w="90"/>
              <w:bottom w:type="dxa" w:w="70"/>
              <w:right w:type="dxa" w:w="90"/>
            </w:tcMar>
          </w:tcPr>
          <w:p>
            <w:r>
              <w:rPr>
                <w:b w:val="false"/>
                <w:bCs w:val="false"/>
                <w:color w:val="10242F"/>
                <w:sz w:val="19"/>
                <w:szCs w:val="19"/>
              </w:rPr>
              <w:t xml:space="preserve">Agro Eco Consulting</w:t>
            </w:r>
          </w:p>
        </w:tc>
      </w:tr>
      <w:tr>
        <w:tc>
          <w:tcPr>
            <w:tcW w:type="dxa" w:w="2600"/>
            <w:shd w:fill="F8F6F0" w:val="clear"/>
            <w:tcMar>
              <w:top w:type="dxa" w:w="70"/>
              <w:left w:type="dxa" w:w="90"/>
              <w:bottom w:type="dxa" w:w="70"/>
              <w:right w:type="dxa" w:w="90"/>
            </w:tcMar>
          </w:tcPr>
          <w:p>
            <w:r>
              <w:rPr>
                <w:b w:val="false"/>
                <w:bCs w:val="false"/>
                <w:color w:val="10242F"/>
                <w:sz w:val="19"/>
                <w:szCs w:val="19"/>
              </w:rPr>
              <w:t xml:space="preserve">Poste proposé pour la mission</w:t>
            </w:r>
          </w:p>
        </w:tc>
        <w:tc>
          <w:tcPr>
            <w:tcW w:type="dxa" w:w="6900"/>
            <w:tcMar>
              <w:top w:type="dxa" w:w="70"/>
              <w:left w:type="dxa" w:w="90"/>
              <w:bottom w:type="dxa" w:w="70"/>
              <w:right w:type="dxa" w:w="90"/>
            </w:tcMar>
          </w:tcPr>
          <w:p>
            <w:r>
              <w:rPr>
                <w:i/>
                <w:iCs/>
                <w:color w:val="C0392B"/>
              </w:rPr>
              <w:t xml:space="preserve">Chef de mission / Expert principal – Formation, gestion des ressources naturelles et appui aux infrastructures communautaires [intitulé à valider]</w:t>
            </w:r>
          </w:p>
        </w:tc>
      </w:tr>
      <w:tr>
        <w:tc>
          <w:tcPr>
            <w:tcW w:type="dxa" w:w="2600"/>
            <w:shd w:fill="F8F6F0" w:val="clear"/>
            <w:tcMar>
              <w:top w:type="dxa" w:w="70"/>
              <w:left w:type="dxa" w:w="90"/>
              <w:bottom w:type="dxa" w:w="70"/>
              <w:right w:type="dxa" w:w="90"/>
            </w:tcMar>
          </w:tcPr>
          <w:p>
            <w:r>
              <w:rPr>
                <w:b w:val="false"/>
                <w:bCs w:val="false"/>
                <w:color w:val="10242F"/>
                <w:sz w:val="19"/>
                <w:szCs w:val="19"/>
              </w:rPr>
              <w:t xml:space="preserve">Expérience professionnelle</w:t>
            </w:r>
          </w:p>
        </w:tc>
        <w:tc>
          <w:tcPr>
            <w:tcW w:type="dxa" w:w="6900"/>
            <w:tcMar>
              <w:top w:type="dxa" w:w="70"/>
              <w:left w:type="dxa" w:w="90"/>
              <w:bottom w:type="dxa" w:w="70"/>
              <w:right w:type="dxa" w:w="90"/>
            </w:tcMar>
          </w:tcPr>
          <w:p>
            <w:r>
              <w:rPr>
                <w:b w:val="false"/>
                <w:bCs w:val="false"/>
                <w:color w:val="10242F"/>
                <w:sz w:val="19"/>
                <w:szCs w:val="19"/>
              </w:rPr>
              <w:t xml:space="preserve">Plus de 25 ans (1999 – en cours)</w:t>
            </w:r>
          </w:p>
        </w:tc>
      </w:tr>
      <w:tr>
        <w:tc>
          <w:tcPr>
            <w:tcW w:type="dxa" w:w="2600"/>
            <w:shd w:fill="F8F6F0" w:val="clear"/>
            <w:tcMar>
              <w:top w:type="dxa" w:w="70"/>
              <w:left w:type="dxa" w:w="90"/>
              <w:bottom w:type="dxa" w:w="70"/>
              <w:right w:type="dxa" w:w="90"/>
            </w:tcMar>
          </w:tcPr>
          <w:p>
            <w:r>
              <w:rPr>
                <w:b w:val="false"/>
                <w:bCs w:val="false"/>
                <w:color w:val="10242F"/>
                <w:sz w:val="19"/>
                <w:szCs w:val="19"/>
              </w:rPr>
              <w:t xml:space="preserve">Langues</w:t>
            </w:r>
          </w:p>
        </w:tc>
        <w:tc>
          <w:tcPr>
            <w:tcW w:type="dxa" w:w="6900"/>
            <w:tcMar>
              <w:top w:type="dxa" w:w="70"/>
              <w:left w:type="dxa" w:w="90"/>
              <w:bottom w:type="dxa" w:w="70"/>
              <w:right w:type="dxa" w:w="90"/>
            </w:tcMar>
          </w:tcPr>
          <w:p>
            <w:r>
              <w:rPr>
                <w:b w:val="false"/>
                <w:bCs w:val="false"/>
                <w:color w:val="10242F"/>
                <w:sz w:val="19"/>
                <w:szCs w:val="19"/>
              </w:rPr>
              <w:t xml:space="preserve">Wolof (maternelle), Français (C1/C2), Anglais (B1)</w:t>
            </w:r>
          </w:p>
        </w:tc>
      </w:tr>
    </w:tbl>
    <w:p>
      <w:pPr>
        <w:pBdr>
          <w:bottom w:val="single" w:color="DDDDDD" w:sz="4" w:space="4"/>
        </w:pBdr>
        <w:spacing w:after="140" w:before="240"/>
      </w:pPr>
      <w:r>
        <w:rPr>
          <w:b/>
          <w:bCs/>
          <w:color w:val="0E7C4A"/>
          <w:sz w:val="24"/>
          <w:szCs w:val="24"/>
        </w:rPr>
        <w:t xml:space="preserve">I. Résumé des qualifications clés</w:t>
      </w:r>
    </w:p>
    <w:p>
      <w:pPr>
        <w:pStyle w:val="ListParagraph"/>
        <w:numPr>
          <w:ilvl w:val="0"/>
          <w:numId w:val="2"/>
        </w:numPr>
        <w:spacing w:after="80"/>
        <w:jc w:val="both"/>
      </w:pPr>
      <w:r>
        <w:t xml:space="preserve">Ingénieur des Eaux et Forêts, plus de 25 ans d'expérience dans la gestion durable des ressources naturelles (eaux, sols, forêts) au sein de l'administration sénégalaise de l'environnement.</w:t>
      </w:r>
    </w:p>
    <w:p>
      <w:pPr>
        <w:pStyle w:val="ListParagraph"/>
        <w:numPr>
          <w:ilvl w:val="0"/>
          <w:numId w:val="2"/>
        </w:numPr>
        <w:spacing w:after="80"/>
        <w:jc w:val="both"/>
      </w:pPr>
      <w:r>
        <w:t xml:space="preserve">Expérience directe en infrastructures rurales communautaires, comme assistant au responsable suivi-évaluation du Programme National d'Infrastructures Rurales (PNIR, 2003-2005).</w:t>
      </w:r>
    </w:p>
    <w:p>
      <w:pPr>
        <w:pStyle w:val="ListParagraph"/>
        <w:numPr>
          <w:ilvl w:val="0"/>
          <w:numId w:val="2"/>
        </w:numPr>
        <w:spacing w:after="80"/>
        <w:jc w:val="both"/>
      </w:pPr>
      <w:r>
        <w:t xml:space="preserve">Longue pratique de la conception et de l'animation de formations pour des producteurs, exploitants forestiers, agents de terrain et gestionnaires d'aires protégées, au Sénégal et en Guinée-Bissau (cartographie, inventaire forestier, changements climatiques, polluants organiques persistants).</w:t>
      </w:r>
    </w:p>
    <w:p>
      <w:pPr>
        <w:pStyle w:val="ListParagraph"/>
        <w:numPr>
          <w:ilvl w:val="0"/>
          <w:numId w:val="2"/>
        </w:numPr>
        <w:spacing w:after="80"/>
        <w:jc w:val="both"/>
      </w:pPr>
      <w:r>
        <w:t xml:space="preserve">Compétences en systèmes d'information géographique et télédétection (ArcGIS Desktop, ENVI), mobilisées notamment pour la formation SIG des gestionnaires d'aires protégées d'IBAP (Guinée-Bissau).</w:t>
      </w:r>
    </w:p>
    <w:p>
      <w:pPr>
        <w:pStyle w:val="ListParagraph"/>
        <w:numPr>
          <w:ilvl w:val="0"/>
          <w:numId w:val="2"/>
        </w:numPr>
        <w:spacing w:after="80"/>
        <w:jc w:val="both"/>
      </w:pPr>
      <w:r>
        <w:t xml:space="preserve">Cadre supérieur de l'État sénégalais (Directeur de centre, Chef de service régional puis départemental) : gestion administrative, financière et budgétaire, coordination de partenaires et de projets.</w:t>
      </w:r>
    </w:p>
    <w:p>
      <w:pPr>
        <w:pStyle w:val="ListParagraph"/>
        <w:numPr>
          <w:ilvl w:val="0"/>
          <w:numId w:val="2"/>
        </w:numPr>
        <w:spacing w:after="80"/>
        <w:jc w:val="both"/>
      </w:pPr>
      <w:r>
        <w:t xml:space="preserve">Master 2 en droit international et européen (Université de Nantes, France) et certificats internationaux en changement climatique et REDD+ (Nations Unies).</w:t>
      </w:r>
    </w:p>
    <w:p>
      <w:pPr>
        <w:pBdr>
          <w:bottom w:val="single" w:color="DDDDDD" w:sz="4" w:space="4"/>
        </w:pBdr>
        <w:spacing w:after="140" w:before="240"/>
      </w:pPr>
      <w:r>
        <w:rPr>
          <w:b/>
          <w:bCs/>
          <w:color w:val="0E7C4A"/>
          <w:sz w:val="24"/>
          <w:szCs w:val="24"/>
        </w:rPr>
        <w:t xml:space="preserve">II. Formation</w:t>
      </w:r>
    </w:p>
    <w:p>
      <w:pPr>
        <w:spacing w:after="60"/>
      </w:pPr>
      <w:r>
        <w:rPr>
          <w:b/>
          <w:bCs/>
        </w:rPr>
        <w:t xml:space="preserve">2021 – 2022 — </w:t>
      </w:r>
      <w:r>
        <w:t xml:space="preserve">Master 2 Droit international et européen des droits fondamentaux — Université de Nantes, France</w:t>
      </w:r>
    </w:p>
    <w:p>
      <w:pPr>
        <w:spacing w:after="60"/>
      </w:pPr>
      <w:r>
        <w:rPr>
          <w:b/>
          <w:bCs/>
        </w:rPr>
        <w:t xml:space="preserve">2010 – 2013 — </w:t>
      </w:r>
      <w:r>
        <w:t xml:space="preserve">Ingénieur des Eaux et Forêts — Institut Polytechnique Rural de Formation et de Recherche Appliquée (IPR/IFRA), Mali</w:t>
      </w:r>
    </w:p>
    <w:p>
      <w:pPr>
        <w:spacing w:after="60"/>
      </w:pPr>
      <w:r>
        <w:rPr>
          <w:b/>
          <w:bCs/>
        </w:rPr>
        <w:t xml:space="preserve">1995 – 1997 — </w:t>
      </w:r>
      <w:r>
        <w:t xml:space="preserve">Ingénieur des Travaux des Eaux et Forêts — Institut supérieur de formation agricole et rurale, Université de Thiès, Sénégal</w:t>
      </w:r>
    </w:p>
    <w:p>
      <w:pPr>
        <w:spacing w:after="60"/>
      </w:pPr>
      <w:r>
        <w:rPr>
          <w:b/>
          <w:bCs/>
        </w:rPr>
        <w:t xml:space="preserve">1994 – 1997 — </w:t>
      </w:r>
      <w:r>
        <w:t xml:space="preserve">Baccalauréat série D (Sciences de la vie et de la terre) — Lycée Waldiodio Ndiaye, Kaolack, Sénégal</w:t>
      </w:r>
    </w:p>
    <w:p>
      <w:pPr>
        <w:spacing w:after="60" w:before="120"/>
      </w:pPr>
      <w:r>
        <w:rPr>
          <w:b/>
          <w:bCs/>
        </w:rPr>
        <w:t xml:space="preserve">Certifications complémentaires :</w:t>
      </w:r>
    </w:p>
    <w:p>
      <w:pPr>
        <w:pStyle w:val="ListParagraph"/>
        <w:numPr>
          <w:ilvl w:val="0"/>
          <w:numId w:val="2"/>
        </w:numPr>
        <w:spacing w:after="40"/>
      </w:pPr>
      <w:r>
        <w:t xml:space="preserve">2023 — Gestion des crises et des situations d'urgence, Galilee International Management Institute, Israël</w:t>
      </w:r>
    </w:p>
    <w:p>
      <w:pPr>
        <w:pStyle w:val="ListParagraph"/>
        <w:numPr>
          <w:ilvl w:val="0"/>
          <w:numId w:val="2"/>
        </w:numPr>
        <w:spacing w:after="40"/>
      </w:pPr>
      <w:r>
        <w:t xml:space="preserve">2020 — Certificat sur les principes fondamentaux de la REDD+, ONU Climate Change Learning Partnership</w:t>
      </w:r>
    </w:p>
    <w:p>
      <w:pPr>
        <w:pStyle w:val="ListParagraph"/>
        <w:numPr>
          <w:ilvl w:val="0"/>
          <w:numId w:val="2"/>
        </w:numPr>
        <w:spacing w:after="40"/>
      </w:pPr>
      <w:r>
        <w:t xml:space="preserve">2016 — Certificat en changement climatique, ONU Climate Change Learning Partnership</w:t>
      </w:r>
    </w:p>
    <w:p>
      <w:pPr>
        <w:pStyle w:val="ListParagraph"/>
        <w:numPr>
          <w:ilvl w:val="0"/>
          <w:numId w:val="2"/>
        </w:numPr>
        <w:spacing w:after="40"/>
      </w:pPr>
      <w:r>
        <w:t xml:space="preserve">2015 — Certificat sur les mécanismes du FEM de formulation de projets de gestion durable des forêts, Forum des Nations Unies sur les Forêts</w:t>
      </w:r>
    </w:p>
    <w:p>
      <w:pPr>
        <w:pBdr>
          <w:bottom w:val="single" w:color="DDDDDD" w:sz="4" w:space="4"/>
        </w:pBdr>
        <w:spacing w:after="140" w:before="240"/>
      </w:pPr>
      <w:r>
        <w:rPr>
          <w:b/>
          <w:bCs/>
          <w:color w:val="0E7C4A"/>
          <w:sz w:val="24"/>
          <w:szCs w:val="24"/>
        </w:rPr>
        <w:t xml:space="preserve">III. Compétences numériques</w:t>
      </w:r>
    </w:p>
    <w:p>
      <w:pPr>
        <w:spacing w:after="60"/>
      </w:pPr>
      <w:r>
        <w:t xml:space="preserve">Microsoft Office  ·  ArcGIS Desktop (ArcView) 9.3.1  ·  Télédétection : ENVI</w:t>
      </w:r>
    </w:p>
    <w:p>
      <w:pPr>
        <w:pBdr>
          <w:bottom w:val="single" w:color="DDDDDD" w:sz="4" w:space="4"/>
        </w:pBdr>
        <w:spacing w:after="140" w:before="240"/>
      </w:pPr>
      <w:r>
        <w:rPr>
          <w:b/>
          <w:bCs/>
          <w:color w:val="0E7C4A"/>
          <w:sz w:val="24"/>
          <w:szCs w:val="24"/>
        </w:rPr>
        <w:t xml:space="preserve">IV. Expérience professionnelle</w:t>
      </w:r>
    </w:p>
    <w:p>
      <w:pPr>
        <w:spacing w:after="20" w:before="160"/>
      </w:pPr>
      <w:r>
        <w:rPr>
          <w:b/>
          <w:bCs/>
          <w:sz w:val="19"/>
          <w:szCs w:val="19"/>
        </w:rPr>
        <w:t xml:space="preserve">05/07/2024 – en cours</w:t>
      </w:r>
      <w:r>
        <w:rPr>
          <w:color w:val="5A6B75"/>
          <w:sz w:val="19"/>
          <w:szCs w:val="19"/>
        </w:rPr>
        <w:t xml:space="preserve">   ·   Thiès, Sénégal</w:t>
      </w:r>
    </w:p>
    <w:p>
      <w:pPr>
        <w:spacing w:after="60"/>
      </w:pPr>
      <w:r>
        <w:rPr>
          <w:b/>
          <w:bCs/>
        </w:rPr>
        <w:t xml:space="preserve">Directeur du Centre Forestier de Recyclage de Thiès (Centre Forêt)</w:t>
      </w:r>
      <w:r>
        <w:rPr>
          <w:color w:val="5A6B75"/>
          <w:sz w:val="19"/>
          <w:szCs w:val="19"/>
        </w:rPr>
        <w:t xml:space="preserve">  —  Ministère de l'Environnement, du Développement durable et de la Transition écologique</w:t>
      </w:r>
    </w:p>
    <w:p>
      <w:pPr>
        <w:pStyle w:val="ListParagraph"/>
        <w:numPr>
          <w:ilvl w:val="0"/>
          <w:numId w:val="2"/>
        </w:numPr>
        <w:spacing w:after="30"/>
        <w:jc w:val="both"/>
      </w:pPr>
      <w:r>
        <w:t xml:space="preserve">Coordination, supervision et bon déroulement des activités du centre</w:t>
      </w:r>
    </w:p>
    <w:p>
      <w:pPr>
        <w:pStyle w:val="ListParagraph"/>
        <w:numPr>
          <w:ilvl w:val="0"/>
          <w:numId w:val="2"/>
        </w:numPr>
        <w:spacing w:after="30"/>
        <w:jc w:val="both"/>
      </w:pPr>
      <w:r>
        <w:t xml:space="preserve">Gestion administrative et financière ; élaboration et exécution du budget</w:t>
      </w:r>
    </w:p>
    <w:p>
      <w:pPr>
        <w:pStyle w:val="ListParagraph"/>
        <w:numPr>
          <w:ilvl w:val="0"/>
          <w:numId w:val="2"/>
        </w:numPr>
        <w:spacing w:after="30"/>
        <w:jc w:val="both"/>
      </w:pPr>
      <w:r>
        <w:t xml:space="preserve">Application des règles disciplinaires générales ; administration du personnel, y compris les vacataires</w:t>
      </w:r>
    </w:p>
    <w:p>
      <w:pPr>
        <w:spacing w:after="20" w:before="160"/>
      </w:pPr>
      <w:r>
        <w:rPr>
          <w:b/>
          <w:bCs/>
          <w:sz w:val="19"/>
          <w:szCs w:val="19"/>
        </w:rPr>
        <w:t xml:space="preserve">10/10/2019 – 05/06/2024</w:t>
      </w:r>
      <w:r>
        <w:rPr>
          <w:color w:val="5A6B75"/>
          <w:sz w:val="19"/>
          <w:szCs w:val="19"/>
        </w:rPr>
        <w:t xml:space="preserve">   ·   Tambacounda, Sénégal</w:t>
      </w:r>
    </w:p>
    <w:p>
      <w:pPr>
        <w:spacing w:after="60"/>
      </w:pPr>
      <w:r>
        <w:rPr>
          <w:b/>
          <w:bCs/>
        </w:rPr>
        <w:t xml:space="preserve">Chef de Service Régional</w:t>
      </w:r>
      <w:r>
        <w:rPr>
          <w:color w:val="5A6B75"/>
          <w:sz w:val="19"/>
          <w:szCs w:val="19"/>
        </w:rPr>
        <w:t xml:space="preserve">  —  Ministère de l'Environnement / DEFCCS</w:t>
      </w:r>
    </w:p>
    <w:p>
      <w:pPr>
        <w:pStyle w:val="ListParagraph"/>
        <w:numPr>
          <w:ilvl w:val="0"/>
          <w:numId w:val="2"/>
        </w:numPr>
        <w:spacing w:after="30"/>
        <w:jc w:val="both"/>
      </w:pPr>
      <w:r>
        <w:t xml:space="preserve">Coordination des services rattachés et des partenaires ; appui-conseil aux collectivités sur les questions environnementales</w:t>
      </w:r>
    </w:p>
    <w:p>
      <w:pPr>
        <w:pStyle w:val="ListParagraph"/>
        <w:numPr>
          <w:ilvl w:val="0"/>
          <w:numId w:val="2"/>
        </w:numPr>
        <w:spacing w:after="30"/>
        <w:jc w:val="both"/>
      </w:pPr>
      <w:r>
        <w:t xml:space="preserve">Planification stratégique et opérationnelle ; suivi de la mise en œuvre des projets et programmes régionaux</w:t>
      </w:r>
    </w:p>
    <w:p>
      <w:pPr>
        <w:pStyle w:val="ListParagraph"/>
        <w:numPr>
          <w:ilvl w:val="0"/>
          <w:numId w:val="2"/>
        </w:numPr>
        <w:spacing w:after="30"/>
        <w:jc w:val="both"/>
      </w:pPr>
      <w:r>
        <w:t xml:space="preserve">Exécution et suivi budgétaire</w:t>
      </w:r>
    </w:p>
    <w:p>
      <w:pPr>
        <w:spacing w:after="20" w:before="160"/>
      </w:pPr>
      <w:r>
        <w:rPr>
          <w:b/>
          <w:bCs/>
          <w:sz w:val="19"/>
          <w:szCs w:val="19"/>
        </w:rPr>
        <w:t xml:space="preserve">05/09/2016 – 10/10/2019</w:t>
      </w:r>
      <w:r>
        <w:rPr>
          <w:color w:val="5A6B75"/>
          <w:sz w:val="19"/>
          <w:szCs w:val="19"/>
        </w:rPr>
        <w:t xml:space="preserve">   ·   Tambacounda, Sénégal</w:t>
      </w:r>
    </w:p>
    <w:p>
      <w:pPr>
        <w:spacing w:after="60"/>
      </w:pPr>
      <w:r>
        <w:rPr>
          <w:b/>
          <w:bCs/>
        </w:rPr>
        <w:t xml:space="preserve">Chef du Service Départemental</w:t>
      </w:r>
      <w:r>
        <w:rPr>
          <w:color w:val="5A6B75"/>
          <w:sz w:val="19"/>
          <w:szCs w:val="19"/>
        </w:rPr>
        <w:t xml:space="preserve">  —  Ministère de l'Environnement / DEFCCS</w:t>
      </w:r>
    </w:p>
    <w:p>
      <w:pPr>
        <w:pStyle w:val="ListParagraph"/>
        <w:numPr>
          <w:ilvl w:val="0"/>
          <w:numId w:val="2"/>
        </w:numPr>
        <w:spacing w:after="30"/>
        <w:jc w:val="both"/>
      </w:pPr>
      <w:r>
        <w:t xml:space="preserve">Élaboration d'un module de formation sur les changements climatiques pour l'Institut de management de Tambacounda</w:t>
      </w:r>
    </w:p>
    <w:p>
      <w:pPr>
        <w:pStyle w:val="ListParagraph"/>
        <w:numPr>
          <w:ilvl w:val="0"/>
          <w:numId w:val="2"/>
        </w:numPr>
        <w:spacing w:after="30"/>
        <w:jc w:val="both"/>
      </w:pPr>
      <w:r>
        <w:t xml:space="preserve">Formation des exploitants forestiers de Tambacounda, Kolda et Sédhiou sur les polluants organiques persistants (convention de Stockholm)</w:t>
      </w:r>
    </w:p>
    <w:p>
      <w:pPr>
        <w:pStyle w:val="ListParagraph"/>
        <w:numPr>
          <w:ilvl w:val="0"/>
          <w:numId w:val="2"/>
        </w:numPr>
        <w:spacing w:after="30"/>
        <w:jc w:val="both"/>
      </w:pPr>
      <w:r>
        <w:t xml:space="preserve">Planification opérationnelle et suivi de la mise en œuvre des activités</w:t>
      </w:r>
    </w:p>
    <w:p>
      <w:pPr>
        <w:spacing w:after="20" w:before="160"/>
      </w:pPr>
      <w:r>
        <w:rPr>
          <w:b/>
          <w:bCs/>
          <w:sz w:val="19"/>
          <w:szCs w:val="19"/>
        </w:rPr>
        <w:t xml:space="preserve">03/11/2014 – 05/09/2016</w:t>
      </w:r>
      <w:r>
        <w:rPr>
          <w:color w:val="5A6B75"/>
          <w:sz w:val="19"/>
          <w:szCs w:val="19"/>
        </w:rPr>
        <w:t xml:space="preserve">   ·   Dakar, Sénégal</w:t>
      </w:r>
    </w:p>
    <w:p>
      <w:pPr>
        <w:spacing w:after="60"/>
      </w:pPr>
      <w:r>
        <w:rPr>
          <w:b/>
          <w:bCs/>
        </w:rPr>
        <w:t xml:space="preserve">Responsable national du bureau Aménagement forestier</w:t>
      </w:r>
      <w:r>
        <w:rPr>
          <w:color w:val="5A6B75"/>
          <w:sz w:val="19"/>
          <w:szCs w:val="19"/>
        </w:rPr>
        <w:t xml:space="preserve">  —  Ministère de l'Environnement / DEFCCS</w:t>
      </w:r>
    </w:p>
    <w:p>
      <w:pPr>
        <w:pStyle w:val="ListParagraph"/>
        <w:numPr>
          <w:ilvl w:val="0"/>
          <w:numId w:val="2"/>
        </w:numPr>
        <w:spacing w:after="30"/>
        <w:jc w:val="both"/>
      </w:pPr>
      <w:r>
        <w:t xml:space="preserve">Appui à l'élaboration et au suivi des plans d'aménagement forestiers</w:t>
      </w:r>
    </w:p>
    <w:p>
      <w:pPr>
        <w:pStyle w:val="ListParagraph"/>
        <w:numPr>
          <w:ilvl w:val="0"/>
          <w:numId w:val="2"/>
        </w:numPr>
        <w:spacing w:after="30"/>
        <w:jc w:val="both"/>
      </w:pPr>
      <w:r>
        <w:t xml:space="preserve">Formation des animateurs de l'Association sénégalaise pour le développement équitable (ASDES) sur les changements climatiques et l'économie verte</w:t>
      </w:r>
    </w:p>
    <w:p>
      <w:pPr>
        <w:pStyle w:val="ListParagraph"/>
        <w:numPr>
          <w:ilvl w:val="0"/>
          <w:numId w:val="2"/>
        </w:numPr>
        <w:spacing w:after="30"/>
        <w:jc w:val="both"/>
      </w:pPr>
      <w:r>
        <w:t xml:space="preserve">Participation à l'inventaire du potentiel de séquestration carbone des forêts aménagées (PROGEDE 2, avec l'Institut Supérieur de l'Environnement)</w:t>
      </w:r>
    </w:p>
    <w:p>
      <w:pPr>
        <w:spacing w:after="20" w:before="160"/>
      </w:pPr>
      <w:r>
        <w:rPr>
          <w:b/>
          <w:bCs/>
          <w:sz w:val="19"/>
          <w:szCs w:val="19"/>
        </w:rPr>
        <w:t xml:space="preserve">05/02/2014 – 03/11/2014</w:t>
      </w:r>
      <w:r>
        <w:rPr>
          <w:color w:val="5A6B75"/>
          <w:sz w:val="19"/>
          <w:szCs w:val="19"/>
        </w:rPr>
        <w:t xml:space="preserve">   ·   Kaolack, Sénégal</w:t>
      </w:r>
    </w:p>
    <w:p>
      <w:pPr>
        <w:spacing w:after="60"/>
      </w:pPr>
      <w:r>
        <w:rPr>
          <w:b/>
          <w:bCs/>
        </w:rPr>
        <w:t xml:space="preserve">Adjoint au Chef de service régional des Eaux et Forêts</w:t>
      </w:r>
      <w:r>
        <w:rPr>
          <w:color w:val="5A6B75"/>
          <w:sz w:val="19"/>
          <w:szCs w:val="19"/>
        </w:rPr>
        <w:t xml:space="preserve">  —  Ministère de l'Environnement / DEFCCS</w:t>
      </w:r>
    </w:p>
    <w:p>
      <w:pPr>
        <w:pStyle w:val="ListParagraph"/>
        <w:numPr>
          <w:ilvl w:val="0"/>
          <w:numId w:val="2"/>
        </w:numPr>
        <w:spacing w:after="30"/>
        <w:jc w:val="both"/>
      </w:pPr>
      <w:r>
        <w:t xml:space="preserve">Formation sur les systèmes d'information géographique (SIG) appliqués à la gestion des aires protégées, pour le compte des gestionnaires d'aires protégées d'IBAP (Guinée-Bissau)</w:t>
      </w:r>
    </w:p>
    <w:p>
      <w:pPr>
        <w:pStyle w:val="ListParagraph"/>
        <w:numPr>
          <w:ilvl w:val="0"/>
          <w:numId w:val="2"/>
        </w:numPr>
        <w:spacing w:after="30"/>
        <w:jc w:val="both"/>
      </w:pPr>
      <w:r>
        <w:t xml:space="preserve">Suivi de la mise en œuvre des activités des services et des partenaires</w:t>
      </w:r>
    </w:p>
    <w:p>
      <w:pPr>
        <w:spacing w:after="20" w:before="160"/>
      </w:pPr>
      <w:r>
        <w:rPr>
          <w:b/>
          <w:bCs/>
          <w:sz w:val="19"/>
          <w:szCs w:val="19"/>
        </w:rPr>
        <w:t xml:space="preserve">02/02/2009 – 03/10/2010</w:t>
      </w:r>
      <w:r>
        <w:rPr>
          <w:color w:val="5A6B75"/>
          <w:sz w:val="19"/>
          <w:szCs w:val="19"/>
        </w:rPr>
        <w:t xml:space="preserve">   ·   Sédhiou, Sénégal</w:t>
      </w:r>
    </w:p>
    <w:p>
      <w:pPr>
        <w:spacing w:after="60"/>
      </w:pPr>
      <w:r>
        <w:rPr>
          <w:b/>
          <w:bCs/>
        </w:rPr>
        <w:t xml:space="preserve">Adjoint au Chef de service régional des Eaux et Forêts</w:t>
      </w:r>
      <w:r>
        <w:rPr>
          <w:color w:val="5A6B75"/>
          <w:sz w:val="19"/>
          <w:szCs w:val="19"/>
        </w:rPr>
        <w:t xml:space="preserve">  —  Ministère de l'Environnement / DEFCCS</w:t>
      </w:r>
    </w:p>
    <w:p>
      <w:pPr>
        <w:pStyle w:val="ListParagraph"/>
        <w:numPr>
          <w:ilvl w:val="0"/>
          <w:numId w:val="2"/>
        </w:numPr>
        <w:spacing w:after="30"/>
        <w:jc w:val="both"/>
      </w:pPr>
      <w:r>
        <w:t xml:space="preserve">Formation des acteurs ; élaboration des documents de planification ; suivi de la mise en œuvre des activités</w:t>
      </w:r>
    </w:p>
    <w:p>
      <w:pPr>
        <w:spacing w:after="20" w:before="160"/>
      </w:pPr>
      <w:r>
        <w:rPr>
          <w:b/>
          <w:bCs/>
          <w:sz w:val="19"/>
          <w:szCs w:val="19"/>
        </w:rPr>
        <w:t xml:space="preserve">07/06/2005 – 10/01/2009</w:t>
      </w:r>
      <w:r>
        <w:rPr>
          <w:color w:val="5A6B75"/>
          <w:sz w:val="19"/>
          <w:szCs w:val="19"/>
        </w:rPr>
        <w:t xml:space="preserve">   ·   Kolda, Sénégal</w:t>
      </w:r>
    </w:p>
    <w:p>
      <w:pPr>
        <w:spacing w:after="60"/>
      </w:pPr>
      <w:r>
        <w:rPr>
          <w:b/>
          <w:bCs/>
        </w:rPr>
        <w:t xml:space="preserve">Chef de la Division Suivi &amp; Évaluation et Formation</w:t>
      </w:r>
      <w:r>
        <w:rPr>
          <w:color w:val="5A6B75"/>
          <w:sz w:val="19"/>
          <w:szCs w:val="19"/>
        </w:rPr>
        <w:t xml:space="preserve">  —  Ministère de l'Environnement / DEFCCS</w:t>
      </w:r>
    </w:p>
    <w:p>
      <w:pPr>
        <w:pStyle w:val="ListParagraph"/>
        <w:numPr>
          <w:ilvl w:val="0"/>
          <w:numId w:val="2"/>
        </w:numPr>
        <w:spacing w:after="30"/>
        <w:jc w:val="both"/>
      </w:pPr>
      <w:r>
        <w:t xml:space="preserve">Élaboration et mise en œuvre de modules de formation liés à la gestion des forêts ; appui-conseil aux collectivités</w:t>
      </w:r>
    </w:p>
    <w:p>
      <w:pPr>
        <w:pStyle w:val="ListParagraph"/>
        <w:numPr>
          <w:ilvl w:val="0"/>
          <w:numId w:val="2"/>
        </w:numPr>
        <w:spacing w:after="30"/>
        <w:jc w:val="both"/>
      </w:pPr>
      <w:r>
        <w:t xml:space="preserve">Facilitateur d'un atelier de formation (7 jours) sur la cartographie et le traitement des données d'inventaire forestier pour des agents forestiers de la région de Gabú, Guinée-Bissau (projet AGIR, Union européenne)</w:t>
      </w:r>
    </w:p>
    <w:p>
      <w:pPr>
        <w:pStyle w:val="ListParagraph"/>
        <w:numPr>
          <w:ilvl w:val="0"/>
          <w:numId w:val="2"/>
        </w:numPr>
        <w:spacing w:after="30"/>
        <w:jc w:val="both"/>
      </w:pPr>
      <w:r>
        <w:t xml:space="preserve">Facilitateur d'ateliers de formation sur le traitement des données d'inventaire forestier (7 jours) et sur la cartographie et les techniques d'inventaire forestier (15 jours) pour des agents forestiers de Gabú, Guinée-Bissau (programme OMVG)</w:t>
      </w:r>
    </w:p>
    <w:p>
      <w:pPr>
        <w:spacing w:after="20" w:before="160"/>
      </w:pPr>
      <w:r>
        <w:rPr>
          <w:b/>
          <w:bCs/>
          <w:sz w:val="19"/>
          <w:szCs w:val="19"/>
        </w:rPr>
        <w:t xml:space="preserve">05/04/2003 – 10/09/2005</w:t>
      </w:r>
      <w:r>
        <w:rPr>
          <w:color w:val="5A6B75"/>
          <w:sz w:val="19"/>
          <w:szCs w:val="19"/>
        </w:rPr>
        <w:t xml:space="preserve">   ·   Tambacounda, Sénégal</w:t>
      </w:r>
    </w:p>
    <w:p>
      <w:pPr>
        <w:spacing w:after="60"/>
      </w:pPr>
      <w:r>
        <w:rPr>
          <w:b/>
          <w:bCs/>
        </w:rPr>
        <w:t xml:space="preserve">Assistant au Responsable Suivi &amp; Évaluation</w:t>
      </w:r>
      <w:r>
        <w:rPr>
          <w:color w:val="5A6B75"/>
          <w:sz w:val="19"/>
          <w:szCs w:val="19"/>
        </w:rPr>
        <w:t xml:space="preserve">  —  Programme National d'Infrastructures Rurales (PNIR)</w:t>
      </w:r>
    </w:p>
    <w:p>
      <w:pPr>
        <w:pStyle w:val="ListParagraph"/>
        <w:numPr>
          <w:ilvl w:val="0"/>
          <w:numId w:val="2"/>
        </w:numPr>
        <w:spacing w:after="30"/>
        <w:jc w:val="both"/>
      </w:pPr>
      <w:r>
        <w:t xml:space="preserve">Appui à l'élaboration des documents de planification et au suivi de la mise en œuvre des activités d'infrastructures rurales</w:t>
      </w:r>
    </w:p>
    <w:p>
      <w:pPr>
        <w:pStyle w:val="ListParagraph"/>
        <w:numPr>
          <w:ilvl w:val="0"/>
          <w:numId w:val="2"/>
        </w:numPr>
        <w:spacing w:after="30"/>
        <w:jc w:val="both"/>
      </w:pPr>
      <w:r>
        <w:t xml:space="preserve">Formation des populations bénéficiaires et des partenaires</w:t>
      </w:r>
    </w:p>
    <w:p>
      <w:pPr>
        <w:spacing w:after="20" w:before="160"/>
      </w:pPr>
      <w:r>
        <w:rPr>
          <w:b/>
          <w:bCs/>
          <w:sz w:val="19"/>
          <w:szCs w:val="19"/>
        </w:rPr>
        <w:t xml:space="preserve">05/01/1999 – 02/01/2001</w:t>
      </w:r>
      <w:r>
        <w:rPr>
          <w:color w:val="5A6B75"/>
          <w:sz w:val="19"/>
          <w:szCs w:val="19"/>
        </w:rPr>
        <w:t xml:space="preserve">   ·   Saint-Louis, Sénégal</w:t>
      </w:r>
    </w:p>
    <w:p>
      <w:pPr>
        <w:spacing w:after="60"/>
      </w:pPr>
      <w:r>
        <w:rPr>
          <w:b/>
          <w:bCs/>
        </w:rPr>
        <w:t xml:space="preserve">Responsable de zone</w:t>
      </w:r>
      <w:r>
        <w:rPr>
          <w:color w:val="5A6B75"/>
          <w:sz w:val="19"/>
          <w:szCs w:val="19"/>
        </w:rPr>
        <w:t xml:space="preserve">  —  ONG Winrock International</w:t>
      </w:r>
    </w:p>
    <w:p>
      <w:pPr>
        <w:pStyle w:val="ListParagraph"/>
        <w:numPr>
          <w:ilvl w:val="0"/>
          <w:numId w:val="2"/>
        </w:numPr>
        <w:spacing w:after="30"/>
        <w:jc w:val="both"/>
      </w:pPr>
      <w:r>
        <w:t xml:space="preserve">Élaboration des documents de planification et des budgets ; mise en œuvre et suivi des activités ; élaboration des rapports</w:t>
      </w:r>
    </w:p>
    <w:p>
      <w:pPr>
        <w:spacing w:after="200"/>
      </w:pPr>
    </w:p>
    <w:p>
      <w:pPr>
        <w:pBdr>
          <w:top w:val="single" w:color="CCCCCC" w:sz="4" w:space="8"/>
        </w:pBdr>
        <w:spacing w:before="200"/>
        <w:jc w:val="both"/>
      </w:pPr>
      <w:r>
        <w:rPr>
          <w:i/>
          <w:iCs/>
          <w:color w:val="C0392B"/>
        </w:rPr>
        <w:t xml:space="preserve">CV établi à partir du CV Europass fourni par M. Gaye (juillet 2024). L'intitulé du poste proposé (page 1) et toute mise en avant supplémentaire spécifique à la mission de Oued Lebyad restent à valider avant intégration au dossier de manifestation d'intérêt.</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6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2026-09-18T00:02:53.415Z</dcterms:created>
  <dcterms:modified xsi:type="dcterms:W3CDTF">2026-09-18T00:02:53.415Z</dcterms:modified>
</cp:coreProperties>
</file>

<file path=docProps/custom.xml><?xml version="1.0" encoding="utf-8"?>
<Properties xmlns="http://schemas.openxmlformats.org/officeDocument/2006/custom-properties" xmlns:vt="http://schemas.openxmlformats.org/officeDocument/2006/docPropsVTypes"/>
</file>