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A4F33"/>
          <w:sz w:val="26"/>
          <w:szCs w:val="26"/>
        </w:rPr>
        <w:t xml:space="preserve">AGRO ECO CONSULTING</w:t>
      </w:r>
    </w:p>
    <w:p>
      <w:pPr>
        <w:spacing w:after="80"/>
      </w:pPr>
      <w:r>
        <w:rPr>
          <w:i/>
          <w:iCs/>
          <w:color w:val="5A6B75"/>
          <w:sz w:val="19"/>
          <w:szCs w:val="19"/>
        </w:rPr>
        <w:t xml:space="preserve">Expertise agro &amp; environnement</w:t>
      </w:r>
    </w:p>
    <w:p>
      <w:r>
        <w:rPr>
          <w:color w:val="5A6B75"/>
          <w:sz w:val="18"/>
          <w:szCs w:val="18"/>
        </w:rPr>
        <w:t xml:space="preserve">Thiès / Dakar, Sénégal   ·   Tél. : +221 78 487 32 26   ·   WhatsApp : +221 78 830 95 01</w:t>
      </w:r>
    </w:p>
    <w:p>
      <w:pPr>
        <w:pBdr>
          <w:bottom w:val="single" w:color="E2621F" w:sz="6" w:space="8"/>
        </w:pBdr>
        <w:spacing w:after="240"/>
      </w:pPr>
      <w:r>
        <w:rPr>
          <w:color w:val="5A6B75"/>
          <w:sz w:val="18"/>
          <w:szCs w:val="18"/>
        </w:rPr>
        <w:t xml:space="preserve">E-mail : agroecoconsult2025@gmail.com</w:t>
      </w:r>
    </w:p>
    <w:p>
      <w:pPr>
        <w:spacing w:after="300"/>
        <w:jc w:val="right"/>
      </w:pPr>
      <w:r>
        <w:t xml:space="preserve">Thiès, le 17 septembre 2026</w:t>
      </w:r>
    </w:p>
    <w:p>
      <w:r>
        <w:t xml:space="preserve">À l'attention de Monsieur le Président de la</w:t>
      </w:r>
    </w:p>
    <w:p>
      <w:r>
        <w:rPr>
          <w:b/>
          <w:bCs/>
        </w:rPr>
        <w:t xml:space="preserve">Commission de Passation des Marchés Publics</w:t>
      </w:r>
    </w:p>
    <w:p>
      <w:r>
        <w:t xml:space="preserve">(CPMP / Unité de gestion de PROGRES)</w:t>
      </w:r>
    </w:p>
    <w:p>
      <w:r>
        <w:t xml:space="preserve">Siège du Programme Mauritanie-FIDA</w:t>
      </w:r>
    </w:p>
    <w:p>
      <w:pPr>
        <w:spacing w:after="300"/>
      </w:pPr>
      <w:r>
        <w:t xml:space="preserve">PROGRES, Lot N°206, PRTZ – Nouakchott, Mauritanie</w:t>
      </w:r>
    </w:p>
    <w:p>
      <w:r>
        <w:rPr>
          <w:b/>
          <w:bCs/>
        </w:rPr>
        <w:t xml:space="preserve">Objet : Manifestation d'intérêt – Avis N°03/CPMP/PROGRES/2026</w:t>
      </w:r>
    </w:p>
    <w:p>
      <w:pPr>
        <w:spacing w:after="300"/>
      </w:pPr>
      <w:r>
        <w:rPr>
          <w:i/>
          <w:iCs/>
          <w:sz w:val="19"/>
          <w:szCs w:val="19"/>
        </w:rPr>
        <w:t xml:space="preserve">Réf. : Recrutement d'un bureau d'études pour la formation au profit de 200 agriculteurs autour de Ouad Lebyad sur l'agriculture durable, l'entretien communautaire des infrastructures et la gestion des bassins versants</w:t>
      </w:r>
    </w:p>
    <w:p>
      <w:pPr>
        <w:spacing w:after="200"/>
      </w:pPr>
      <w:r>
        <w:t xml:space="preserve">Monsieur le Président,</w:t>
      </w:r>
    </w:p>
    <w:p>
      <w:pPr>
        <w:spacing w:after="200"/>
        <w:jc w:val="both"/>
      </w:pPr>
      <w:r>
        <w:t xml:space="preserve">Suite à l'avis de sollicitation de manifestations d'intérêt cité en référence, publié le 16/09/2026 par l'Unité de gestion du Programme Mauritanie-FIDA dans le cadre du Programme Africain de Gestion Intégrée des Risques Climatiques (AICRM-MRT), le cabinet </w:t>
      </w:r>
      <w:r>
        <w:rPr>
          <w:b/>
          <w:bCs/>
        </w:rPr>
        <w:t xml:space="preserve">Agro Eco Consulting</w:t>
      </w:r>
      <w:r>
        <w:t xml:space="preserve"> a l'honneur de manifester son intérêt pour la réalisation de la prestation « Formation au profit de 200 agriculteurs autour de Ouad Lebyad sur l'agriculture durable, l'entretien communautaire des infrastructures et la gestion des bassins versants ».</w:t>
      </w:r>
    </w:p>
    <w:p>
      <w:pPr>
        <w:spacing w:after="200"/>
        <w:jc w:val="both"/>
      </w:pPr>
      <w:r>
        <w:t xml:space="preserve">Agro Eco Consulting est un cabinet d'ingénierie agricole et environnementale qui accompagne </w:t>
      </w:r>
      <w:r>
        <w:rPr>
          <w:b w:val="false"/>
          <w:bCs w:val="false"/>
          <w:i/>
          <w:iCs/>
          <w:color w:val="C0392B"/>
        </w:rPr>
        <w:t xml:space="preserve">[à compléter : depuis quelle année]</w:t>
      </w:r>
      <w:r>
        <w:t xml:space="preserve"> les institutions, projets de développement et organisations de producteurs d'Afrique de l'Ouest dans la conception et la mise en œuvre de solutions agricoles durables. Le cabinet a développé une expertise en agriculture climato-intelligente, gestion durable des ressources naturelles, ingénierie pédagogique et formation de formateurs, avec une approche fondée sur la démonstration en situation réelle et le transfert de compétences aux acteurs de terrain — des atouts directement mobilisables pour la formation des 200 agriculteurs de la zone d'intervention du Programme Mauritanie-FIDA.</w:t>
      </w:r>
    </w:p>
    <w:p>
      <w:pPr>
        <w:spacing w:after="200"/>
        <w:jc w:val="both"/>
      </w:pPr>
      <w:r>
        <w:t xml:space="preserve">Nous joignons à la présente notre dossier de présentation des capacités et références, incluant nos domaines d'expertise, notre méthodologie d'intervention, nos références pertinentes ainsi que les curriculum vitae de l'équipe technique proposée.</w:t>
      </w:r>
    </w:p>
    <w:p>
      <w:pPr>
        <w:spacing w:after="200"/>
        <w:jc w:val="both"/>
      </w:pPr>
      <w:r>
        <w:t xml:space="preserve">Nous nous tenons à votre disposition pour toute information complémentaire et espérons vivement que notre candidature retiendra votre attention en vue de son inscription sur la liste restreinte visée au point 9 de l'avis.</w:t>
      </w:r>
    </w:p>
    <w:p>
      <w:pPr>
        <w:spacing w:after="500"/>
      </w:pPr>
      <w:r>
        <w:t xml:space="preserve">Veuillez agréer, Monsieur le Président, l'expression de notre haute considération.</w:t>
      </w:r>
    </w:p>
    <w:p>
      <w:pPr>
        <w:jc w:val="right"/>
      </w:pPr>
      <w:r>
        <w:t xml:space="preserve">Pour Agro Eco Consulting,</w:t>
      </w:r>
    </w:p>
    <w:p>
      <w:pPr>
        <w:jc w:val="right"/>
      </w:pPr>
      <w:r>
        <w:rPr>
          <w:b w:val="false"/>
          <w:bCs w:val="false"/>
          <w:i/>
          <w:iCs/>
          <w:color w:val="C0392B"/>
        </w:rPr>
        <w:t xml:space="preserve">[Nom et fonction du signataire – à compléter]</w:t>
      </w:r>
    </w:p>
    <w:p>
      <w:pPr>
        <w:spacing w:after="100"/>
        <w:jc w:val="right"/>
      </w:pPr>
      <w:r>
        <w:rPr>
          <w:b w:val="false"/>
          <w:bCs w:val="false"/>
          <w:i/>
          <w:iCs/>
          <w:color w:val="C0392B"/>
        </w:rPr>
        <w:t xml:space="preserve">[Signature et cachet du cabinet]</w:t>
      </w:r>
    </w:p>
    <w:p>
      <w:pPr>
        <w:sectPr>
          <w:pgSz w:w="11906" w:h="16838" w:orient="portrait"/>
          <w:pgMar w:top="900" w:right="1100" w:bottom="900" w:left="1100" w:header="708" w:footer="708" w:gutter="0"/>
          <w:pgNumType/>
          <w:docGrid w:linePitch="360"/>
        </w:sectPr>
      </w:pPr>
    </w:p>
    <w:p>
      <w:pPr>
        <w:spacing w:after="60"/>
      </w:pPr>
      <w:r>
        <w:rPr>
          <w:b/>
          <w:bCs/>
          <w:color w:val="0A4F33"/>
          <w:sz w:val="28"/>
          <w:szCs w:val="28"/>
        </w:rPr>
        <w:t xml:space="preserve">PRÉSENTATION DES CAPACITÉS ET RÉFÉRENCES DU CABINET</w:t>
      </w:r>
    </w:p>
    <w:p>
      <w:pPr>
        <w:spacing w:after="300"/>
      </w:pPr>
      <w:r>
        <w:rPr>
          <w:i/>
          <w:iCs/>
          <w:color w:val="5A6B75"/>
          <w:sz w:val="19"/>
          <w:szCs w:val="19"/>
        </w:rPr>
        <w:t xml:space="preserve">Annexe à la manifestation d'intérêt – Avis N°03/CPMP/PROGRES/2026</w:t>
      </w:r>
    </w:p>
    <w:p>
      <w:pPr>
        <w:spacing w:after="160"/>
      </w:pPr>
      <w:r>
        <w:rPr>
          <w:b/>
          <w:bCs/>
          <w:color w:val="0E7C4A"/>
          <w:sz w:val="24"/>
          <w:szCs w:val="24"/>
        </w:rPr>
        <w:t xml:space="preserve">1. Identification du cabinet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8F6F0" w:val="clear"/>
            <w:tcMar>
              <w:top w:type="dxa" w:w="80"/>
              <w:left w:type="dxa" w:w="100"/>
              <w:bottom w:type="dxa" w:w="80"/>
              <w:right w:type="dxa" w:w="100"/>
            </w:tcMar>
          </w:tcPr>
          <w:p>
            <w:r>
              <w:rPr>
                <w:b/>
                <w:bCs/>
                <w:sz w:val="20"/>
                <w:szCs w:val="20"/>
              </w:rPr>
              <w:t xml:space="preserve">Raison sociale</w:t>
            </w:r>
          </w:p>
        </w:tc>
        <w:tc>
          <w:tcPr>
            <w:tcW w:type="dxa" w:w="6750"/>
            <w:tcMar>
              <w:top w:type="dxa" w:w="80"/>
              <w:left w:type="dxa" w:w="100"/>
              <w:bottom w:type="dxa" w:w="80"/>
              <w:right w:type="dxa" w:w="100"/>
            </w:tcMar>
          </w:tcPr>
          <w:p>
            <w:r>
              <w:rPr>
                <w:b/>
                <w:bCs/>
              </w:rPr>
              <w:t xml:space="preserve">AGRO ECO CONSULTING</w:t>
            </w:r>
          </w:p>
        </w:tc>
      </w:tr>
      <w:tr>
        <w:tc>
          <w:tcPr>
            <w:tcW w:type="dxa" w:w="2600"/>
            <w:shd w:fill="F8F6F0" w:val="clear"/>
            <w:tcMar>
              <w:top w:type="dxa" w:w="80"/>
              <w:left w:type="dxa" w:w="100"/>
              <w:bottom w:type="dxa" w:w="80"/>
              <w:right w:type="dxa" w:w="100"/>
            </w:tcMar>
          </w:tcPr>
          <w:p>
            <w:r>
              <w:rPr>
                <w:b/>
                <w:bCs/>
                <w:sz w:val="20"/>
                <w:szCs w:val="20"/>
              </w:rPr>
              <w:t xml:space="preserve">Forme juridique</w:t>
            </w:r>
          </w:p>
        </w:tc>
        <w:tc>
          <w:tcPr>
            <w:tcW w:type="dxa" w:w="6750"/>
            <w:tcMar>
              <w:top w:type="dxa" w:w="80"/>
              <w:left w:type="dxa" w:w="100"/>
              <w:bottom w:type="dxa" w:w="80"/>
              <w:right w:type="dxa" w:w="100"/>
            </w:tcMar>
          </w:tcPr>
          <w:p>
            <w:r>
              <w:rPr>
                <w:b w:val="false"/>
                <w:bCs w:val="false"/>
                <w:i/>
                <w:iCs/>
                <w:color w:val="C0392B"/>
              </w:rPr>
              <w:t xml:space="preserve">[à compléter]</w:t>
            </w:r>
          </w:p>
        </w:tc>
      </w:tr>
      <w:tr>
        <w:tc>
          <w:tcPr>
            <w:tcW w:type="dxa" w:w="2600"/>
            <w:shd w:fill="F8F6F0" w:val="clear"/>
            <w:tcMar>
              <w:top w:type="dxa" w:w="80"/>
              <w:left w:type="dxa" w:w="100"/>
              <w:bottom w:type="dxa" w:w="80"/>
              <w:right w:type="dxa" w:w="100"/>
            </w:tcMar>
          </w:tcPr>
          <w:p>
            <w:r>
              <w:rPr>
                <w:b/>
                <w:bCs/>
                <w:sz w:val="20"/>
                <w:szCs w:val="20"/>
              </w:rPr>
              <w:t xml:space="preserve">Date de création / immatriculation</w:t>
            </w:r>
          </w:p>
        </w:tc>
        <w:tc>
          <w:tcPr>
            <w:tcW w:type="dxa" w:w="6750"/>
            <w:tcMar>
              <w:top w:type="dxa" w:w="80"/>
              <w:left w:type="dxa" w:w="100"/>
              <w:bottom w:type="dxa" w:w="80"/>
              <w:right w:type="dxa" w:w="100"/>
            </w:tcMar>
          </w:tcPr>
          <w:p>
            <w:r>
              <w:rPr>
                <w:b w:val="false"/>
                <w:bCs w:val="false"/>
                <w:i/>
                <w:iCs/>
                <w:color w:val="C0392B"/>
              </w:rPr>
              <w:t xml:space="preserve">[à compléter]</w:t>
            </w:r>
          </w:p>
        </w:tc>
      </w:tr>
      <w:tr>
        <w:tc>
          <w:tcPr>
            <w:tcW w:type="dxa" w:w="2600"/>
            <w:shd w:fill="F8F6F0" w:val="clear"/>
            <w:tcMar>
              <w:top w:type="dxa" w:w="80"/>
              <w:left w:type="dxa" w:w="100"/>
              <w:bottom w:type="dxa" w:w="80"/>
              <w:right w:type="dxa" w:w="100"/>
            </w:tcMar>
          </w:tcPr>
          <w:p>
            <w:r>
              <w:rPr>
                <w:b/>
                <w:bCs/>
                <w:sz w:val="20"/>
                <w:szCs w:val="20"/>
              </w:rPr>
              <w:t xml:space="preserve">NINEA / RCCM</w:t>
            </w:r>
          </w:p>
        </w:tc>
        <w:tc>
          <w:tcPr>
            <w:tcW w:type="dxa" w:w="6750"/>
            <w:tcMar>
              <w:top w:type="dxa" w:w="80"/>
              <w:left w:type="dxa" w:w="100"/>
              <w:bottom w:type="dxa" w:w="80"/>
              <w:right w:type="dxa" w:w="100"/>
            </w:tcMar>
          </w:tcPr>
          <w:p>
            <w:r>
              <w:rPr>
                <w:b w:val="false"/>
                <w:bCs w:val="false"/>
                <w:i/>
                <w:iCs/>
                <w:color w:val="C0392B"/>
              </w:rPr>
              <w:t xml:space="preserve">[à compléter]</w:t>
            </w:r>
          </w:p>
        </w:tc>
      </w:tr>
      <w:tr>
        <w:tc>
          <w:tcPr>
            <w:tcW w:type="dxa" w:w="2600"/>
            <w:shd w:fill="F8F6F0" w:val="clear"/>
            <w:tcMar>
              <w:top w:type="dxa" w:w="80"/>
              <w:left w:type="dxa" w:w="100"/>
              <w:bottom w:type="dxa" w:w="80"/>
              <w:right w:type="dxa" w:w="100"/>
            </w:tcMar>
          </w:tcPr>
          <w:p>
            <w:r>
              <w:rPr>
                <w:b/>
                <w:bCs/>
                <w:sz w:val="20"/>
                <w:szCs w:val="20"/>
              </w:rPr>
              <w:t xml:space="preserve">Siège social</w:t>
            </w:r>
          </w:p>
        </w:tc>
        <w:tc>
          <w:tcPr>
            <w:tcW w:type="dxa" w:w="6750"/>
            <w:tcMar>
              <w:top w:type="dxa" w:w="80"/>
              <w:left w:type="dxa" w:w="100"/>
              <w:bottom w:type="dxa" w:w="80"/>
              <w:right w:type="dxa" w:w="100"/>
            </w:tcMar>
          </w:tcPr>
          <w:p>
            <w:r>
              <w:t xml:space="preserve">Thiès / Dakar, Sénégal</w:t>
            </w:r>
          </w:p>
        </w:tc>
      </w:tr>
      <w:tr>
        <w:tc>
          <w:tcPr>
            <w:tcW w:type="dxa" w:w="2600"/>
            <w:shd w:fill="F8F6F0" w:val="clear"/>
            <w:tcMar>
              <w:top w:type="dxa" w:w="80"/>
              <w:left w:type="dxa" w:w="100"/>
              <w:bottom w:type="dxa" w:w="80"/>
              <w:right w:type="dxa" w:w="100"/>
            </w:tcMar>
          </w:tcPr>
          <w:p>
            <w:r>
              <w:rPr>
                <w:b/>
                <w:bCs/>
                <w:sz w:val="20"/>
                <w:szCs w:val="20"/>
              </w:rPr>
              <w:t xml:space="preserve">Téléphone / WhatsApp</w:t>
            </w:r>
          </w:p>
        </w:tc>
        <w:tc>
          <w:tcPr>
            <w:tcW w:type="dxa" w:w="6750"/>
            <w:tcMar>
              <w:top w:type="dxa" w:w="80"/>
              <w:left w:type="dxa" w:w="100"/>
              <w:bottom w:type="dxa" w:w="80"/>
              <w:right w:type="dxa" w:w="100"/>
            </w:tcMar>
          </w:tcPr>
          <w:p>
            <w:r>
              <w:t xml:space="preserve">+221 78 487 32 26 / +221 78 830 95 01</w:t>
            </w:r>
          </w:p>
        </w:tc>
      </w:tr>
      <w:tr>
        <w:tc>
          <w:tcPr>
            <w:tcW w:type="dxa" w:w="2600"/>
            <w:shd w:fill="F8F6F0" w:val="clear"/>
            <w:tcMar>
              <w:top w:type="dxa" w:w="80"/>
              <w:left w:type="dxa" w:w="100"/>
              <w:bottom w:type="dxa" w:w="80"/>
              <w:right w:type="dxa" w:w="100"/>
            </w:tcMar>
          </w:tcPr>
          <w:p>
            <w:r>
              <w:rPr>
                <w:b/>
                <w:bCs/>
                <w:sz w:val="20"/>
                <w:szCs w:val="20"/>
              </w:rPr>
              <w:t xml:space="preserve">E-mail</w:t>
            </w:r>
          </w:p>
        </w:tc>
        <w:tc>
          <w:tcPr>
            <w:tcW w:type="dxa" w:w="6750"/>
            <w:tcMar>
              <w:top w:type="dxa" w:w="80"/>
              <w:left w:type="dxa" w:w="100"/>
              <w:bottom w:type="dxa" w:w="80"/>
              <w:right w:type="dxa" w:w="100"/>
            </w:tcMar>
          </w:tcPr>
          <w:p>
            <w:r>
              <w:t xml:space="preserve">agroecoconsult2025@gmail.com</w:t>
            </w:r>
          </w:p>
        </w:tc>
      </w:tr>
      <w:tr>
        <w:tc>
          <w:tcPr>
            <w:tcW w:type="dxa" w:w="2600"/>
            <w:shd w:fill="F8F6F0" w:val="clear"/>
            <w:tcMar>
              <w:top w:type="dxa" w:w="80"/>
              <w:left w:type="dxa" w:w="100"/>
              <w:bottom w:type="dxa" w:w="80"/>
              <w:right w:type="dxa" w:w="100"/>
            </w:tcMar>
          </w:tcPr>
          <w:p>
            <w:r>
              <w:rPr>
                <w:b/>
                <w:bCs/>
                <w:sz w:val="20"/>
                <w:szCs w:val="20"/>
              </w:rPr>
              <w:t xml:space="preserve">Zones d'intervention</w:t>
            </w:r>
          </w:p>
        </w:tc>
        <w:tc>
          <w:tcPr>
            <w:tcW w:type="dxa" w:w="6750"/>
            <w:tcMar>
              <w:top w:type="dxa" w:w="80"/>
              <w:left w:type="dxa" w:w="100"/>
              <w:bottom w:type="dxa" w:w="80"/>
              <w:right w:type="dxa" w:w="100"/>
            </w:tcMar>
          </w:tcPr>
          <w:p>
            <w:r>
              <w:t xml:space="preserve">Sénégal (bassin arachidier, Niayes, vallée du fleuve Sénégal, zone sylvopastorale, Sénégal Oriental, Casamance) ; programmes régionaux en Afrique de l'Ouest et centrale (Mali, Guinée, Guinée-Bissau, RDC)</w:t>
            </w:r>
          </w:p>
        </w:tc>
      </w:tr>
    </w:tbl>
    <w:p>
      <w:pPr>
        <w:spacing w:after="300"/>
      </w:pPr>
    </w:p>
    <w:p>
      <w:pPr>
        <w:spacing w:after="160"/>
      </w:pPr>
      <w:r>
        <w:rPr>
          <w:b/>
          <w:bCs/>
          <w:color w:val="0E7C4A"/>
          <w:sz w:val="24"/>
          <w:szCs w:val="24"/>
        </w:rPr>
        <w:t xml:space="preserve">2. Domaines d'expertise</w:t>
      </w:r>
    </w:p>
    <w:p>
      <w:pPr>
        <w:pStyle w:val="ListParagraph"/>
        <w:numPr>
          <w:ilvl w:val="0"/>
          <w:numId w:val="2"/>
        </w:numPr>
        <w:spacing w:after="100"/>
        <w:jc w:val="both"/>
      </w:pPr>
      <w:r>
        <w:rPr>
          <w:b/>
          <w:bCs/>
        </w:rPr>
        <w:t xml:space="preserve">Agriculture climato-intelligente — </w:t>
      </w:r>
      <w:r>
        <w:t xml:space="preserve">diagnostic de vulnérabilité, sélection de pratiques adaptées, agroforesterie, régénération naturelle assistée, agriculture de conservation, gestion de l'eau.</w:t>
      </w:r>
    </w:p>
    <w:p>
      <w:pPr>
        <w:pStyle w:val="ListParagraph"/>
        <w:numPr>
          <w:ilvl w:val="0"/>
          <w:numId w:val="2"/>
        </w:numPr>
        <w:spacing w:after="100"/>
        <w:jc w:val="both"/>
      </w:pPr>
      <w:r>
        <w:rPr>
          <w:b/>
          <w:bCs/>
        </w:rPr>
        <w:t xml:space="preserve">Études et diagnostics — </w:t>
      </w:r>
      <w:r>
        <w:t xml:space="preserve">études de faisabilité, évaluations environnementales, diagnostics de terroirs, cartographie participative, états des lieux agro-écologiques.</w:t>
      </w:r>
    </w:p>
    <w:p>
      <w:pPr>
        <w:pStyle w:val="ListParagraph"/>
        <w:numPr>
          <w:ilvl w:val="0"/>
          <w:numId w:val="2"/>
        </w:numPr>
        <w:spacing w:after="100"/>
        <w:jc w:val="both"/>
      </w:pPr>
      <w:r>
        <w:rPr>
          <w:b/>
          <w:bCs/>
        </w:rPr>
        <w:t xml:space="preserve">Formation et renforcement de capacités — </w:t>
      </w:r>
      <w:r>
        <w:t xml:space="preserve">ingénierie pédagogique, formation de formateurs, ateliers nationaux et internationaux, champs-écoles paysans, modules transférables en cascade.</w:t>
      </w:r>
    </w:p>
    <w:p>
      <w:pPr>
        <w:pStyle w:val="ListParagraph"/>
        <w:numPr>
          <w:ilvl w:val="0"/>
          <w:numId w:val="2"/>
        </w:numPr>
        <w:spacing w:after="100"/>
        <w:jc w:val="both"/>
      </w:pPr>
      <w:r>
        <w:rPr>
          <w:b/>
          <w:bCs/>
        </w:rPr>
        <w:t xml:space="preserve">Ingénierie de projets et financement — </w:t>
      </w:r>
      <w:r>
        <w:t xml:space="preserve">rédaction de termes de référence, montage de dossiers, recherche de bailleurs, cadres logiques, dispositifs de suivi-évaluation.</w:t>
      </w:r>
    </w:p>
    <w:p>
      <w:pPr>
        <w:pStyle w:val="ListParagraph"/>
        <w:numPr>
          <w:ilvl w:val="0"/>
          <w:numId w:val="2"/>
        </w:numPr>
        <w:spacing w:after="100"/>
        <w:jc w:val="both"/>
      </w:pPr>
      <w:r>
        <w:rPr>
          <w:b/>
          <w:bCs/>
        </w:rPr>
        <w:t xml:space="preserve">Appui-conseil aux organisations — </w:t>
      </w:r>
      <w:r>
        <w:t xml:space="preserve">accompagnement des coopératives, faîtières et exploitations familiales : structuration, itinéraires techniques, accès aux intrants et aux marchés.</w:t>
      </w:r>
    </w:p>
    <w:p>
      <w:pPr>
        <w:pStyle w:val="ListParagraph"/>
        <w:numPr>
          <w:ilvl w:val="0"/>
          <w:numId w:val="2"/>
        </w:numPr>
        <w:spacing w:after="100"/>
        <w:jc w:val="both"/>
      </w:pPr>
      <w:r>
        <w:rPr>
          <w:b/>
          <w:bCs/>
        </w:rPr>
        <w:t xml:space="preserve">Services climatiques — </w:t>
      </w:r>
      <w:r>
        <w:t xml:space="preserve">traduction de l'information agro-météorologique en conseil opérationnel, calendriers culturaux ajustés, outils d'aide à la décision.</w:t>
      </w:r>
    </w:p>
    <w:p>
      <w:pPr>
        <w:spacing w:after="200"/>
      </w:pPr>
    </w:p>
    <w:p>
      <w:pPr>
        <w:spacing w:after="160"/>
      </w:pPr>
      <w:r>
        <w:rPr>
          <w:b/>
          <w:bCs/>
          <w:color w:val="0E7C4A"/>
          <w:sz w:val="24"/>
          <w:szCs w:val="24"/>
        </w:rPr>
        <w:t xml:space="preserve">3. Notre approche méthodologique</w:t>
      </w:r>
    </w:p>
    <w:p>
      <w:pPr>
        <w:spacing w:after="100"/>
        <w:jc w:val="both"/>
      </w:pPr>
      <w:r>
        <w:rPr>
          <w:b/>
          <w:bCs/>
        </w:rPr>
        <w:t xml:space="preserve">1. Écouter et diagnostiquer — </w:t>
      </w:r>
      <w:r>
        <w:t xml:space="preserve">partir du terrain et des contraintes réelles des producteurs, pas d'un modèle importé.</w:t>
      </w:r>
    </w:p>
    <w:p>
      <w:pPr>
        <w:spacing w:after="100"/>
        <w:jc w:val="both"/>
      </w:pPr>
      <w:r>
        <w:rPr>
          <w:b/>
          <w:bCs/>
        </w:rPr>
        <w:t xml:space="preserve">2. Concevoir avec les bénéficiaires — </w:t>
      </w:r>
      <w:r>
        <w:t xml:space="preserve">sélectionner les solutions avec les acteurs concernés, selon leurs moyens et leur zone.</w:t>
      </w:r>
    </w:p>
    <w:p>
      <w:pPr>
        <w:spacing w:after="100"/>
        <w:jc w:val="both"/>
      </w:pPr>
      <w:r>
        <w:rPr>
          <w:b/>
          <w:bCs/>
        </w:rPr>
        <w:t xml:space="preserve">3. Former et démontrer — </w:t>
      </w:r>
      <w:r>
        <w:t xml:space="preserve">démontrer chaque pratique en situation réelle, jamais uniquement en salle.</w:t>
      </w:r>
    </w:p>
    <w:p>
      <w:pPr>
        <w:spacing w:after="100"/>
        <w:jc w:val="both"/>
      </w:pPr>
      <w:r>
        <w:rPr>
          <w:b/>
          <w:bCs/>
        </w:rPr>
        <w:t xml:space="preserve">4. Suivre et transmettre — </w:t>
      </w:r>
      <w:r>
        <w:t xml:space="preserve">assurer un accompagnement post-mission garantissant des résultats durables.</w:t>
      </w:r>
    </w:p>
    <w:p>
      <w:pPr>
        <w:spacing w:after="200"/>
      </w:pPr>
    </w:p>
    <w:p>
      <w:pPr>
        <w:spacing w:after="120"/>
      </w:pPr>
      <w:r>
        <w:rPr>
          <w:b/>
          <w:bCs/>
          <w:color w:val="0E7C4A"/>
          <w:sz w:val="24"/>
          <w:szCs w:val="24"/>
        </w:rPr>
        <w:t xml:space="preserve">4. Expérience et références pertinentes</w:t>
      </w:r>
    </w:p>
    <w:p>
      <w:pPr>
        <w:spacing w:after="160"/>
        <w:jc w:val="both"/>
      </w:pPr>
      <w:r>
        <w:t xml:space="preserve">Le tableau ci-dessous présente des réalisations vérifiables du cabinet dans des domaines connexes à la présente prestation (ingénierie pédagogique et formation). </w:t>
      </w:r>
      <w:r>
        <w:rPr>
          <w:b w:val="false"/>
          <w:bCs w:val="false"/>
          <w:i/>
          <w:iCs/>
          <w:color w:val="C0392B"/>
        </w:rPr>
        <w:t xml:space="preserve">Cette liste doit être complétée par le cabinet avec l'ensemble de ses références pertinentes (missions de formation d'agriculteurs, de gestion des ressources naturelles ou d'entretien communautaire d'infrastructures), accompagnées si possible d'attestations de bonne exécution.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1300"/>
        <w:gridCol w:w="2550"/>
      </w:tblGrid>
      <w:tr>
        <w:trPr>
          <w:tblHeader/>
        </w:trPr>
        <w:tc>
          <w:tcPr>
            <w:tcW w:type="dxa" w:w="1900"/>
            <w:shd w:fill="0A4F33" w:val="clear"/>
            <w:tcMar>
              <w:top w:type="dxa" w:w="80"/>
              <w:left w:type="dxa" w:w="100"/>
              <w:bottom w:type="dxa" w:w="80"/>
              <w:right w:type="dxa" w:w="100"/>
            </w:tcMar>
          </w:tcPr>
          <w:p>
            <w:r>
              <w:rPr>
                <w:b/>
                <w:bCs/>
                <w:color w:val="FFFFFF"/>
                <w:sz w:val="20"/>
                <w:szCs w:val="20"/>
              </w:rPr>
              <w:t xml:space="preserve">Client / Bailleur</w:t>
            </w:r>
          </w:p>
        </w:tc>
        <w:tc>
          <w:tcPr>
            <w:tcW w:type="dxa" w:w="3600"/>
            <w:shd w:fill="0A4F33" w:val="clear"/>
            <w:tcMar>
              <w:top w:type="dxa" w:w="80"/>
              <w:left w:type="dxa" w:w="100"/>
              <w:bottom w:type="dxa" w:w="80"/>
              <w:right w:type="dxa" w:w="100"/>
            </w:tcMar>
          </w:tcPr>
          <w:p>
            <w:r>
              <w:rPr>
                <w:b/>
                <w:bCs/>
                <w:color w:val="FFFFFF"/>
                <w:sz w:val="20"/>
                <w:szCs w:val="20"/>
              </w:rPr>
              <w:t xml:space="preserve">Objet de la mission</w:t>
            </w:r>
          </w:p>
        </w:tc>
        <w:tc>
          <w:tcPr>
            <w:tcW w:type="dxa" w:w="1300"/>
            <w:shd w:fill="0A4F33" w:val="clear"/>
            <w:tcMar>
              <w:top w:type="dxa" w:w="80"/>
              <w:left w:type="dxa" w:w="100"/>
              <w:bottom w:type="dxa" w:w="80"/>
              <w:right w:type="dxa" w:w="100"/>
            </w:tcMar>
          </w:tcPr>
          <w:p>
            <w:r>
              <w:rPr>
                <w:b/>
                <w:bCs/>
                <w:color w:val="FFFFFF"/>
                <w:sz w:val="20"/>
                <w:szCs w:val="20"/>
              </w:rPr>
              <w:t xml:space="preserve">Période</w:t>
            </w:r>
          </w:p>
        </w:tc>
        <w:tc>
          <w:tcPr>
            <w:tcW w:type="dxa" w:w="2550"/>
            <w:shd w:fill="0A4F33" w:val="clear"/>
            <w:tcMar>
              <w:top w:type="dxa" w:w="80"/>
              <w:left w:type="dxa" w:w="100"/>
              <w:bottom w:type="dxa" w:w="80"/>
              <w:right w:type="dxa" w:w="100"/>
            </w:tcMar>
          </w:tcPr>
          <w:p>
            <w:r>
              <w:rPr>
                <w:b/>
                <w:bCs/>
                <w:color w:val="FFFFFF"/>
                <w:sz w:val="20"/>
                <w:szCs w:val="20"/>
              </w:rPr>
              <w:t xml:space="preserve">Bénéficiaires / Zone</w:t>
            </w:r>
          </w:p>
        </w:tc>
      </w:tr>
      <w:tr>
        <w:tc>
          <w:tcPr>
            <w:tcW w:type="dxa" w:w="1900"/>
            <w:tcMar>
              <w:top w:type="dxa" w:w="80"/>
              <w:left w:type="dxa" w:w="100"/>
              <w:bottom w:type="dxa" w:w="80"/>
              <w:right w:type="dxa" w:w="100"/>
            </w:tcMar>
          </w:tcPr>
          <w:p>
            <w:r>
              <w:rPr>
                <w:b w:val="false"/>
                <w:bCs w:val="false"/>
                <w:color w:val="10242F"/>
                <w:sz w:val="20"/>
                <w:szCs w:val="20"/>
              </w:rPr>
              <w:t xml:space="preserve">Agro Eco Consulting (auto-réalisation)</w:t>
            </w:r>
          </w:p>
        </w:tc>
        <w:tc>
          <w:tcPr>
            <w:tcW w:type="dxa" w:w="3600"/>
            <w:tcMar>
              <w:top w:type="dxa" w:w="80"/>
              <w:left w:type="dxa" w:w="100"/>
              <w:bottom w:type="dxa" w:w="80"/>
              <w:right w:type="dxa" w:w="100"/>
            </w:tcMar>
          </w:tcPr>
          <w:p>
            <w:r>
              <w:rPr>
                <w:b w:val="false"/>
                <w:bCs w:val="false"/>
                <w:color w:val="10242F"/>
                <w:sz w:val="20"/>
                <w:szCs w:val="20"/>
              </w:rPr>
              <w:t xml:space="preserve">Conception et déploiement d'une plateforme de formation en ligne en agroécologie (irrigation, systèmes d'information géographique et cartographie, entrepreneuriat agricole) : ingénierie pédagogique, production de contenus et supports vidéo, évaluation des apprenants.</w:t>
            </w:r>
          </w:p>
        </w:tc>
        <w:tc>
          <w:tcPr>
            <w:tcW w:type="dxa" w:w="1300"/>
            <w:tcMar>
              <w:top w:type="dxa" w:w="80"/>
              <w:left w:type="dxa" w:w="100"/>
              <w:bottom w:type="dxa" w:w="80"/>
              <w:right w:type="dxa" w:w="100"/>
            </w:tcMar>
          </w:tcPr>
          <w:p>
            <w:r>
              <w:rPr>
                <w:b w:val="false"/>
                <w:bCs w:val="false"/>
                <w:color w:val="10242F"/>
                <w:sz w:val="20"/>
                <w:szCs w:val="20"/>
              </w:rPr>
              <w:t xml:space="preserve">2025 – 2026</w:t>
            </w:r>
          </w:p>
        </w:tc>
        <w:tc>
          <w:tcPr>
            <w:tcW w:type="dxa" w:w="2550"/>
            <w:tcMar>
              <w:top w:type="dxa" w:w="80"/>
              <w:left w:type="dxa" w:w="100"/>
              <w:bottom w:type="dxa" w:w="80"/>
              <w:right w:type="dxa" w:w="100"/>
            </w:tcMar>
          </w:tcPr>
          <w:p>
            <w:r>
              <w:rPr>
                <w:b w:val="false"/>
                <w:bCs w:val="false"/>
                <w:color w:val="10242F"/>
                <w:sz w:val="20"/>
                <w:szCs w:val="20"/>
              </w:rPr>
              <w:t xml:space="preserve">Techniciens et producteurs, Sénégal (formation à distance)</w:t>
            </w:r>
          </w:p>
        </w:tc>
      </w:tr>
      <w:tr>
        <w:tc>
          <w:tcPr>
            <w:tcW w:type="dxa" w:w="1900"/>
            <w:tcMar>
              <w:top w:type="dxa" w:w="80"/>
              <w:left w:type="dxa" w:w="100"/>
              <w:bottom w:type="dxa" w:w="80"/>
              <w:right w:type="dxa" w:w="100"/>
            </w:tcMar>
          </w:tcPr>
          <w:p>
            <w:r>
              <w:rPr>
                <w:b w:val="false"/>
                <w:bCs w:val="false"/>
                <w:color w:val="10242F"/>
                <w:sz w:val="20"/>
                <w:szCs w:val="20"/>
              </w:rPr>
              <w:t xml:space="preserve">Agro Eco Consulting (auto-réalisation)</w:t>
            </w:r>
          </w:p>
        </w:tc>
        <w:tc>
          <w:tcPr>
            <w:tcW w:type="dxa" w:w="3600"/>
            <w:tcMar>
              <w:top w:type="dxa" w:w="80"/>
              <w:left w:type="dxa" w:w="100"/>
              <w:bottom w:type="dxa" w:w="80"/>
              <w:right w:type="dxa" w:w="100"/>
            </w:tcMar>
          </w:tcPr>
          <w:p>
            <w:r>
              <w:rPr>
                <w:b w:val="false"/>
                <w:bCs w:val="false"/>
                <w:color w:val="10242F"/>
                <w:sz w:val="20"/>
                <w:szCs w:val="20"/>
              </w:rPr>
              <w:t xml:space="preserve">Élaboration d'un curriculum de formation en 10 modules sur l'entrepreneuriat agricole et les chaînes de valeur (production horticole, gestion des risques, business model agricole, financement, transformation post-récolte, outils numériques).</w:t>
            </w:r>
          </w:p>
        </w:tc>
        <w:tc>
          <w:tcPr>
            <w:tcW w:type="dxa" w:w="1300"/>
            <w:tcMar>
              <w:top w:type="dxa" w:w="80"/>
              <w:left w:type="dxa" w:w="100"/>
              <w:bottom w:type="dxa" w:w="80"/>
              <w:right w:type="dxa" w:w="100"/>
            </w:tcMar>
          </w:tcPr>
          <w:p>
            <w:r>
              <w:rPr>
                <w:b w:val="false"/>
                <w:bCs w:val="false"/>
                <w:color w:val="10242F"/>
                <w:sz w:val="20"/>
                <w:szCs w:val="20"/>
              </w:rPr>
              <w:t xml:space="preserve">2025</w:t>
            </w:r>
          </w:p>
        </w:tc>
        <w:tc>
          <w:tcPr>
            <w:tcW w:type="dxa" w:w="2550"/>
            <w:tcMar>
              <w:top w:type="dxa" w:w="80"/>
              <w:left w:type="dxa" w:w="100"/>
              <w:bottom w:type="dxa" w:w="80"/>
              <w:right w:type="dxa" w:w="100"/>
            </w:tcMar>
          </w:tcPr>
          <w:p>
            <w:r>
              <w:rPr>
                <w:b w:val="false"/>
                <w:bCs w:val="false"/>
                <w:color w:val="10242F"/>
                <w:sz w:val="20"/>
                <w:szCs w:val="20"/>
              </w:rPr>
              <w:t xml:space="preserve">Formateurs et producteurs, Sénégal</w:t>
            </w:r>
          </w:p>
        </w:tc>
      </w:tr>
      <w:tr>
        <w:tc>
          <w:tcPr>
            <w:tcW w:type="dxa" w:w="1900"/>
            <w:tcMar>
              <w:top w:type="dxa" w:w="80"/>
              <w:left w:type="dxa" w:w="100"/>
              <w:bottom w:type="dxa" w:w="80"/>
              <w:right w:type="dxa" w:w="100"/>
            </w:tcMar>
          </w:tcPr>
          <w:p>
            <w:r>
              <w:rPr>
                <w:b w:val="false"/>
                <w:bCs w:val="false"/>
                <w:i/>
                <w:iCs/>
                <w:color w:val="C0392B"/>
              </w:rPr>
              <w:t xml:space="preserve">[à compléter]</w:t>
            </w:r>
          </w:p>
        </w:tc>
        <w:tc>
          <w:tcPr>
            <w:tcW w:type="dxa" w:w="3600"/>
            <w:tcMar>
              <w:top w:type="dxa" w:w="80"/>
              <w:left w:type="dxa" w:w="100"/>
              <w:bottom w:type="dxa" w:w="80"/>
              <w:right w:type="dxa" w:w="100"/>
            </w:tcMar>
          </w:tcPr>
          <w:p>
            <w:r>
              <w:rPr>
                <w:b w:val="false"/>
                <w:bCs w:val="false"/>
                <w:i/>
                <w:iCs/>
                <w:color w:val="C0392B"/>
              </w:rPr>
              <w:t xml:space="preserve">[à compléter]</w:t>
            </w:r>
          </w:p>
        </w:tc>
        <w:tc>
          <w:tcPr>
            <w:tcW w:type="dxa" w:w="1300"/>
            <w:tcMar>
              <w:top w:type="dxa" w:w="80"/>
              <w:left w:type="dxa" w:w="100"/>
              <w:bottom w:type="dxa" w:w="80"/>
              <w:right w:type="dxa" w:w="100"/>
            </w:tcMar>
          </w:tcPr>
          <w:p>
            <w:r>
              <w:rPr>
                <w:b w:val="false"/>
                <w:bCs w:val="false"/>
                <w:i/>
                <w:iCs/>
                <w:color w:val="C0392B"/>
              </w:rPr>
              <w:t xml:space="preserve">[à compléter]</w:t>
            </w:r>
          </w:p>
        </w:tc>
        <w:tc>
          <w:tcPr>
            <w:tcW w:type="dxa" w:w="2550"/>
            <w:tcMar>
              <w:top w:type="dxa" w:w="80"/>
              <w:left w:type="dxa" w:w="100"/>
              <w:bottom w:type="dxa" w:w="80"/>
              <w:right w:type="dxa" w:w="100"/>
            </w:tcMar>
          </w:tcPr>
          <w:p>
            <w:r>
              <w:rPr>
                <w:b w:val="false"/>
                <w:bCs w:val="false"/>
                <w:i/>
                <w:iCs/>
                <w:color w:val="C0392B"/>
              </w:rPr>
              <w:t xml:space="preserve">[à compléter]</w:t>
            </w:r>
          </w:p>
        </w:tc>
      </w:tr>
      <w:tr>
        <w:tc>
          <w:tcPr>
            <w:tcW w:type="dxa" w:w="1900"/>
            <w:tcMar>
              <w:top w:type="dxa" w:w="80"/>
              <w:left w:type="dxa" w:w="100"/>
              <w:bottom w:type="dxa" w:w="80"/>
              <w:right w:type="dxa" w:w="100"/>
            </w:tcMar>
          </w:tcPr>
          <w:p>
            <w:r>
              <w:rPr>
                <w:b w:val="false"/>
                <w:bCs w:val="false"/>
                <w:i/>
                <w:iCs/>
                <w:color w:val="C0392B"/>
              </w:rPr>
              <w:t xml:space="preserve">[à compléter]</w:t>
            </w:r>
          </w:p>
        </w:tc>
        <w:tc>
          <w:tcPr>
            <w:tcW w:type="dxa" w:w="3600"/>
            <w:tcMar>
              <w:top w:type="dxa" w:w="80"/>
              <w:left w:type="dxa" w:w="100"/>
              <w:bottom w:type="dxa" w:w="80"/>
              <w:right w:type="dxa" w:w="100"/>
            </w:tcMar>
          </w:tcPr>
          <w:p>
            <w:r>
              <w:rPr>
                <w:b w:val="false"/>
                <w:bCs w:val="false"/>
                <w:i/>
                <w:iCs/>
                <w:color w:val="C0392B"/>
              </w:rPr>
              <w:t xml:space="preserve">[à compléter]</w:t>
            </w:r>
          </w:p>
        </w:tc>
        <w:tc>
          <w:tcPr>
            <w:tcW w:type="dxa" w:w="1300"/>
            <w:tcMar>
              <w:top w:type="dxa" w:w="80"/>
              <w:left w:type="dxa" w:w="100"/>
              <w:bottom w:type="dxa" w:w="80"/>
              <w:right w:type="dxa" w:w="100"/>
            </w:tcMar>
          </w:tcPr>
          <w:p>
            <w:r>
              <w:rPr>
                <w:b w:val="false"/>
                <w:bCs w:val="false"/>
                <w:i/>
                <w:iCs/>
                <w:color w:val="C0392B"/>
              </w:rPr>
              <w:t xml:space="preserve">[à compléter]</w:t>
            </w:r>
          </w:p>
        </w:tc>
        <w:tc>
          <w:tcPr>
            <w:tcW w:type="dxa" w:w="2550"/>
            <w:tcMar>
              <w:top w:type="dxa" w:w="80"/>
              <w:left w:type="dxa" w:w="100"/>
              <w:bottom w:type="dxa" w:w="80"/>
              <w:right w:type="dxa" w:w="100"/>
            </w:tcMar>
          </w:tcPr>
          <w:p>
            <w:r>
              <w:rPr>
                <w:b w:val="false"/>
                <w:bCs w:val="false"/>
                <w:i/>
                <w:iCs/>
                <w:color w:val="C0392B"/>
              </w:rPr>
              <w:t xml:space="preserve">[à compléter]</w:t>
            </w:r>
          </w:p>
        </w:tc>
      </w:tr>
      <w:tr>
        <w:tc>
          <w:tcPr>
            <w:tcW w:type="dxa" w:w="1900"/>
            <w:tcMar>
              <w:top w:type="dxa" w:w="80"/>
              <w:left w:type="dxa" w:w="100"/>
              <w:bottom w:type="dxa" w:w="80"/>
              <w:right w:type="dxa" w:w="100"/>
            </w:tcMar>
          </w:tcPr>
          <w:p>
            <w:r>
              <w:rPr>
                <w:b w:val="false"/>
                <w:bCs w:val="false"/>
                <w:i/>
                <w:iCs/>
                <w:color w:val="C0392B"/>
              </w:rPr>
              <w:t xml:space="preserve">[à compléter]</w:t>
            </w:r>
          </w:p>
        </w:tc>
        <w:tc>
          <w:tcPr>
            <w:tcW w:type="dxa" w:w="3600"/>
            <w:tcMar>
              <w:top w:type="dxa" w:w="80"/>
              <w:left w:type="dxa" w:w="100"/>
              <w:bottom w:type="dxa" w:w="80"/>
              <w:right w:type="dxa" w:w="100"/>
            </w:tcMar>
          </w:tcPr>
          <w:p>
            <w:r>
              <w:rPr>
                <w:b w:val="false"/>
                <w:bCs w:val="false"/>
                <w:i/>
                <w:iCs/>
                <w:color w:val="C0392B"/>
              </w:rPr>
              <w:t xml:space="preserve">[à compléter]</w:t>
            </w:r>
          </w:p>
        </w:tc>
        <w:tc>
          <w:tcPr>
            <w:tcW w:type="dxa" w:w="1300"/>
            <w:tcMar>
              <w:top w:type="dxa" w:w="80"/>
              <w:left w:type="dxa" w:w="100"/>
              <w:bottom w:type="dxa" w:w="80"/>
              <w:right w:type="dxa" w:w="100"/>
            </w:tcMar>
          </w:tcPr>
          <w:p>
            <w:r>
              <w:rPr>
                <w:b w:val="false"/>
                <w:bCs w:val="false"/>
                <w:i/>
                <w:iCs/>
                <w:color w:val="C0392B"/>
              </w:rPr>
              <w:t xml:space="preserve">[à compléter]</w:t>
            </w:r>
          </w:p>
        </w:tc>
        <w:tc>
          <w:tcPr>
            <w:tcW w:type="dxa" w:w="2550"/>
            <w:tcMar>
              <w:top w:type="dxa" w:w="80"/>
              <w:left w:type="dxa" w:w="100"/>
              <w:bottom w:type="dxa" w:w="80"/>
              <w:right w:type="dxa" w:w="100"/>
            </w:tcMar>
          </w:tcPr>
          <w:p>
            <w:r>
              <w:rPr>
                <w:b w:val="false"/>
                <w:bCs w:val="false"/>
                <w:i/>
                <w:iCs/>
                <w:color w:val="C0392B"/>
              </w:rPr>
              <w:t xml:space="preserve">[à compléter]</w:t>
            </w:r>
          </w:p>
        </w:tc>
      </w:tr>
    </w:tbl>
    <w:p>
      <w:pPr>
        <w:spacing w:after="300"/>
      </w:pPr>
    </w:p>
    <w:p>
      <w:pPr>
        <w:spacing w:after="160"/>
      </w:pPr>
      <w:r>
        <w:rPr>
          <w:b/>
          <w:bCs/>
          <w:color w:val="0E7C4A"/>
          <w:sz w:val="24"/>
          <w:szCs w:val="24"/>
        </w:rPr>
        <w:t xml:space="preserve">5. Équipe technique proposée (indicative)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50"/>
      </w:tblGrid>
      <w:tr>
        <w:trPr>
          <w:tblHeader/>
        </w:trPr>
        <w:tc>
          <w:tcPr>
            <w:tcW w:type="dxa" w:w="2100"/>
            <w:shd w:fill="0A4F33" w:val="clear"/>
            <w:tcMar>
              <w:top w:type="dxa" w:w="80"/>
              <w:left w:type="dxa" w:w="100"/>
              <w:bottom w:type="dxa" w:w="80"/>
              <w:right w:type="dxa" w:w="100"/>
            </w:tcMar>
          </w:tcPr>
          <w:p>
            <w:r>
              <w:rPr>
                <w:b/>
                <w:bCs/>
                <w:color w:val="FFFFFF"/>
                <w:sz w:val="20"/>
                <w:szCs w:val="20"/>
              </w:rPr>
              <w:t xml:space="preserve">Nom</w:t>
            </w:r>
          </w:p>
        </w:tc>
        <w:tc>
          <w:tcPr>
            <w:tcW w:type="dxa" w:w="2400"/>
            <w:shd w:fill="0A4F33" w:val="clear"/>
            <w:tcMar>
              <w:top w:type="dxa" w:w="80"/>
              <w:left w:type="dxa" w:w="100"/>
              <w:bottom w:type="dxa" w:w="80"/>
              <w:right w:type="dxa" w:w="100"/>
            </w:tcMar>
          </w:tcPr>
          <w:p>
            <w:r>
              <w:rPr>
                <w:b/>
                <w:bCs/>
                <w:color w:val="FFFFFF"/>
                <w:sz w:val="20"/>
                <w:szCs w:val="20"/>
              </w:rPr>
              <w:t xml:space="preserve">Fonction proposée</w:t>
            </w:r>
          </w:p>
        </w:tc>
        <w:tc>
          <w:tcPr>
            <w:tcW w:type="dxa" w:w="2400"/>
            <w:shd w:fill="0A4F33" w:val="clear"/>
            <w:tcMar>
              <w:top w:type="dxa" w:w="80"/>
              <w:left w:type="dxa" w:w="100"/>
              <w:bottom w:type="dxa" w:w="80"/>
              <w:right w:type="dxa" w:w="100"/>
            </w:tcMar>
          </w:tcPr>
          <w:p>
            <w:r>
              <w:rPr>
                <w:b/>
                <w:bCs/>
                <w:color w:val="FFFFFF"/>
                <w:sz w:val="20"/>
                <w:szCs w:val="20"/>
              </w:rPr>
              <w:t xml:space="preserve">Qualification / domaine</w:t>
            </w:r>
          </w:p>
        </w:tc>
        <w:tc>
          <w:tcPr>
            <w:tcW w:type="dxa" w:w="2450"/>
            <w:shd w:fill="0A4F33" w:val="clear"/>
            <w:tcMar>
              <w:top w:type="dxa" w:w="80"/>
              <w:left w:type="dxa" w:w="100"/>
              <w:bottom w:type="dxa" w:w="80"/>
              <w:right w:type="dxa" w:w="100"/>
            </w:tcMar>
          </w:tcPr>
          <w:p>
            <w:r>
              <w:rPr>
                <w:b/>
                <w:bCs/>
                <w:color w:val="FFFFFF"/>
                <w:sz w:val="20"/>
                <w:szCs w:val="20"/>
              </w:rPr>
              <w:t xml:space="preserve">Expérience pertinente</w:t>
            </w:r>
          </w:p>
        </w:tc>
      </w:tr>
      <w:tr>
        <w:tc>
          <w:tcPr>
            <w:tcW w:type="dxa" w:w="2100"/>
            <w:tcMar>
              <w:top w:type="dxa" w:w="80"/>
              <w:left w:type="dxa" w:w="100"/>
              <w:bottom w:type="dxa" w:w="80"/>
              <w:right w:type="dxa" w:w="100"/>
            </w:tcMar>
          </w:tcPr>
          <w:p>
            <w:r>
              <w:rPr>
                <w:b w:val="false"/>
                <w:bCs w:val="false"/>
                <w:i/>
                <w:iCs/>
                <w:color w:val="C0392B"/>
              </w:rPr>
              <w:t xml:space="preserve">[à compléter]</w:t>
            </w:r>
          </w:p>
        </w:tc>
        <w:tc>
          <w:tcPr>
            <w:tcW w:type="dxa" w:w="2400"/>
            <w:tcMar>
              <w:top w:type="dxa" w:w="80"/>
              <w:left w:type="dxa" w:w="100"/>
              <w:bottom w:type="dxa" w:w="80"/>
              <w:right w:type="dxa" w:w="100"/>
            </w:tcMar>
          </w:tcPr>
          <w:p>
            <w:r>
              <w:rPr>
                <w:b w:val="false"/>
                <w:bCs w:val="false"/>
                <w:color w:val="10242F"/>
                <w:sz w:val="20"/>
                <w:szCs w:val="20"/>
              </w:rPr>
              <w:t xml:space="preserve">Chef de mission / Formateur principal</w:t>
            </w:r>
          </w:p>
        </w:tc>
        <w:tc>
          <w:tcPr>
            <w:tcW w:type="dxa" w:w="2400"/>
            <w:tcMar>
              <w:top w:type="dxa" w:w="80"/>
              <w:left w:type="dxa" w:w="100"/>
              <w:bottom w:type="dxa" w:w="80"/>
              <w:right w:type="dxa" w:w="100"/>
            </w:tcMar>
          </w:tcPr>
          <w:p>
            <w:r>
              <w:rPr>
                <w:b w:val="false"/>
                <w:bCs w:val="false"/>
                <w:i/>
                <w:iCs/>
                <w:color w:val="C0392B"/>
              </w:rPr>
              <w:t xml:space="preserve">[à compléter]</w:t>
            </w:r>
          </w:p>
        </w:tc>
        <w:tc>
          <w:tcPr>
            <w:tcW w:type="dxa" w:w="2450"/>
            <w:tcMar>
              <w:top w:type="dxa" w:w="80"/>
              <w:left w:type="dxa" w:w="100"/>
              <w:bottom w:type="dxa" w:w="80"/>
              <w:right w:type="dxa" w:w="100"/>
            </w:tcMar>
          </w:tcPr>
          <w:p>
            <w:r>
              <w:rPr>
                <w:b w:val="false"/>
                <w:bCs w:val="false"/>
                <w:i/>
                <w:iCs/>
                <w:color w:val="C0392B"/>
              </w:rPr>
              <w:t xml:space="preserve">[à compléter]</w:t>
            </w:r>
          </w:p>
        </w:tc>
      </w:tr>
      <w:tr>
        <w:tc>
          <w:tcPr>
            <w:tcW w:type="dxa" w:w="2100"/>
            <w:tcMar>
              <w:top w:type="dxa" w:w="80"/>
              <w:left w:type="dxa" w:w="100"/>
              <w:bottom w:type="dxa" w:w="80"/>
              <w:right w:type="dxa" w:w="100"/>
            </w:tcMar>
          </w:tcPr>
          <w:p>
            <w:r>
              <w:rPr>
                <w:b w:val="false"/>
                <w:bCs w:val="false"/>
                <w:i/>
                <w:iCs/>
                <w:color w:val="C0392B"/>
              </w:rPr>
              <w:t xml:space="preserve">[à compléter]</w:t>
            </w:r>
          </w:p>
        </w:tc>
        <w:tc>
          <w:tcPr>
            <w:tcW w:type="dxa" w:w="2400"/>
            <w:tcMar>
              <w:top w:type="dxa" w:w="80"/>
              <w:left w:type="dxa" w:w="100"/>
              <w:bottom w:type="dxa" w:w="80"/>
              <w:right w:type="dxa" w:w="100"/>
            </w:tcMar>
          </w:tcPr>
          <w:p>
            <w:r>
              <w:rPr>
                <w:b w:val="false"/>
                <w:bCs w:val="false"/>
                <w:color w:val="10242F"/>
                <w:sz w:val="20"/>
                <w:szCs w:val="20"/>
              </w:rPr>
              <w:t xml:space="preserve">Spécialiste gestion des bassins versants / GRN</w:t>
            </w:r>
          </w:p>
        </w:tc>
        <w:tc>
          <w:tcPr>
            <w:tcW w:type="dxa" w:w="2400"/>
            <w:tcMar>
              <w:top w:type="dxa" w:w="80"/>
              <w:left w:type="dxa" w:w="100"/>
              <w:bottom w:type="dxa" w:w="80"/>
              <w:right w:type="dxa" w:w="100"/>
            </w:tcMar>
          </w:tcPr>
          <w:p>
            <w:r>
              <w:rPr>
                <w:b w:val="false"/>
                <w:bCs w:val="false"/>
                <w:i/>
                <w:iCs/>
                <w:color w:val="C0392B"/>
              </w:rPr>
              <w:t xml:space="preserve">[à compléter]</w:t>
            </w:r>
          </w:p>
        </w:tc>
        <w:tc>
          <w:tcPr>
            <w:tcW w:type="dxa" w:w="2450"/>
            <w:tcMar>
              <w:top w:type="dxa" w:w="80"/>
              <w:left w:type="dxa" w:w="100"/>
              <w:bottom w:type="dxa" w:w="80"/>
              <w:right w:type="dxa" w:w="100"/>
            </w:tcMar>
          </w:tcPr>
          <w:p>
            <w:r>
              <w:rPr>
                <w:b w:val="false"/>
                <w:bCs w:val="false"/>
                <w:i/>
                <w:iCs/>
                <w:color w:val="C0392B"/>
              </w:rPr>
              <w:t xml:space="preserve">[à compléter]</w:t>
            </w:r>
          </w:p>
        </w:tc>
      </w:tr>
      <w:tr>
        <w:tc>
          <w:tcPr>
            <w:tcW w:type="dxa" w:w="2100"/>
            <w:tcMar>
              <w:top w:type="dxa" w:w="80"/>
              <w:left w:type="dxa" w:w="100"/>
              <w:bottom w:type="dxa" w:w="80"/>
              <w:right w:type="dxa" w:w="100"/>
            </w:tcMar>
          </w:tcPr>
          <w:p>
            <w:r>
              <w:rPr>
                <w:b w:val="false"/>
                <w:bCs w:val="false"/>
                <w:i/>
                <w:iCs/>
                <w:color w:val="C0392B"/>
              </w:rPr>
              <w:t xml:space="preserve">[à compléter]</w:t>
            </w:r>
          </w:p>
        </w:tc>
        <w:tc>
          <w:tcPr>
            <w:tcW w:type="dxa" w:w="2400"/>
            <w:tcMar>
              <w:top w:type="dxa" w:w="80"/>
              <w:left w:type="dxa" w:w="100"/>
              <w:bottom w:type="dxa" w:w="80"/>
              <w:right w:type="dxa" w:w="100"/>
            </w:tcMar>
          </w:tcPr>
          <w:p>
            <w:r>
              <w:rPr>
                <w:b w:val="false"/>
                <w:bCs w:val="false"/>
                <w:color w:val="10242F"/>
                <w:sz w:val="20"/>
                <w:szCs w:val="20"/>
              </w:rPr>
              <w:t xml:space="preserve">Spécialiste appui communautaire / genre</w:t>
            </w:r>
          </w:p>
        </w:tc>
        <w:tc>
          <w:tcPr>
            <w:tcW w:type="dxa" w:w="2400"/>
            <w:tcMar>
              <w:top w:type="dxa" w:w="80"/>
              <w:left w:type="dxa" w:w="100"/>
              <w:bottom w:type="dxa" w:w="80"/>
              <w:right w:type="dxa" w:w="100"/>
            </w:tcMar>
          </w:tcPr>
          <w:p>
            <w:r>
              <w:rPr>
                <w:b w:val="false"/>
                <w:bCs w:val="false"/>
                <w:i/>
                <w:iCs/>
                <w:color w:val="C0392B"/>
              </w:rPr>
              <w:t xml:space="preserve">[à compléter]</w:t>
            </w:r>
          </w:p>
        </w:tc>
        <w:tc>
          <w:tcPr>
            <w:tcW w:type="dxa" w:w="2450"/>
            <w:tcMar>
              <w:top w:type="dxa" w:w="80"/>
              <w:left w:type="dxa" w:w="100"/>
              <w:bottom w:type="dxa" w:w="80"/>
              <w:right w:type="dxa" w:w="100"/>
            </w:tcMar>
          </w:tcPr>
          <w:p>
            <w:r>
              <w:rPr>
                <w:b w:val="false"/>
                <w:bCs w:val="false"/>
                <w:i/>
                <w:iCs/>
                <w:color w:val="C0392B"/>
              </w:rPr>
              <w:t xml:space="preserve">[à compléter]</w:t>
            </w:r>
          </w:p>
        </w:tc>
      </w:tr>
    </w:tbl>
    <w:p>
      <w:pPr>
        <w:spacing w:after="300"/>
      </w:pPr>
    </w:p>
    <w:p>
      <w:pPr>
        <w:spacing w:after="160"/>
      </w:pPr>
      <w:r>
        <w:rPr>
          <w:b/>
          <w:bCs/>
          <w:color w:val="0E7C4A"/>
          <w:sz w:val="24"/>
          <w:szCs w:val="24"/>
        </w:rPr>
        <w:t xml:space="preserve">6. Pièces administratives à joindre au dossier</w:t>
      </w:r>
    </w:p>
    <w:p>
      <w:pPr>
        <w:pStyle w:val="ListParagraph"/>
        <w:numPr>
          <w:ilvl w:val="0"/>
          <w:numId w:val="2"/>
        </w:numPr>
        <w:spacing w:after="80"/>
      </w:pPr>
      <w:r>
        <w:t xml:space="preserve">Statuts et registre de commerce (RCCM)</w:t>
      </w:r>
    </w:p>
    <w:p>
      <w:pPr>
        <w:pStyle w:val="ListParagraph"/>
        <w:numPr>
          <w:ilvl w:val="0"/>
          <w:numId w:val="2"/>
        </w:numPr>
        <w:spacing w:after="80"/>
      </w:pPr>
      <w:r>
        <w:t xml:space="preserve">NINEA / immatriculation fiscale, quitus fiscal</w:t>
      </w:r>
    </w:p>
    <w:p>
      <w:pPr>
        <w:pStyle w:val="ListParagraph"/>
        <w:numPr>
          <w:ilvl w:val="0"/>
          <w:numId w:val="2"/>
        </w:numPr>
        <w:spacing w:after="80"/>
      </w:pPr>
      <w:r>
        <w:t xml:space="preserve">Attestations de bonne exécution des références citées au point 4</w:t>
      </w:r>
    </w:p>
    <w:p>
      <w:pPr>
        <w:pStyle w:val="ListParagraph"/>
        <w:numPr>
          <w:ilvl w:val="0"/>
          <w:numId w:val="2"/>
        </w:numPr>
        <w:spacing w:after="80"/>
      </w:pPr>
      <w:r>
        <w:t xml:space="preserve">CV signés des experts proposés au point 5</w:t>
      </w:r>
    </w:p>
    <w:p>
      <w:pPr>
        <w:pStyle w:val="ListParagraph"/>
        <w:numPr>
          <w:ilvl w:val="0"/>
          <w:numId w:val="2"/>
        </w:numPr>
        <w:spacing w:after="80"/>
      </w:pPr>
      <w:r>
        <w:t xml:space="preserve">Copie de la lettre de manifestation d'intérêt (page 1 du présent dossier)</w:t>
      </w:r>
    </w:p>
    <w:p>
      <w:pPr>
        <w:spacing w:after="300"/>
      </w:pPr>
    </w:p>
    <w:p>
      <w:pPr>
        <w:pBdr>
          <w:top w:val="single" w:color="CCCCCC" w:sz="4" w:space="8"/>
        </w:pBdr>
        <w:spacing w:before="100"/>
        <w:jc w:val="both"/>
      </w:pPr>
      <w:r>
        <w:rPr>
          <w:b w:val="false"/>
          <w:bCs w:val="false"/>
          <w:i/>
          <w:iCs/>
          <w:color w:val="C0392B"/>
        </w:rPr>
        <w:t xml:space="preserve">Document préparé comme base de travail pour Agro Eco Consulting. Les rubriques signalées « [à compléter] » doivent être renseignées avec les informations exactes et les pièces justificatives du cabinet avant dépôt, au plus tard le mardi 29 septembre 2026 à 10h00 (heure locale), sous plis fermés en versions physique et électronique, à l'adresse : PROGRES, Lot N°206, PRTZ – Nouakchott, Mauritanie, ou cpmp@rim-fida.org — en portant la mention « Formation au profit de 200 agriculteurs autour de Ouad Lebyad sur l'agriculture durable, l'entretien communautaire des infrastructures et la gestion des bassins versants ».</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2026-09-17T23:44:19.737Z</dcterms:created>
  <dcterms:modified xsi:type="dcterms:W3CDTF">2026-09-17T23:44:19.746Z</dcterms:modified>
</cp:coreProperties>
</file>

<file path=docProps/custom.xml><?xml version="1.0" encoding="utf-8"?>
<Properties xmlns="http://schemas.openxmlformats.org/officeDocument/2006/custom-properties" xmlns:vt="http://schemas.openxmlformats.org/officeDocument/2006/docPropsVTypes"/>
</file>