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3</w:t>
            </w:r>
          </w:p>
        </w:tc>
      </w:tr>
    </w:tbl>
    <w:p>
      <w:pPr>
        <w:pStyle w:val="Normal"/>
        <w:spacing w:before="0" w:after="160"/>
        <w:jc w:val="center"/>
        <w:rPr/>
      </w:pPr>
      <w:r>
        <w:rPr/>
      </w:r>
    </w:p>
    <w:p>
      <w:pPr>
        <w:pStyle w:val="Normal"/>
        <w:spacing w:before="0" w:after="280"/>
        <w:jc w:val="center"/>
        <w:rPr/>
      </w:pPr>
      <w:r>
        <w:rPr>
          <w:b/>
          <w:i w:val="false"/>
          <w:color w:val="1B5E20"/>
          <w:sz w:val="42"/>
        </w:rPr>
        <w:t>Techniques de production horticole et gestion d'exploitation</w:t>
      </w:r>
    </w:p>
    <w:p>
      <w:pPr>
        <w:pStyle w:val="Normal"/>
        <w:jc w:val="center"/>
        <w:rPr/>
      </w:pPr>
      <w:r>
        <w:rPr/>
        <w:drawing>
          <wp:inline distT="0" distB="0" distL="0" distR="0">
            <wp:extent cx="2930525"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930525" cy="2286000"/>
                    </a:xfrm>
                    <a:prstGeom prst="rect">
                      <a:avLst/>
                    </a:prstGeom>
                  </pic:spPr>
                </pic:pic>
              </a:graphicData>
            </a:graphic>
          </wp:inline>
        </w:drawing>
      </w:r>
    </w:p>
    <w:p>
      <w:pPr>
        <w:pStyle w:val="Normal"/>
        <w:spacing w:before="120" w:after="360"/>
        <w:jc w:val="center"/>
        <w:rPr/>
      </w:pPr>
      <w:r>
        <w:rPr>
          <w:b w:val="false"/>
          <w:i/>
          <w:color w:val="666666"/>
          <w:sz w:val="20"/>
        </w:rPr>
        <w:t>De bonnes pratiques horticoles au service d'une exploitation rentable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3208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08_3877972828">
            <w:r>
              <w:rPr>
                <w:webHidden/>
                <w:rStyle w:val="IndexLink"/>
              </w:rPr>
              <w:t>Sommaire</w:t>
              <w:tab/>
              <w:t>2</w:t>
            </w:r>
          </w:hyperlink>
        </w:p>
        <w:p>
          <w:pPr>
            <w:pStyle w:val="TOC1"/>
            <w:tabs>
              <w:tab w:val="clear" w:pos="9360"/>
              <w:tab w:val="right" w:pos="9359" w:leader="dot"/>
            </w:tabs>
            <w:rPr/>
          </w:pPr>
          <w:hyperlink w:anchor="__RefHeading___Toc3210_3877972828">
            <w:r>
              <w:rPr>
                <w:webHidden/>
                <w:rStyle w:val="IndexLink"/>
              </w:rPr>
              <w:t>Module 3 — Techniques de production horticole et gestion d’exploitation</w:t>
              <w:tab/>
              <w:t>4</w:t>
            </w:r>
          </w:hyperlink>
        </w:p>
        <w:p>
          <w:pPr>
            <w:pStyle w:val="TOC2"/>
            <w:tabs>
              <w:tab w:val="clear" w:pos="9077"/>
              <w:tab w:val="right" w:pos="9359" w:leader="dot"/>
            </w:tabs>
            <w:rPr/>
          </w:pPr>
          <w:hyperlink w:anchor="__RefHeading___Toc3212_3877972828">
            <w:r>
              <w:rPr>
                <w:webHidden/>
                <w:rStyle w:val="IndexLink"/>
              </w:rPr>
              <w:t>Introduction</w:t>
              <w:tab/>
              <w:t>4</w:t>
            </w:r>
          </w:hyperlink>
        </w:p>
        <w:p>
          <w:pPr>
            <w:pStyle w:val="TOC2"/>
            <w:tabs>
              <w:tab w:val="clear" w:pos="9077"/>
              <w:tab w:val="right" w:pos="9359" w:leader="dot"/>
            </w:tabs>
            <w:rPr/>
          </w:pPr>
          <w:hyperlink w:anchor="__RefHeading___Toc3214_3877972828">
            <w:r>
              <w:rPr>
                <w:webHidden/>
                <w:rStyle w:val="IndexLink"/>
              </w:rPr>
              <w:t>Objectifs pédagogiques</w:t>
              <w:tab/>
              <w:t>4</w:t>
            </w:r>
          </w:hyperlink>
        </w:p>
        <w:p>
          <w:pPr>
            <w:pStyle w:val="TOC2"/>
            <w:tabs>
              <w:tab w:val="clear" w:pos="9077"/>
              <w:tab w:val="right" w:pos="9359" w:leader="dot"/>
            </w:tabs>
            <w:rPr/>
          </w:pPr>
          <w:hyperlink w:anchor="__RefHeading___Toc3216_3877972828">
            <w:r>
              <w:rPr>
                <w:webHidden/>
                <w:rStyle w:val="IndexLink"/>
              </w:rPr>
              <w:t>Plan du module</w:t>
              <w:tab/>
              <w:t>5</w:t>
            </w:r>
          </w:hyperlink>
        </w:p>
        <w:p>
          <w:pPr>
            <w:pStyle w:val="TOC2"/>
            <w:tabs>
              <w:tab w:val="clear" w:pos="9077"/>
              <w:tab w:val="right" w:pos="9359" w:leader="dot"/>
            </w:tabs>
            <w:rPr/>
          </w:pPr>
          <w:hyperlink w:anchor="__RefHeading___Toc3218_3877972828">
            <w:r>
              <w:rPr>
                <w:webHidden/>
                <w:rStyle w:val="IndexLink"/>
              </w:rPr>
              <w:t>1. Les bases agronomiques de la production horticole</w:t>
              <w:tab/>
              <w:t>5</w:t>
            </w:r>
          </w:hyperlink>
        </w:p>
        <w:p>
          <w:pPr>
            <w:pStyle w:val="TOC3"/>
            <w:tabs>
              <w:tab w:val="clear" w:pos="8793"/>
              <w:tab w:val="right" w:pos="9359" w:leader="dot"/>
            </w:tabs>
            <w:rPr/>
          </w:pPr>
          <w:hyperlink w:anchor="__RefHeading___Toc3220_3877972828">
            <w:r>
              <w:rPr>
                <w:webHidden/>
                <w:rStyle w:val="IndexLink"/>
              </w:rPr>
              <w:t>1.1 Choix des cultures et itinéraires techniques</w:t>
              <w:tab/>
              <w:t>5</w:t>
            </w:r>
          </w:hyperlink>
        </w:p>
        <w:p>
          <w:pPr>
            <w:pStyle w:val="TOC3"/>
            <w:tabs>
              <w:tab w:val="clear" w:pos="8793"/>
              <w:tab w:val="right" w:pos="9359" w:leader="dot"/>
            </w:tabs>
            <w:rPr/>
          </w:pPr>
          <w:hyperlink w:anchor="__RefHeading___Toc3222_3877972828">
            <w:r>
              <w:rPr>
                <w:webHidden/>
                <w:rStyle w:val="IndexLink"/>
              </w:rPr>
              <w:t>1.2 Calendrier cultural et planification dans le temps</w:t>
              <w:tab/>
              <w:t>6</w:t>
            </w:r>
          </w:hyperlink>
        </w:p>
        <w:p>
          <w:pPr>
            <w:pStyle w:val="TOC3"/>
            <w:tabs>
              <w:tab w:val="clear" w:pos="8793"/>
              <w:tab w:val="right" w:pos="9359" w:leader="dot"/>
            </w:tabs>
            <w:rPr/>
          </w:pPr>
          <w:hyperlink w:anchor="__RefHeading___Toc3224_3877972828">
            <w:r>
              <w:rPr>
                <w:webHidden/>
                <w:rStyle w:val="IndexLink"/>
              </w:rPr>
              <w:t>1.3 Irrigation et fertilisation raisonnées</w:t>
              <w:tab/>
              <w:t>7</w:t>
            </w:r>
          </w:hyperlink>
        </w:p>
        <w:p>
          <w:pPr>
            <w:pStyle w:val="TOC3"/>
            <w:tabs>
              <w:tab w:val="clear" w:pos="8793"/>
              <w:tab w:val="right" w:pos="9359" w:leader="dot"/>
            </w:tabs>
            <w:rPr/>
          </w:pPr>
          <w:hyperlink w:anchor="__RefHeading___Toc3226_3877972828">
            <w:r>
              <w:rPr>
                <w:webHidden/>
                <w:rStyle w:val="IndexLink"/>
              </w:rPr>
              <w:t>1.4 Protection phytosanitaire raisonnée</w:t>
              <w:tab/>
              <w:t>7</w:t>
            </w:r>
          </w:hyperlink>
        </w:p>
        <w:p>
          <w:pPr>
            <w:pStyle w:val="TOC2"/>
            <w:tabs>
              <w:tab w:val="clear" w:pos="9077"/>
              <w:tab w:val="right" w:pos="9359" w:leader="dot"/>
            </w:tabs>
            <w:rPr/>
          </w:pPr>
          <w:hyperlink w:anchor="__RefHeading___Toc3228_3877972828">
            <w:r>
              <w:rPr>
                <w:webHidden/>
                <w:rStyle w:val="IndexLink"/>
              </w:rPr>
              <w:t>2. Organisation matérielle et humaine de l’exploitation</w:t>
              <w:tab/>
              <w:t>8</w:t>
            </w:r>
          </w:hyperlink>
        </w:p>
        <w:p>
          <w:pPr>
            <w:pStyle w:val="TOC3"/>
            <w:tabs>
              <w:tab w:val="clear" w:pos="8793"/>
              <w:tab w:val="right" w:pos="9359" w:leader="dot"/>
            </w:tabs>
            <w:rPr/>
          </w:pPr>
          <w:hyperlink w:anchor="__RefHeading___Toc3230_3877972828">
            <w:r>
              <w:rPr>
                <w:webHidden/>
                <w:rStyle w:val="IndexLink"/>
              </w:rPr>
              <w:t>2.1 Planification et aménagement des parcelles</w:t>
              <w:tab/>
              <w:t>8</w:t>
            </w:r>
          </w:hyperlink>
        </w:p>
        <w:p>
          <w:pPr>
            <w:pStyle w:val="TOC3"/>
            <w:tabs>
              <w:tab w:val="clear" w:pos="8793"/>
              <w:tab w:val="right" w:pos="9359" w:leader="dot"/>
            </w:tabs>
            <w:rPr/>
          </w:pPr>
          <w:hyperlink w:anchor="__RefHeading___Toc3232_3877972828">
            <w:r>
              <w:rPr>
                <w:webHidden/>
                <w:rStyle w:val="IndexLink"/>
              </w:rPr>
              <w:t>2.2 Gestion de la main-d’œuvre</w:t>
              <w:tab/>
              <w:t>9</w:t>
            </w:r>
          </w:hyperlink>
        </w:p>
        <w:p>
          <w:pPr>
            <w:pStyle w:val="TOC3"/>
            <w:tabs>
              <w:tab w:val="clear" w:pos="8793"/>
              <w:tab w:val="right" w:pos="9359" w:leader="dot"/>
            </w:tabs>
            <w:rPr/>
          </w:pPr>
          <w:hyperlink w:anchor="__RefHeading___Toc3234_3877972828">
            <w:r>
              <w:rPr>
                <w:webHidden/>
                <w:rStyle w:val="IndexLink"/>
              </w:rPr>
              <w:t>2.3 Choix, utilisation et entretien des équipements</w:t>
              <w:tab/>
              <w:t>9</w:t>
            </w:r>
          </w:hyperlink>
        </w:p>
        <w:p>
          <w:pPr>
            <w:pStyle w:val="TOC2"/>
            <w:tabs>
              <w:tab w:val="clear" w:pos="9077"/>
              <w:tab w:val="right" w:pos="9359" w:leader="dot"/>
            </w:tabs>
            <w:rPr/>
          </w:pPr>
          <w:hyperlink w:anchor="__RefHeading___Toc3236_3877972828">
            <w:r>
              <w:rPr>
                <w:webHidden/>
                <w:rStyle w:val="IndexLink"/>
              </w:rPr>
              <w:t>3. Gestion courante de l’exploitation : coûts, rendement et marge</w:t>
              <w:tab/>
              <w:t>10</w:t>
            </w:r>
          </w:hyperlink>
        </w:p>
        <w:p>
          <w:pPr>
            <w:pStyle w:val="TOC3"/>
            <w:tabs>
              <w:tab w:val="clear" w:pos="8793"/>
              <w:tab w:val="right" w:pos="9359" w:leader="dot"/>
            </w:tabs>
            <w:rPr/>
          </w:pPr>
          <w:hyperlink w:anchor="__RefHeading___Toc3238_3877972828">
            <w:r>
              <w:rPr>
                <w:webHidden/>
                <w:rStyle w:val="IndexLink"/>
              </w:rPr>
              <w:t>3.1 Identifier et suivre les coûts de production</w:t>
              <w:tab/>
              <w:t>10</w:t>
            </w:r>
          </w:hyperlink>
        </w:p>
        <w:p>
          <w:pPr>
            <w:pStyle w:val="TOC3"/>
            <w:tabs>
              <w:tab w:val="clear" w:pos="8793"/>
              <w:tab w:val="right" w:pos="9359" w:leader="dot"/>
            </w:tabs>
            <w:rPr/>
          </w:pPr>
          <w:hyperlink w:anchor="__RefHeading___Toc3240_3877972828">
            <w:r>
              <w:rPr>
                <w:webHidden/>
                <w:rStyle w:val="IndexLink"/>
              </w:rPr>
              <w:t>3.2 Tenir un cahier d’exploitation</w:t>
              <w:tab/>
              <w:t>11</w:t>
            </w:r>
          </w:hyperlink>
        </w:p>
        <w:p>
          <w:pPr>
            <w:pStyle w:val="TOC3"/>
            <w:tabs>
              <w:tab w:val="clear" w:pos="8793"/>
              <w:tab w:val="right" w:pos="9359" w:leader="dot"/>
            </w:tabs>
            <w:rPr/>
          </w:pPr>
          <w:hyperlink w:anchor="__RefHeading___Toc3242_3877972828">
            <w:r>
              <w:rPr>
                <w:webHidden/>
                <w:rStyle w:val="IndexLink"/>
              </w:rPr>
              <w:t>3.3 Calculer un rendement et une marge</w:t>
              <w:tab/>
              <w:t>11</w:t>
            </w:r>
          </w:hyperlink>
        </w:p>
        <w:p>
          <w:pPr>
            <w:pStyle w:val="TOC2"/>
            <w:tabs>
              <w:tab w:val="clear" w:pos="9077"/>
              <w:tab w:val="right" w:pos="9359" w:leader="dot"/>
            </w:tabs>
            <w:rPr/>
          </w:pPr>
          <w:hyperlink w:anchor="__RefHeading___Toc3244_3877972828">
            <w:r>
              <w:rPr>
                <w:webHidden/>
                <w:rStyle w:val="IndexLink"/>
              </w:rPr>
              <w:t>4. Qualité et post-production immédiate</w:t>
              <w:tab/>
              <w:t>12</w:t>
            </w:r>
          </w:hyperlink>
        </w:p>
        <w:p>
          <w:pPr>
            <w:pStyle w:val="TOC3"/>
            <w:tabs>
              <w:tab w:val="clear" w:pos="8793"/>
              <w:tab w:val="right" w:pos="9359" w:leader="dot"/>
            </w:tabs>
            <w:rPr/>
          </w:pPr>
          <w:hyperlink w:anchor="__RefHeading___Toc3246_3877972828">
            <w:r>
              <w:rPr>
                <w:webHidden/>
                <w:rStyle w:val="IndexLink"/>
              </w:rPr>
              <w:t>4.1 Récolte au bon stade et bonnes pratiques</w:t>
              <w:tab/>
              <w:t>12</w:t>
            </w:r>
          </w:hyperlink>
        </w:p>
        <w:p>
          <w:pPr>
            <w:pStyle w:val="TOC3"/>
            <w:tabs>
              <w:tab w:val="clear" w:pos="8793"/>
              <w:tab w:val="right" w:pos="9359" w:leader="dot"/>
            </w:tabs>
            <w:rPr/>
          </w:pPr>
          <w:hyperlink w:anchor="__RefHeading___Toc3248_3877972828">
            <w:r>
              <w:rPr>
                <w:webHidden/>
                <w:rStyle w:val="IndexLink"/>
              </w:rPr>
              <w:t>4.2 Tri, calibrage et valorisation de la qualité</w:t>
              <w:tab/>
              <w:t>13</w:t>
            </w:r>
          </w:hyperlink>
        </w:p>
        <w:p>
          <w:pPr>
            <w:pStyle w:val="TOC3"/>
            <w:tabs>
              <w:tab w:val="clear" w:pos="8793"/>
              <w:tab w:val="right" w:pos="9359" w:leader="dot"/>
            </w:tabs>
            <w:rPr/>
          </w:pPr>
          <w:hyperlink w:anchor="__RefHeading___Toc3250_3877972828">
            <w:r>
              <w:rPr>
                <w:webHidden/>
                <w:rStyle w:val="IndexLink"/>
              </w:rPr>
              <w:t>4.3 Conditionnement, emballage et stockage de courte durée</w:t>
              <w:tab/>
              <w:t>14</w:t>
            </w:r>
          </w:hyperlink>
        </w:p>
        <w:p>
          <w:pPr>
            <w:pStyle w:val="TOC2"/>
            <w:tabs>
              <w:tab w:val="clear" w:pos="9077"/>
              <w:tab w:val="right" w:pos="9359" w:leader="dot"/>
            </w:tabs>
            <w:rPr/>
          </w:pPr>
          <w:hyperlink w:anchor="__RefHeading___Toc3252_3877972828">
            <w:r>
              <w:rPr>
                <w:webHidden/>
                <w:rStyle w:val="IndexLink"/>
              </w:rPr>
              <w:t>5. Bonnes pratiques agroécologiques pour une exploitation durable</w:t>
              <w:tab/>
              <w:t>14</w:t>
            </w:r>
          </w:hyperlink>
        </w:p>
        <w:p>
          <w:pPr>
            <w:pStyle w:val="TOC3"/>
            <w:tabs>
              <w:tab w:val="clear" w:pos="8793"/>
              <w:tab w:val="right" w:pos="9359" w:leader="dot"/>
            </w:tabs>
            <w:rPr/>
          </w:pPr>
          <w:hyperlink w:anchor="__RefHeading___Toc3254_3877972828">
            <w:r>
              <w:rPr>
                <w:webHidden/>
                <w:rStyle w:val="IndexLink"/>
              </w:rPr>
              <w:t>5.1 Rotation et association des cultures</w:t>
              <w:tab/>
              <w:t>14</w:t>
            </w:r>
          </w:hyperlink>
        </w:p>
        <w:p>
          <w:pPr>
            <w:pStyle w:val="TOC3"/>
            <w:tabs>
              <w:tab w:val="clear" w:pos="8793"/>
              <w:tab w:val="right" w:pos="9359" w:leader="dot"/>
            </w:tabs>
            <w:rPr/>
          </w:pPr>
          <w:hyperlink w:anchor="__RefHeading___Toc3256_3877972828">
            <w:r>
              <w:rPr>
                <w:webHidden/>
                <w:rStyle w:val="IndexLink"/>
              </w:rPr>
              <w:t>5.2 Compostage et gestion durable de la fertilité des sols</w:t>
              <w:tab/>
              <w:t>15</w:t>
            </w:r>
          </w:hyperlink>
        </w:p>
        <w:p>
          <w:pPr>
            <w:pStyle w:val="TOC3"/>
            <w:tabs>
              <w:tab w:val="clear" w:pos="8793"/>
              <w:tab w:val="right" w:pos="9359" w:leader="dot"/>
            </w:tabs>
            <w:rPr/>
          </w:pPr>
          <w:hyperlink w:anchor="__RefHeading___Toc3258_3877972828">
            <w:r>
              <w:rPr>
                <w:webHidden/>
                <w:rStyle w:val="IndexLink"/>
              </w:rPr>
              <w:t>5.3 Gestion durable de l’eau et conservation des sols</w:t>
              <w:tab/>
              <w:t>16</w:t>
            </w:r>
          </w:hyperlink>
        </w:p>
        <w:p>
          <w:pPr>
            <w:pStyle w:val="TOC2"/>
            <w:tabs>
              <w:tab w:val="clear" w:pos="9077"/>
              <w:tab w:val="right" w:pos="9359" w:leader="dot"/>
            </w:tabs>
            <w:rPr/>
          </w:pPr>
          <w:hyperlink w:anchor="__RefHeading___Toc3260_3877972828">
            <w:r>
              <w:rPr>
                <w:webHidden/>
                <w:rStyle w:val="IndexLink"/>
              </w:rPr>
              <w:t>Étude de cas</w:t>
              <w:tab/>
              <w:t>17</w:t>
            </w:r>
          </w:hyperlink>
        </w:p>
        <w:p>
          <w:pPr>
            <w:pStyle w:val="TOC2"/>
            <w:tabs>
              <w:tab w:val="clear" w:pos="9077"/>
              <w:tab w:val="right" w:pos="9359" w:leader="dot"/>
            </w:tabs>
            <w:rPr/>
          </w:pPr>
          <w:hyperlink w:anchor="__RefHeading___Toc3262_3877972828">
            <w:r>
              <w:rPr>
                <w:webHidden/>
                <w:rStyle w:val="IndexLink"/>
              </w:rPr>
              <w:t>Outils pratiques</w:t>
              <w:tab/>
              <w:t>18</w:t>
            </w:r>
          </w:hyperlink>
        </w:p>
        <w:p>
          <w:pPr>
            <w:pStyle w:val="TOC3"/>
            <w:tabs>
              <w:tab w:val="clear" w:pos="8793"/>
              <w:tab w:val="right" w:pos="9359" w:leader="dot"/>
            </w:tabs>
            <w:rPr/>
          </w:pPr>
          <w:hyperlink w:anchor="__RefHeading___Toc3264_3877972828">
            <w:r>
              <w:rPr>
                <w:webHidden/>
                <w:rStyle w:val="IndexLink"/>
              </w:rPr>
              <w:t>Modèle simple de cahier d’exploitation (à tenir par culture ou par parcelle)</w:t>
              <w:tab/>
              <w:t>18</w:t>
            </w:r>
          </w:hyperlink>
        </w:p>
        <w:p>
          <w:pPr>
            <w:pStyle w:val="TOC3"/>
            <w:tabs>
              <w:tab w:val="clear" w:pos="8793"/>
              <w:tab w:val="right" w:pos="9359" w:leader="dot"/>
            </w:tabs>
            <w:rPr/>
          </w:pPr>
          <w:hyperlink w:anchor="__RefHeading___Toc3266_3877972828">
            <w:r>
              <w:rPr>
                <w:webHidden/>
                <w:rStyle w:val="IndexLink"/>
              </w:rPr>
              <w:t>Modèle simple de calcul de marge par culture</w:t>
              <w:tab/>
              <w:t>19</w:t>
            </w:r>
          </w:hyperlink>
        </w:p>
        <w:p>
          <w:pPr>
            <w:pStyle w:val="TOC3"/>
            <w:tabs>
              <w:tab w:val="clear" w:pos="8793"/>
              <w:tab w:val="right" w:pos="9359" w:leader="dot"/>
            </w:tabs>
            <w:rPr/>
          </w:pPr>
          <w:hyperlink w:anchor="__RefHeading___Toc3268_3877972828">
            <w:r>
              <w:rPr>
                <w:webHidden/>
                <w:rStyle w:val="IndexLink"/>
              </w:rPr>
              <w:t>Checklist de bonnes pratiques horticoles</w:t>
              <w:tab/>
              <w:t>19</w:t>
            </w:r>
          </w:hyperlink>
        </w:p>
        <w:p>
          <w:pPr>
            <w:pStyle w:val="TOC2"/>
            <w:tabs>
              <w:tab w:val="clear" w:pos="9077"/>
              <w:tab w:val="right" w:pos="9359" w:leader="dot"/>
            </w:tabs>
            <w:rPr/>
          </w:pPr>
          <w:hyperlink w:anchor="__RefHeading___Toc3270_3877972828">
            <w:r>
              <w:rPr>
                <w:webHidden/>
                <w:rStyle w:val="IndexLink"/>
              </w:rPr>
              <w:t>Points clés à retenir</w:t>
              <w:tab/>
              <w:t>20</w:t>
            </w:r>
          </w:hyperlink>
        </w:p>
        <w:p>
          <w:pPr>
            <w:pStyle w:val="TOC2"/>
            <w:tabs>
              <w:tab w:val="clear" w:pos="9077"/>
              <w:tab w:val="right" w:pos="9359" w:leader="dot"/>
            </w:tabs>
            <w:rPr/>
          </w:pPr>
          <w:hyperlink w:anchor="__RefHeading___Toc3272_3877972828">
            <w:r>
              <w:rPr>
                <w:webHidden/>
                <w:rStyle w:val="IndexLink"/>
              </w:rPr>
              <w:t>Mode d’évaluation : QCM</w:t>
              <w:tab/>
              <w:t>20</w:t>
            </w:r>
          </w:hyperlink>
        </w:p>
        <w:p>
          <w:pPr>
            <w:pStyle w:val="TOC2"/>
            <w:tabs>
              <w:tab w:val="clear" w:pos="9077"/>
              <w:tab w:val="right" w:pos="9359" w:leader="dot"/>
            </w:tabs>
            <w:rPr/>
          </w:pPr>
          <w:hyperlink w:anchor="__RefHeading___Toc3274_3877972828">
            <w:r>
              <w:rPr>
                <w:webHidden/>
                <w:rStyle w:val="IndexLink"/>
              </w:rPr>
              <w:t>Pour aller plus loin</w:t>
              <w:tab/>
              <w:t>22</w:t>
            </w:r>
          </w:hyperlink>
        </w:p>
        <w:p>
          <w:pPr>
            <w:pStyle w:val="TOC2"/>
            <w:tabs>
              <w:tab w:val="clear" w:pos="9077"/>
              <w:tab w:val="right" w:pos="9359" w:leader="dot"/>
            </w:tabs>
            <w:rPr/>
          </w:pPr>
          <w:hyperlink w:anchor="__RefHeading___Toc3276_3877972828">
            <w:r>
              <w:rPr>
                <w:webHidden/>
                <w:rStyle w:val="IndexLink"/>
              </w:rPr>
              <w:t>Glossaire</w:t>
              <w:tab/>
              <w:t>22</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3210_3877972828"/>
      <w:bookmarkStart w:id="2" w:name="X567d0edabd980246233a6a969cd0a31d9ef8313"/>
      <w:bookmarkEnd w:id="1"/>
      <w:r>
        <w:rPr/>
        <w:t>Module 3 — Techniques de production horticole et gestion d’exploitation</w:t>
      </w:r>
    </w:p>
    <w:p>
      <w:pPr>
        <w:pStyle w:val="Heading2"/>
        <w:rPr/>
      </w:pPr>
      <w:bookmarkStart w:id="3" w:name="__RefHeading___Toc3212_3877972828"/>
      <w:bookmarkStart w:id="4" w:name="introduction"/>
      <w:bookmarkEnd w:id="3"/>
      <w:r>
        <w:rPr/>
        <w:t>Introduction</w:t>
      </w:r>
    </w:p>
    <w:p>
      <w:pPr>
        <w:pStyle w:val="FirstParagraph"/>
        <w:rPr/>
      </w:pPr>
      <w:r>
        <w:rPr/>
        <w:t>L’horticulture — production de légumes, de fruits et, dans une moindre mesure, de fleurs et de plantes aromatiques — occupe une place stratégique dans les systèmes agricoles d’Afrique de l’Ouest et d’Afrique centrale. Contrairement aux grandes cultures céréalières qui obéissent à un cycle unique et souvent long, les productions horticoles offrent la possibilité de plusieurs cycles par an, une valorisation économique élevée à l’unité de surface, et une réponse rapide à une demande urbaine en forte croissance. Tomate, oignon, chou, gombo, piment, mangue, agrumes, banane plantain : ces filières irriguent des marchés locaux, régionaux et parfois d’exportation, et constituent pour beaucoup de jeunes agroentrepreneurs une porte d’entrée réaliste vers une activité rentable, y compris sur de petites superficies.</w:t>
      </w:r>
    </w:p>
    <w:p>
      <w:pPr>
        <w:pStyle w:val="BodyText"/>
        <w:rPr/>
      </w:pPr>
      <w:r>
        <w:rPr/>
        <w:t>Cependant, la maîtrise des techniques agronomiques ne suffit pas à elle seule à garantir la réussite d’une exploitation horticole. De nombreux producteurs obtiennent des rendements physiques honorables mais peinent à en tirer un revenu stable, faute d’une gestion rigoureuse : absence de suivi des coûts réels de production, méconnaissance de la marge dégagée par culture, pertes post-récolte importantes, mauvaise planification de la main-d’œuvre ou des équipements. La rentabilité d’une exploitation horticole résulte toujours de la combinaison de deux compétences : produire techniquement bien, et gérer économiquement bien. L’une sans l’autre conduit soit à un travail agronomique de qualité mais non rémunérateur, soit à une gestion comptable rigoureuse appliquée à une production insuffisante ou de mauvaise qualité.</w:t>
      </w:r>
    </w:p>
    <w:p>
      <w:pPr>
        <w:pStyle w:val="BodyText"/>
        <w:rPr/>
      </w:pPr>
      <w:bookmarkStart w:id="5" w:name="X567d0edabd980246233a6a969cd0a31d9ef8313"/>
      <w:r>
        <w:rPr/>
        <w:t>C’est pourquoi ce module associe étroitement les deux dimensions. Il aborde d’abord les bases agronomiques indispensables — choix des cultures, itinéraires techniques, irrigation, fertilisation, protection phytosanitaire raisonnée — puis l’organisation matérielle et humaine de l’exploitation, avant de développer les outils simples de gestion courante que tout agroentrepreneur peut mettre en place dès aujourd’hui : cahier d’exploitation, calcul de coûts, de rendement et de marge. Le module se termine par les enjeux de qualité et de post-production, ainsi que par les pratiques agroécologiques qui assurent la durabilité de l’exploitation sur le long terme. L’ambition est de donner au futur ou jeune agroentrepreneur une vision intégrée : celle d’un chef d’exploitation qui raisonne à la fois en agronome et en gestionnaire.</w:t>
      </w:r>
      <w:bookmarkEnd w:id="5"/>
    </w:p>
    <w:p>
      <w:pPr>
        <w:pStyle w:val="Heading2"/>
        <w:rPr/>
      </w:pPr>
      <w:bookmarkStart w:id="6" w:name="__RefHeading___Toc3214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19"/>
        </w:numPr>
        <w:rPr/>
      </w:pPr>
      <w:r>
        <w:rPr/>
        <w:t>Choisir des cultures horticoles adaptées à son contexte pédoclimatique, à son marché et à ses ressources, et bâtir un itinéraire technique cohérent pour chacune d’elles.</w:t>
      </w:r>
    </w:p>
    <w:p>
      <w:pPr>
        <w:pStyle w:val="Compact"/>
        <w:numPr>
          <w:ilvl w:val="0"/>
          <w:numId w:val="1"/>
        </w:numPr>
        <w:rPr/>
      </w:pPr>
      <w:r>
        <w:rPr/>
        <w:t>Élaborer un calendrier cultural intégrant irrigation, fertilisation et protection phytosanitaire raisonnée.</w:t>
      </w:r>
    </w:p>
    <w:p>
      <w:pPr>
        <w:pStyle w:val="Compact"/>
        <w:numPr>
          <w:ilvl w:val="0"/>
          <w:numId w:val="1"/>
        </w:numPr>
        <w:rPr/>
      </w:pPr>
      <w:r>
        <w:rPr/>
        <w:t>Organiser matériellement et humainement une exploitation horticole : planification des parcelles, gestion de la main-d’œuvre, choix et entretien des équipements.</w:t>
      </w:r>
    </w:p>
    <w:p>
      <w:pPr>
        <w:pStyle w:val="Compact"/>
        <w:numPr>
          <w:ilvl w:val="0"/>
          <w:numId w:val="1"/>
        </w:numPr>
        <w:rPr/>
      </w:pPr>
      <w:r>
        <w:rPr/>
        <w:t>Mettre en place et tenir un cahier d’exploitation permettant de suivre les coûts de production, calculer un rendement et estimer une marge par culture.</w:t>
      </w:r>
    </w:p>
    <w:p>
      <w:pPr>
        <w:pStyle w:val="Compact"/>
        <w:numPr>
          <w:ilvl w:val="0"/>
          <w:numId w:val="1"/>
        </w:numPr>
        <w:rPr/>
      </w:pPr>
      <w:r>
        <w:rPr/>
        <w:t>Appliquer les bonnes pratiques de récolte, de tri, de conditionnement et de stockage pour limiter les pertes post-récolte et valoriser la qualité des produits.</w:t>
      </w:r>
    </w:p>
    <w:p>
      <w:pPr>
        <w:pStyle w:val="Compact"/>
        <w:numPr>
          <w:ilvl w:val="0"/>
          <w:numId w:val="1"/>
        </w:numPr>
        <w:rPr/>
      </w:pPr>
      <w:bookmarkStart w:id="8" w:name="introduction"/>
      <w:r>
        <w:rPr/>
        <w:t>Intégrer des pratiques agroécologiques (rotation, compostage, gestion durable de l’eau et des sols) garantissant la pérennité de l’exploitation.</w:t>
      </w:r>
      <w:bookmarkEnd w:id="8"/>
    </w:p>
    <w:p>
      <w:pPr>
        <w:pStyle w:val="Heading2"/>
        <w:rPr/>
      </w:pPr>
      <w:bookmarkStart w:id="9" w:name="__RefHeading___Toc3216_3877972828"/>
      <w:bookmarkStart w:id="10" w:name="plan-du-module"/>
      <w:bookmarkEnd w:id="9"/>
      <w:r>
        <w:rPr/>
        <w:t>Plan du module</w:t>
      </w:r>
    </w:p>
    <w:p>
      <w:pPr>
        <w:pStyle w:val="Compact"/>
        <w:numPr>
          <w:ilvl w:val="0"/>
          <w:numId w:val="20"/>
        </w:numPr>
        <w:rPr/>
      </w:pPr>
      <w:r>
        <w:rPr/>
        <w:t>Les bases agronomiques de la production horticole</w:t>
      </w:r>
    </w:p>
    <w:p>
      <w:pPr>
        <w:pStyle w:val="Compact"/>
        <w:numPr>
          <w:ilvl w:val="0"/>
          <w:numId w:val="21"/>
        </w:numPr>
        <w:rPr/>
      </w:pPr>
      <w:r>
        <w:rPr/>
        <w:t>Organisation matérielle et humaine de l’exploitation</w:t>
      </w:r>
    </w:p>
    <w:p>
      <w:pPr>
        <w:pStyle w:val="Compact"/>
        <w:numPr>
          <w:ilvl w:val="0"/>
          <w:numId w:val="22"/>
        </w:numPr>
        <w:rPr/>
      </w:pPr>
      <w:r>
        <w:rPr/>
        <w:t>Gestion courante de l’exploitation : coûts, rendement et marge</w:t>
      </w:r>
    </w:p>
    <w:p>
      <w:pPr>
        <w:pStyle w:val="Compact"/>
        <w:numPr>
          <w:ilvl w:val="0"/>
          <w:numId w:val="23"/>
        </w:numPr>
        <w:rPr/>
      </w:pPr>
      <w:r>
        <w:rPr/>
        <w:t>Qualité et post-production immédiate</w:t>
      </w:r>
    </w:p>
    <w:p>
      <w:pPr>
        <w:pStyle w:val="Compact"/>
        <w:numPr>
          <w:ilvl w:val="0"/>
          <w:numId w:val="24"/>
        </w:numPr>
        <w:rPr/>
      </w:pPr>
      <w:bookmarkStart w:id="11" w:name="objectifs-pédagogiques"/>
      <w:r>
        <w:rPr/>
        <w:t>Bonnes pratiques agroécologiques pour une exploitation durable</w:t>
      </w:r>
      <w:bookmarkEnd w:id="11"/>
    </w:p>
    <w:p>
      <w:pPr>
        <w:pStyle w:val="Heading2"/>
        <w:rPr/>
      </w:pPr>
      <w:bookmarkStart w:id="12" w:name="__RefHeading___Toc3218_3877972828"/>
      <w:bookmarkStart w:id="13" w:name="X5ef40ee420b5bcaa03ff1604601d1c453abd01f"/>
      <w:bookmarkEnd w:id="12"/>
      <w:r>
        <w:rPr/>
        <w:t>1. Les bases agronomiques de la production horticole</w:t>
      </w:r>
    </w:p>
    <w:p>
      <w:pPr>
        <w:pStyle w:val="Heading3"/>
        <w:rPr/>
      </w:pPr>
      <w:bookmarkStart w:id="14" w:name="__RefHeading___Toc3220_3877972828"/>
      <w:bookmarkStart w:id="15" w:name="Xb6fc48770a0032e5ad90c2e873fa6bccea1521e"/>
      <w:bookmarkEnd w:id="14"/>
      <w:r>
        <w:rPr/>
        <w:t>1.1 Choix des cultures et itinéraires techniques</w:t>
      </w:r>
    </w:p>
    <w:p>
      <w:pPr>
        <w:pStyle w:val="FirstParagraph"/>
        <w:rPr/>
      </w:pPr>
      <w:r>
        <w:rPr/>
        <w:t>Le choix des cultures horticoles ne doit jamais être laissé au hasard ni dicté uniquement par l’habitude locale. Un agroentrepreneur avisé croise plusieurs critères avant de décider quoi produire : l’adaptation de la culture au climat et au sol de la parcelle, la disponibilité en eau, la demande du marché visé, le niveau d’investissement nécessaire, et la maîtrise technique déjà acquise ou à acquérir. Prenons l’exemple d’un producteur installé dans la zone périurbaine de Bobo-Dioulasso, au Burkina Faso : disposant d’un forage à faible débit, il aura intérêt à privilégier l’oignon ou le piment, moins exigeants en eau que la tomate, plutôt que de se lancer directement dans une culture très gourmande sans sécuriser d’abord son approvisionnement hydrique.</w:t>
      </w:r>
    </w:p>
    <w:p>
      <w:pPr>
        <w:pStyle w:val="BodyText"/>
        <w:rPr/>
      </w:pPr>
      <w:r>
        <w:rPr/>
        <w:t>Chaque culture horticole obéit à un itinéraire technique propre, c’est-à-dire une succession logique et datée d’opérations culturales, de la préparation du sol à la récolte. Pour la tomate, l’itinéraire type comprend : le choix variétal (variété déterminée pour une récolte groupée destinée à la transformation, ou indéterminée pour un étalement de la production sur le marché frais), la pépinière (semis en planches ou en plaques alvéolées, durée de 25 à 30 jours), la préparation du sol (labour, émiettage, buttage), le repiquage à un écartement adapté (souvent 60 x 40 cm), le tuteurage, la fertilisation fractionnée, l’irrigation régulière, la protection phytosanitaire et enfin la récolte échelonnée sur plusieurs semaines. Pour l’oignon, l’itinéraire diffère sensiblement : pépinière plus longue (35 à 45 jours), repiquage plus dense, sensibilité particulière à la photopériode qui impose de bien choisir la variété selon la saison de culture, puis récolte marquée par la chute et le dessèchement des fanes, suivie d’un ressuyage au champ avant stockage.</w:t>
      </w:r>
    </w:p>
    <w:p>
      <w:pPr>
        <w:pStyle w:val="BodyText"/>
        <w:rPr/>
      </w:pPr>
      <w:bookmarkStart w:id="16" w:name="plan-du-module"/>
      <w:r>
        <w:rPr/>
        <w:t>Le chou, largement cultivé autour de villes comme Yaoundé ou Douala, suit un itinéraire proche de celui de la tomate mais tolère mieux des sols moins riches, à condition d’une fertilisation azotée bien conduite. Pour les fruitiers comme le manguier ou les agrumes, la logique change : il ne s’agit plus d’un itinéraire annuel mais d’une gestion pluriannuelle du verger, incluant le choix du greffon, la densité de plantation, la taille de formation puis d’entretien, et une fertilisation adaptée à l’âge de l’arbre. Un jeune agroentrepreneur qui diversifie son exploitation entre maraîchage annuel et arboriculture doit donc apprendre à raisonner sur deux horizons de temps différents : le court terme du cycle maraîcher et le moyen-long terme du verger, ce dernier demandant davantage de patience avant le retour sur investissement mais offrant ensuite des revenus plus réguliers.</w:t>
      </w:r>
      <w:bookmarkEnd w:id="16"/>
    </w:p>
    <w:p>
      <w:pPr>
        <w:pStyle w:val="Heading3"/>
        <w:rPr/>
      </w:pPr>
      <w:bookmarkStart w:id="17" w:name="__RefHeading___Toc3222_3877972828"/>
      <w:bookmarkStart w:id="18" w:name="Xe3dade26ef7939c6079fa63c66d1d3b8c17b2a9"/>
      <w:bookmarkEnd w:id="17"/>
      <w:r>
        <w:rPr/>
        <w:t>1.2 Calendrier cultural et planification dans le temps</w:t>
      </w:r>
    </w:p>
    <w:p>
      <w:pPr>
        <w:pStyle w:val="FirstParagraph"/>
        <w:rPr/>
      </w:pPr>
      <w:r>
        <w:rPr/>
        <w:t>Le calendrier cultural est l’outil qui traduit l’itinéraire technique en dates concrètes, tenant compte du climat local, de la disponibilité en eau et des périodes de forte demande du marché. En zone soudano-sahélienne, la saison sèche fraîche (novembre à février) est traditionnellement la meilleure fenêtre pour la tomate et l’oignon, car la pression parasitaire y est plus faible et l’ensoleillement favorable ; mais elle impose une irrigation d’appoint permanente. La saison des pluies, à l’inverse, facilite l’accès à l’eau mais expose davantage les cultures maraîchères aux maladies fongiques et à l’engorgement des sols, ce qui pousse de nombreux producteurs à privilégier, durant cette période, des cultures plus rustiques comme le gombo ou certaines variétés de chou tolérantes à l’humidité.</w:t>
      </w:r>
    </w:p>
    <w:p>
      <w:pPr>
        <w:pStyle w:val="BodyText"/>
        <w:rPr/>
      </w:pPr>
      <w:r>
        <w:rPr/>
        <w:t>Construire un calendrier cultural suppose de raisonner à rebours à partir de la date de vente souhaitée. Un producteur de la région de Kaolack, au Sénégal, qui vise le marché de l’oignon en période de rareté (juste avant la nouvelle récolte nationale), doit positionner son semis en pépinière plusieurs mois à l’avance, en tenant compte de la durée totale du cycle (généralement 90 à 120 jours après repiquage) et du temps de ressuyage post-récolte. Ce raisonnement « à rebours » évite l’erreur fréquente consistant à semer sans avoir anticipé la période de vente, ce qui conduit souvent à récolter en même temps que tous les autres producteurs de la zone, au moment où les prix sont au plus bas.</w:t>
      </w:r>
    </w:p>
    <w:p>
      <w:pPr>
        <w:pStyle w:val="BodyText"/>
        <w:rPr/>
      </w:pPr>
      <w:bookmarkStart w:id="19" w:name="X5ef40ee420b5bcaa03ff1604601d1c453abd01f"/>
      <w:r>
        <w:rPr/>
        <w:t>Le calendrier cultural gagne à être formalisé par écrit, sous forme de tableau mensuel indiquant, pour chaque parcelle, les opérations prévues : préparation du sol, semis, repiquage, sarclages, apports d’engrais, traitements phytosanitaires, récolte. Cette formalisation permet également d’étaler les récoltes dans le temps en pratiquant des semis échelonnés (par exemple un repiquage de tomate toutes les deux semaines sur trois mois), ce qui réduit le risque de surproduction ponctuelle invendable et assure un revenu plus régulier tout au long de la saison. Le calendrier doit enfin rester un outil vivant, révisé en fonction des aléas climatiques réels et non figé sur le papier : un retard de pluie ou une saison particulièrement chaude imposent souvent d’ajuster les dates initialement prévues.</w:t>
      </w:r>
      <w:bookmarkEnd w:id="19"/>
    </w:p>
    <w:p>
      <w:pPr>
        <w:pStyle w:val="Heading3"/>
        <w:rPr/>
      </w:pPr>
      <w:bookmarkStart w:id="20" w:name="__RefHeading___Toc3224_3877972828"/>
      <w:bookmarkStart w:id="21" w:name="irrigation-et-fertilisation-raisonnées"/>
      <w:bookmarkEnd w:id="20"/>
      <w:r>
        <w:rPr/>
        <w:t>1.3 Irrigation et fertilisation raisonnées</w:t>
      </w:r>
    </w:p>
    <w:p>
      <w:pPr>
        <w:pStyle w:val="FirstParagraph"/>
        <w:rPr/>
      </w:pPr>
      <w:r>
        <w:rPr/>
        <w:t>L’irrigation est souvent le facteur limitant numéro un de la production horticole en zone à saison sèche marquée. Trois grands systèmes coexistent chez les petits et moyens producteurs : l’arrosage manuel à l’arrosoir, adapté aux petites surfaces mais très exigeant en main-d’œuvre ; l’irrigation par aspersion, qui couvre plus rapidement de plus grandes surfaces mais consomme davantage d’eau et favorise parfois les maladies foliaires par humidification du feuillage ; et l’irrigation goutte-à-goutte, plus coûteuse à l’installation mais nettement plus économe en eau et en main-d’œuvre à moyen terme, en apportant l’eau directement au pied de la plante. Un maraîcher installé près du lac de Guiers, au Sénégal, disposant d’un accès facilité à l’eau, pourra se contenter d’un système d’aspersion simple, tandis qu’un producteur en zone à forage limité, comme dans certaines localités du Niger, aura tout intérêt à investir progressivement dans le goutte-à-goutte, quitte à commencer sur une petite parcelle pilote avant de généraliser l’investissement.</w:t>
      </w:r>
    </w:p>
    <w:p>
      <w:pPr>
        <w:pStyle w:val="BodyText"/>
        <w:rPr/>
      </w:pPr>
      <w:r>
        <w:rPr/>
        <w:t>Le pilotage de l’irrigation doit tenir compte du stade de développement de la culture : les besoins en eau sont généralement plus faibles à la levée et en début de cycle, puis augmentent fortement pendant la phase de croissance végétative et la formation des fruits, avant de diminuer légèrement en fin de cycle pour certaines cultures comme l’oignon, où un excès d’eau en fin de cycle nuit à la conservation du bulbe. Observer l’état du sol (humidité en profondeur, et pas seulement en surface) et l’état de la plante (flétrissement en début de journée) reste, en l’absence d’instruments de mesure sophistiqués, le moyen le plus accessible de décider du moment et de la quantité d’arrosage.</w:t>
      </w:r>
    </w:p>
    <w:p>
      <w:pPr>
        <w:pStyle w:val="BodyText"/>
        <w:rPr/>
      </w:pPr>
      <w:bookmarkStart w:id="22" w:name="Xb6fc48770a0032e5ad90c2e873fa6bccea1521e"/>
      <w:r>
        <w:rPr/>
        <w:t>La fertilisation raisonnée repose sur trois piliers : l’apport de matière organique (fumier bien décomposé, compost) qui améliore durablement la structure et la fertilité du sol ; l’apport d’engrais minéraux, à fractionner selon les besoins de la culture (par exemple, pour la tomate, un apport de fond phosphaté et potassique au repiquage, suivi d’apports azotés fractionnés pendant la croissance) ; et l’ajustement aux résultats d’une analyse de sol lorsque celle-ci est accessible, ou à défaut à l’observation des symptômes de carence sur les plantes (jaunissement, croissance ralentie, décoloration des feuilles). Un principe simple à retenir pour l’agroentrepreneur débutant : mieux vaut fractionner les apports d’engrais azotés en plusieurs petites doses réparties sur le cycle qu’apporter une seule fois une forte dose, qui sera en grande partie perdue par lessivage et représente donc un gaspillage d’argent autant qu’un risque environnemental.</w:t>
      </w:r>
      <w:bookmarkEnd w:id="22"/>
    </w:p>
    <w:p>
      <w:pPr>
        <w:pStyle w:val="Heading3"/>
        <w:rPr/>
      </w:pPr>
      <w:bookmarkStart w:id="23" w:name="__RefHeading___Toc3226_3877972828"/>
      <w:bookmarkStart w:id="24" w:name="protection-phytosanitaire-raisonnée"/>
      <w:bookmarkEnd w:id="23"/>
      <w:r>
        <w:rPr/>
        <w:t>1.4 Protection phytosanitaire raisonnée</w:t>
      </w:r>
    </w:p>
    <w:p>
      <w:pPr>
        <w:pStyle w:val="FirstParagraph"/>
        <w:rPr/>
      </w:pPr>
      <w:r>
        <w:rPr/>
        <w:t>La protection phytosanitaire raisonnée consiste à ne recourir aux traitements, notamment chimiques, qu’en dernier ressort et de manière ciblée, après avoir mobilisé en priorité des méthodes préventives et alternatives. La prévention commence dès le choix variétal : privilégier, quand elles existent et sont adaptées au marché visé, des variétés reconnues pour leur tolérance à certaines maladies ou ravageurs locaux. Elle se poursuit par des pratiques culturales limitant la pression parasitaire : rotation des cultures pour éviter l’accumulation de bio-agresseurs spécifiques à une famille botanique, densité de plantation raisonnable favorisant l’aération du feuillage, élimination des résidus de culture infestés, et surveillance régulière des parcelles permettant une détection précoce.</w:t>
      </w:r>
    </w:p>
    <w:p>
      <w:pPr>
        <w:pStyle w:val="BodyText"/>
        <w:rPr/>
      </w:pPr>
      <w:r>
        <w:rPr/>
        <w:t>Sur tomate, l’une des menaces les plus redoutées en Afrique de l’Ouest est la chenille légionnaire ou d’autres foreurs, ainsi que des maladies fongiques comme le mildiou en saison humide. Sur chou, les chenilles défoliatrices constituent le principal ravageur, tandis que sur oignon, les thrips peuvent occasionner des dégâts importants en saison sèche et chaude. Face à ces menaces, la lutte biologique et les biopesticides (extraits de neem, préparations à base de piment ou d’ail, pièges à phéromones) constituent une première ligne de défense accessible et peu coûteuse, particulièrement adaptée aux petites exploitations. Le recours à un insecticide ou fongicide de synthèse doit rester une décision réfléchie, prise sur la base d’un seuil de nuisibilité réellement observé (et non par habitude ou par crainte anticipée), avec le produit le plus sélectif possible, à la dose homologuée, et dans le respect scrupuleux du délai avant récolte indiqué sur l’étiquette, condition indispensable pour protéger à la fois la santé du consommateur, celle du producteur et la qualité commerciale du produit.</w:t>
      </w:r>
    </w:p>
    <w:p>
      <w:pPr>
        <w:pStyle w:val="BodyText"/>
        <w:rPr/>
      </w:pPr>
      <w:bookmarkStart w:id="25" w:name="Xe3dade26ef7939c6079fa63c66d1d3b8c17b2a9"/>
      <w:bookmarkStart w:id="26" w:name="irrigation-et-fertilisation-raisonnées"/>
      <w:r>
        <w:rPr/>
        <w:t>Un agroentrepreneur du village de Klouékanmè, au Bénin, cultivant du chou en saison des pluies, illustre bien cette approche raisonnée : plutôt que de traiter systématiquement chaque semaine par crainte des chenilles, il inspecte ses parcelles deux fois par semaine, compte le nombre de plants atteints sur un échantillon représentatif, et ne déclenche un traitement que lorsque le seuil qu’il s’est fixé est dépassé. Cette pratique lui permet de réduire ses charges en produits phytosanitaires tout en préservant les auxiliaires naturels (prédateurs de ravageurs) présents sur sa parcelle, contribuant ainsi à un équilibre plus durable.</w:t>
      </w:r>
      <w:bookmarkEnd w:id="25"/>
      <w:bookmarkEnd w:id="26"/>
    </w:p>
    <w:p>
      <w:pPr>
        <w:pStyle w:val="Heading2"/>
        <w:rPr/>
      </w:pPr>
      <w:bookmarkStart w:id="27" w:name="__RefHeading___Toc3228_3877972828"/>
      <w:bookmarkStart w:id="28" w:name="X75e945cffd831dbb2ab1e78d9c9938d651e0259"/>
      <w:bookmarkEnd w:id="27"/>
      <w:r>
        <w:rPr/>
        <w:t>2. Organisation matérielle et humaine de l’exploitation</w:t>
      </w:r>
    </w:p>
    <w:p>
      <w:pPr>
        <w:pStyle w:val="Heading3"/>
        <w:rPr/>
      </w:pPr>
      <w:bookmarkStart w:id="29" w:name="__RefHeading___Toc3230_3877972828"/>
      <w:bookmarkStart w:id="30" w:name="X90f8d2bc6e60bcafd6b08f97496318f846e5d6f"/>
      <w:bookmarkEnd w:id="29"/>
      <w:r>
        <w:rPr/>
        <w:t>2.1 Planification et aménagement des parcelles</w:t>
      </w:r>
    </w:p>
    <w:p>
      <w:pPr>
        <w:pStyle w:val="FirstParagraph"/>
        <w:rPr/>
      </w:pPr>
      <w:r>
        <w:rPr/>
        <w:t>Une exploitation horticole bien organisée commence par une planification réfléchie de l’espace disponible. Il s’agit de répartir les parcelles en fonction de plusieurs critères : la proximité du point d’eau (les cultures les plus exigeantes en irrigation doivent être installées le plus près possible du forage ou du puits, afin de limiter la pénibilité et le temps de transport de l’eau), la nature du sol (les zones les plus fertiles ou les mieux drainées étant réservées aux cultures les plus sensibles), l’exposition au soleil et au vent, ainsi que la facilité d’accès pour la surveillance et les interventions.</w:t>
      </w:r>
    </w:p>
    <w:p>
      <w:pPr>
        <w:pStyle w:val="BodyText"/>
        <w:rPr/>
      </w:pPr>
      <w:r>
        <w:rPr/>
        <w:t>Il est recommandé de subdiviser l’exploitation en blocs ou planches identifiées (par exemple parcelle A, B, C, ou par nom de culture), chacune de dimension homogène, ce qui facilite à la fois la gestion technique (calcul des doses d’intrants au mètre carré ou à l’hectare) et la gestion économique (suivi des coûts et des rendements par parcelle). Cette division en unités de gestion permet également d’organiser la rotation des cultures dans l’espace, en anticipant sur plusieurs saisons la succession des familles botaniques sur chaque parcelle, principe fondamental abordé plus en détail dans la dernière section de ce module.</w:t>
      </w:r>
    </w:p>
    <w:p>
      <w:pPr>
        <w:pStyle w:val="BodyText"/>
        <w:rPr/>
      </w:pPr>
      <w:bookmarkStart w:id="31" w:name="protection-phytosanitaire-raisonnée"/>
      <w:r>
        <w:rPr/>
        <w:t>L’aménagement doit aussi prévoir des espaces fonctionnels souvent négligés par les jeunes exploitants : une zone de pépinière protégée (ombrière légère, proximité d’un point d’eau facile), un espace de stockage des intrants à l’abri de l’humidité et du soleil direct, une aire de tri et conditionnement des récoltes, et si possible un accès carrossable permettant l’évacuation facile de la production vers le marché. Prenons l’exemple d’une exploitation de deux hectares près de Thiès, au Sénégal : le producteur y a organisé son terrain en six planches de maraîchage rapproché autour du forage, une zone d’un demi-hectare de verger d’agrumes en périphérie moins arrosée, et un petit hangar de conditionnement en bordure de la piste d’accès. Cette organisation spatiale, pensée dès l’installation, lui fait gagner un temps précieux au quotidien et réduit sensiblement la pénibilité du travail.</w:t>
      </w:r>
      <w:bookmarkEnd w:id="31"/>
    </w:p>
    <w:p>
      <w:pPr>
        <w:pStyle w:val="Heading3"/>
        <w:rPr/>
      </w:pPr>
      <w:bookmarkStart w:id="32" w:name="__RefHeading___Toc3232_3877972828"/>
      <w:bookmarkStart w:id="33" w:name="gestion-de-la-main-dœuvre"/>
      <w:bookmarkEnd w:id="32"/>
      <w:r>
        <w:rPr/>
        <w:t>2.2 Gestion de la main-d’œuvre</w:t>
      </w:r>
    </w:p>
    <w:p>
      <w:pPr>
        <w:pStyle w:val="FirstParagraph"/>
        <w:rPr/>
      </w:pPr>
      <w:r>
        <w:rPr/>
        <w:t>La main-d’œuvre représente, avec l’eau et les intrants, l’une des principales charges d’une exploitation horticole, en particulier pour les opérations à forte intensité de travail comme le repiquage, le sarclage, l’arrosage manuel ou la récolte. Une bonne gestion de la main-d’œuvre commence par une estimation réaliste des besoins selon le calendrier cultural : combien de journées de travail sont nécessaires pour repiquer telle surface de tomate, pour sarcler telle planche d’oignon, pour récolter telle quantité de chou ? Cette estimation, affinée avec l’expérience, permet d’anticiper les pics de besoin en main-d’œuvre (souvent au repiquage et à la récolte) et d’éviter les situations de tension où l’on manque de bras au moment critique, avec pour conséquence des pertes de récolte ou un retard préjudiciable dans les opérations suivantes.</w:t>
      </w:r>
    </w:p>
    <w:p>
      <w:pPr>
        <w:pStyle w:val="BodyText"/>
        <w:rPr/>
      </w:pPr>
      <w:r>
        <w:rPr/>
        <w:t>L’agroentrepreneur doit également arbitrer entre main-d’œuvre familiale, main-d’œuvre salariée permanente et main-d’œuvre journalière ou saisonnière. La main-d’œuvre familiale, souvent non rémunérée explicitement, doit néanmoins être valorisée dans les calculs économiques : ne pas comptabiliser le travail familial revient à sous-estimer le véritable coût de production et peut conduire à des décisions erronées (par exemple, poursuivre une activité qui ne dégagerait en réalité aucun revenu si le travail familial était rémunéré à son juste prix). La main-d’œuvre journalière offre une flexibilité précieuse pour absorber les pics de travail, mais implique une supervision plus rapprochée et une organisation claire des tâches pour éviter les pertes de temps et de productivité.</w:t>
      </w:r>
    </w:p>
    <w:p>
      <w:pPr>
        <w:pStyle w:val="BodyText"/>
        <w:rPr/>
      </w:pPr>
      <w:bookmarkStart w:id="34" w:name="X75e945cffd831dbb2ab1e78d9c9938d651e0259"/>
      <w:r>
        <w:rPr/>
        <w:t>Une exploitation en croissance, comme celle de la coopérative maraîchère fictive de Bobo-Dioulasso qui emploie une équipe de cinq ouvriers permanents renforcée par une dizaine de journaliers en période de récolte, gagne à formaliser un minimum d’organisation du travail : répartition claire des responsabilités (un chef d’équipe pour la pépinière, un autre pour l’irrigation), fixation d’objectifs journaliers réalistes et vérifiables, et tenue d’un registre de présence et de paiement des journaliers. Cette rigueur, loin d’être une contrainte bureaucratique superflue, protège à la fois l’employeur (traçabilité des charges de main-d’œuvre, base pour le calcul des coûts) et les travailleurs (transparence sur les jours travaillés et les montants dus).</w:t>
      </w:r>
      <w:bookmarkEnd w:id="34"/>
    </w:p>
    <w:p>
      <w:pPr>
        <w:pStyle w:val="Heading3"/>
        <w:rPr/>
      </w:pPr>
      <w:bookmarkStart w:id="35" w:name="__RefHeading___Toc3234_3877972828"/>
      <w:bookmarkStart w:id="36" w:name="Xd60d48a301d374aafdab2445a15e2733dd4ffd3"/>
      <w:bookmarkEnd w:id="35"/>
      <w:r>
        <w:rPr/>
        <w:t>2.3 Choix, utilisation et entretien des équipements</w:t>
      </w:r>
    </w:p>
    <w:p>
      <w:pPr>
        <w:pStyle w:val="FirstParagraph"/>
        <w:rPr/>
      </w:pPr>
      <w:r>
        <w:rPr/>
        <w:t>Le choix des équipements dépend étroitement de la taille de l’exploitation, du niveau de capitalisation du producteur et du type de culture pratiqué. Pour une petite exploitation maraîchère d’un quart d’hectare à un hectare, l’équipement de base reste largement manuel : houes, dabas, arrosoirs, pulvérisateurs à dos, brouettes, petit matériel de pépinière (plaques alvéolées, ombrières). À mesure que l’exploitation grandit, l’investissement dans des équipements motorisés ou semi-mécanisés devient pertinent : motopompe pour l’irrigation, kit de goutte-à-goutte, éventuellement un motoculteur pour la préparation du sol sur de plus grandes surfaces.</w:t>
      </w:r>
    </w:p>
    <w:p>
      <w:pPr>
        <w:pStyle w:val="BodyText"/>
        <w:rPr/>
      </w:pPr>
      <w:r>
        <w:rPr/>
        <w:t>La décision d’investir dans un équipement doit toujours être mise en balance avec son coût d’acquisition, son coût d’entretien et sa durée d’amortissement, notion centrale abordée dans la section suivante consacrée à la gestion des coûts. Un exemple concret : un jeune agroentrepreneur de la région des Savanes, au Togo, hésitant entre l’achat d’une motopompe et la poursuite de l’arrosage manuel sur sa parcelle d’oignon d’un demi-hectare, doit comparer le coût annualisé de la motopompe (prix d’achat divisé par la durée de vie estimée, plus carburant et entretien) au coût du temps de travail actuellement consacré à l’arrosage manuel, valorisé au tarif journalier local. Si l’économie de main-d’œuvre dégagée dépasse le coût annualisé de l’équipement, l’investissement est justifié économiquement, à condition bien sûr de disposer de la trésorerie ou du financement nécessaire pour l’acquérir.</w:t>
      </w:r>
    </w:p>
    <w:p>
      <w:pPr>
        <w:pStyle w:val="BodyText"/>
        <w:rPr/>
      </w:pPr>
      <w:bookmarkStart w:id="37" w:name="X90f8d2bc6e60bcafd6b08f97496318f846e5d6f"/>
      <w:bookmarkStart w:id="38" w:name="gestion-de-la-main-dœuvre"/>
      <w:r>
        <w:rPr/>
        <w:t>L’entretien régulier des équipements est trop souvent négligé, alors qu’il conditionne leur durée de vie et évite des pannes coûteuses en pleine saison. Un plan d’entretien simple doit prévoir : le nettoyage systématique des pulvérisateurs après chaque usage (pour éviter la corrosion et la contamination croisée entre produits), la vérification périodique des tuyaux et raccords du système d’irrigation, la vidange et le contrôle régulier des moteurs thermiques selon les préconisations du fabricant, et le stockage des équipements à l’abri des intempéries en dehors des périodes d’utilisation. Un équipement bien entretenu, même simple, rend souvent plus de services sur la durée qu’un équipement plus sophistiqué mal entretenu.</w:t>
      </w:r>
      <w:bookmarkEnd w:id="37"/>
      <w:bookmarkEnd w:id="38"/>
    </w:p>
    <w:p>
      <w:pPr>
        <w:pStyle w:val="Heading2"/>
        <w:rPr/>
      </w:pPr>
      <w:bookmarkStart w:id="39" w:name="__RefHeading___Toc3236_3877972828"/>
      <w:bookmarkStart w:id="40" w:name="Xc4c959afea529e797bb47ae9a1bfe519dd09e71"/>
      <w:bookmarkEnd w:id="39"/>
      <w:r>
        <w:rPr/>
        <w:t>3. Gestion courante de l’exploitation : coûts, rendement et marge</w:t>
      </w:r>
    </w:p>
    <w:p>
      <w:pPr>
        <w:pStyle w:val="Heading3"/>
        <w:rPr/>
      </w:pPr>
      <w:bookmarkStart w:id="41" w:name="__RefHeading___Toc3238_3877972828"/>
      <w:bookmarkStart w:id="42" w:name="X9a2b3376ac43759b3abc05eca3bcd142ce0236b"/>
      <w:bookmarkEnd w:id="41"/>
      <w:r>
        <w:rPr/>
        <w:t>3.1 Identifier et suivre les coûts de production</w:t>
      </w:r>
    </w:p>
    <w:p>
      <w:pPr>
        <w:pStyle w:val="FirstParagraph"/>
        <w:rPr/>
      </w:pPr>
      <w:r>
        <w:rPr/>
        <w:t>La première étape d’une gestion économique rigoureuse consiste à identifier précisément l’ensemble des coûts engagés pour produire une culture donnée. On distingue généralement les charges opérationnelles ou variables, directement liées au volume de production (semences ou plants, engrais, produits phytosanitaires, eau lorsqu’elle est facturée, main-d’œuvre temporaire, emballages), des charges de structure ou fixes, qui existent indépendamment du niveau de production (amortissement des équipements et infrastructures, salaires de la main-d’œuvre permanente, entretien général de l’exploitation, éventuels frais financiers liés à un crédit).</w:t>
      </w:r>
    </w:p>
    <w:p>
      <w:pPr>
        <w:pStyle w:val="BodyText"/>
        <w:rPr/>
      </w:pPr>
      <w:r>
        <w:rPr/>
        <w:t>Beaucoup de producteurs, même expérimentés sur le plan technique, ne suivent en réalité qu’une partie de leurs coûts — le plus souvent les dépenses en intrants achetés — en oubliant de valoriser le travail familial, l’amortissement du matériel, ou le coût de l’eau lorsqu’elle provient d’un forage personnel entretenu à leurs frais. Cette sous-estimation conduit à une vision biaisée de la rentabilité réelle : une culture peut sembler rentable alors qu’elle ne fait, en réalité, que rémunérer très partiellement le travail investi. Suivre ses coûts suppose donc une discipline simple mais régulière : noter, au fil de l’eau et non a posteriori de mémoire, chaque dépense engagée pour chaque parcelle ou chaque culture, avec sa date, sa nature et son montant.</w:t>
      </w:r>
    </w:p>
    <w:p>
      <w:pPr>
        <w:pStyle w:val="BodyText"/>
        <w:rPr/>
      </w:pPr>
      <w:bookmarkStart w:id="43" w:name="Xd60d48a301d374aafdab2445a15e2733dd4ffd3"/>
      <w:r>
        <w:rPr/>
        <w:t>Un producteur de mangues de la région de Korhogo, en Côte d’Ivoire, illustre l’intérêt de cette discipline : en tenant pour la première fois un suivi détaillé de ses coûts sur son verger, il a découvert que les frais de transport vers le marché urbain représentaient près d’un quart de ses charges totales, une part qu’il sous-estimait largement auparavant. Cette prise de conscience l’a conduit à mutualiser le transport avec deux producteurs voisins, réduisant sensiblement ce poste de coût et améliorant d’autant sa marge, sans changer quoi que ce soit à ses pratiques agronomiques. Cet exemple montre qu’un suivi rigoureux des coûts peut révéler des marges de progrès économiques importantes, parfois indépendantes des choix techniques de production.</w:t>
      </w:r>
      <w:bookmarkEnd w:id="43"/>
    </w:p>
    <w:p>
      <w:pPr>
        <w:pStyle w:val="Heading3"/>
        <w:rPr/>
      </w:pPr>
      <w:bookmarkStart w:id="44" w:name="__RefHeading___Toc3240_3877972828"/>
      <w:bookmarkStart w:id="45" w:name="tenir-un-cahier-dexploitation"/>
      <w:bookmarkEnd w:id="44"/>
      <w:r>
        <w:rPr/>
        <w:t>3.2 Tenir un cahier d’exploitation</w:t>
      </w:r>
    </w:p>
    <w:p>
      <w:pPr>
        <w:pStyle w:val="FirstParagraph"/>
        <w:rPr/>
      </w:pPr>
      <w:r>
        <w:rPr/>
        <w:t>Le cahier d’exploitation est l’outil central de la gestion courante d’une exploitation agricole, quelle que soit sa taille. Il s’agit d’un support simple — cahier papier, carnet, ou tableau numérique pour les producteurs équipés — dans lequel sont enregistrées de manière chronologique et organisée toutes les opérations techniques et tous les mouvements financiers liés à l’exploitation. Un cahier d’exploitation bien tenu comporte généralement plusieurs rubriques : un registre des opérations culturales (dates de semis, repiquage, traitements, récoltes, par parcelle), un registre des dépenses (achats d’intrants, paiements de main-d’œuvre, autres charges), un registre des ventes (quantités vendues, prix, acheteurs), et éventuellement un registre de la main-d’œuvre (présence et paiement des journaliers).</w:t>
      </w:r>
    </w:p>
    <w:p>
      <w:pPr>
        <w:pStyle w:val="BodyText"/>
        <w:rPr/>
      </w:pPr>
      <w:r>
        <w:rPr/>
        <w:t>L’intérêt du cahier d’exploitation dépasse largement le simple archivage : il permet, à la fin de chaque cycle de culture ou de chaque saison, de reconstituer avec précision les coûts engagés, les quantités récoltées et vendues, et donc de calculer les indicateurs de performance technique et économique présentés dans la sous-section suivante. Il constitue également une mémoire précieuse d’une saison à l’autre, permettant de comparer les résultats obtenus avec différentes pratiques (comparaison de deux variétés, de deux doses de fertilisation, de deux dates de semis) et donc d’apprendre progressivement de sa propre expérience de manière objective, plutôt que de se fier uniquement à une impression générale souvent trompeuse.</w:t>
      </w:r>
    </w:p>
    <w:p>
      <w:pPr>
        <w:pStyle w:val="BodyText"/>
        <w:rPr/>
      </w:pPr>
      <w:bookmarkStart w:id="46" w:name="Xc4c959afea529e797bb47ae9a1bfe519dd09e71"/>
      <w:r>
        <w:rPr/>
        <w:t>Enfin, un cahier d’exploitation à jour devient un atout déterminant lorsque l’agroentrepreneur souhaite solliciter un financement auprès d’une institution de microfinance, d’une banque ou d’un partenaire technique : il démontre un minimum de rigueur de gestion et permet de présenter un historique chiffré de l’activité, bien plus convaincant qu’une simple déclaration orale de revenus. La tenue de ce cahier ne demande pourtant que quelques minutes par jour, à condition d’en faire une habitude régulière plutôt qu’une corvée reportée en fin de mois, moment où de nombreux détails auront déjà été oubliés. Un modèle simple de cahier d’exploitation est proposé dans la section « Outils pratiques » de ce module.</w:t>
      </w:r>
      <w:bookmarkEnd w:id="46"/>
    </w:p>
    <w:p>
      <w:pPr>
        <w:pStyle w:val="Heading3"/>
        <w:rPr/>
      </w:pPr>
      <w:bookmarkStart w:id="47" w:name="__RefHeading___Toc3242_3877972828"/>
      <w:bookmarkStart w:id="48" w:name="calculer-un-rendement-et-une-marge"/>
      <w:bookmarkEnd w:id="47"/>
      <w:r>
        <w:rPr/>
        <w:t>3.3 Calculer un rendement et une marge</w:t>
      </w:r>
    </w:p>
    <w:p>
      <w:pPr>
        <w:pStyle w:val="FirstParagraph"/>
        <w:rPr/>
      </w:pPr>
      <w:r>
        <w:rPr/>
        <w:t>Le rendement mesure la quantité produite rapportée à la surface cultivée, généralement exprimé en kilogrammes par hectare ou en tonnes par hectare selon la culture. Son calcul est simple : rendement = quantité totale récoltée ÷ surface cultivée. Ce chiffre, une fois calculé sur plusieurs cycles, permet à l’agroentrepreneur de situer sa propre performance dans le temps (progression ou régression d’une saison à l’autre) et d’identifier les facteurs explicatifs (variété utilisée, conduite de l’irrigation, pression parasitaire de la saison, qualité de la fertilisation). Le rendement seul, cependant, ne dit rien de la rentabilité économique : une culture à haut rendement mais aux coûts de production élevés et au prix de vente faible peut être moins rentable qu’une culture à rendement plus modeste mais mieux valorisée sur le marché.</w:t>
      </w:r>
    </w:p>
    <w:p>
      <w:pPr>
        <w:pStyle w:val="BodyText"/>
        <w:rPr/>
      </w:pPr>
      <w:r>
        <w:rPr/>
        <w:t>C’est pourquoi le calcul de la marge est indispensable en complément du rendement. La marge brute se calcule ainsi : marge brute = produit total des ventes − charges opérationnelles (variables). Elle mesure ce qui reste pour rémunérer le travail non salarié, couvrir les charges de structure et dégager, le cas échéant, un bénéfice. La marge nette, plus complète, déduit en plus les charges de structure (amortissements, salaires permanents, frais financiers) : marge nette = produit total des ventes − (charges opérationnelles + charges de structure). Ces deux indicateurs, rapprochés de la surface cultivée (marge à l’hectare) ou du temps de travail investi (marge par journée de travail), permettent des comparaisons éclairantes entre cultures : à surface égale, quelle culture rémunère le mieux le travail et le capital investis ?</w:t>
      </w:r>
    </w:p>
    <w:p>
      <w:pPr>
        <w:pStyle w:val="BodyText"/>
        <w:rPr/>
      </w:pPr>
      <w:bookmarkStart w:id="49" w:name="X9a2b3376ac43759b3abc05eca3bcd142ce0236b"/>
      <w:bookmarkStart w:id="50" w:name="tenir-un-cahier-dexploitation"/>
      <w:r>
        <w:rPr/>
        <w:t>Illustrons ce raisonnement avec un exemple chiffré simplifié et fictif. Sur une parcelle de 1000 m² de tomate, un producteur récolte 3 tonnes qu’il vend en moyenne à 150 francs CFA le kilogramme, soit un produit total de 450 000 francs CFA. Ses charges opérationnelles (plants, engrais, produits phytosanitaires, eau, main-d’œuvre temporaire de repiquage et de récolte) s’élèvent à 180 000 francs CFA. Sa marge brute est donc de 270 000 francs CFA sur cette parcelle, soit 2 700 000 francs CFA rapportés à l’hectare. En comparant ce résultat à celui obtenu la saison précédente sur une parcelle équivalente cultivée en chou, dont la marge brute à l’hectare s’était établie à 1 800 000 francs CFA, ce producteur dispose d’un argument chiffré objectif pour orienter ses choix de culture pour la saison suivante, en tenant compte également des risques et contraintes propres à chaque spéculation (accès à l’eau, débouché commercial, main-d’œuvre disponible).</w:t>
      </w:r>
      <w:bookmarkEnd w:id="49"/>
      <w:bookmarkEnd w:id="50"/>
    </w:p>
    <w:p>
      <w:pPr>
        <w:pStyle w:val="Heading2"/>
        <w:rPr/>
      </w:pPr>
      <w:bookmarkStart w:id="51" w:name="__RefHeading___Toc3244_3877972828"/>
      <w:bookmarkStart w:id="52" w:name="qualité-et-post-production-immédiate"/>
      <w:bookmarkEnd w:id="51"/>
      <w:r>
        <w:rPr/>
        <w:t>4. Qualité et post-production immédiate</w:t>
      </w:r>
    </w:p>
    <w:p>
      <w:pPr>
        <w:pStyle w:val="Heading3"/>
        <w:rPr/>
      </w:pPr>
      <w:bookmarkStart w:id="53" w:name="__RefHeading___Toc3246_3877972828"/>
      <w:bookmarkStart w:id="54" w:name="récolte-au-bon-stade-et-bonnes-pratiques"/>
      <w:bookmarkEnd w:id="53"/>
      <w:r>
        <w:rPr/>
        <w:t>4.1 Récolte au bon stade et bonnes pratiques</w:t>
      </w:r>
    </w:p>
    <w:p>
      <w:pPr>
        <w:pStyle w:val="FirstParagraph"/>
        <w:rPr/>
      </w:pPr>
      <w:r>
        <w:rPr/>
        <w:t>La qualité finale d’un produit horticole se joue en grande partie au moment de la récolte, opération trop souvent considérée comme une simple formalité alors qu’elle conditionne directement la valeur commerciale et la durée de conservation du produit. Chaque culture possède un stade optimal de récolte, qu’il convient de bien connaître et respecter. La tomate destinée au marché local proche peut être récoltée à un stade plus avancé de maturité (virant au rouge), tandis qu’une tomate destinée à un transport plus long ou à un marché plus éloigné doit être récoltée à un stade « tournant », encore ferme, pour terminer sa maturation pendant l’acheminement sans s’abîmer. L’oignon, à l’inverse, doit être récolté lorsque les fanes commencent à jaunir et à se coucher naturellement, signe que le bulbe a atteint sa maturité physiologique et que sa capacité de conservation sera optimale.</w:t>
      </w:r>
    </w:p>
    <w:p>
      <w:pPr>
        <w:pStyle w:val="BodyText"/>
        <w:rPr/>
      </w:pPr>
      <w:r>
        <w:rPr/>
        <w:t>La récolte doit être réalisée aux heures les plus fraîches de la journée, tôt le matin ou en fin d’après-midi, afin de limiter le stress thermique sur le produit récolté et de préserver sa fermeté. Les gestes de récolte eux-mêmes influencent fortement la qualité : une manipulation brutale des fruits, un remplissage excessif des paniers ou seaux de récolte provoquant un écrasement des couches inférieures, ou l’utilisation de contenants sales ou mal adaptés (sacs de jute pour des tomates fragiles, par exemple) sont des causes fréquentes et évitables de pertes post-récolte. Pour la mangue, un fruit particulièrement sensible aux chocs, l’usage de cageots rigides peu remplis, plutôt que de sacs, réduit considérablement le taux de fruits meurtris ou tachés à l’arrivée sur le marché.</w:t>
      </w:r>
    </w:p>
    <w:p>
      <w:pPr>
        <w:pStyle w:val="BodyText"/>
        <w:rPr/>
      </w:pPr>
      <w:bookmarkStart w:id="55" w:name="calculer-un-rendement-et-une-marge"/>
      <w:r>
        <w:rPr/>
        <w:t>Un producteur d’agrumes de la région du Mbam, au Cameroun, a ainsi constaté qu’en formant ses ouvriers récolteurs à couper les fruits avec un sécateur plutôt qu’à les arracher à la main — pratique qui abîme le pédoncule et favorise ensuite le pourrissement au point d’attache — il avait réduit de manière sensible le taux de fruits rejetés par ses acheteurs pour défaut de présentation. Cet exemple illustre combien des gestes simples, correctement enseignés et appliqués avec rigueur par l’ensemble de l’équipe de récolte, peuvent améliorer significativement la valeur commerciale de la production sans nécessiter d’investissement matériel important.</w:t>
      </w:r>
      <w:bookmarkEnd w:id="55"/>
    </w:p>
    <w:p>
      <w:pPr>
        <w:pStyle w:val="Heading3"/>
        <w:rPr/>
      </w:pPr>
      <w:bookmarkStart w:id="56" w:name="__RefHeading___Toc3248_3877972828"/>
      <w:bookmarkStart w:id="57" w:name="X65cdb55606abb302b78381aed86acd42e527497"/>
      <w:bookmarkEnd w:id="56"/>
      <w:r>
        <w:rPr/>
        <w:t>4.2 Tri, calibrage et valorisation de la qualité</w:t>
      </w:r>
    </w:p>
    <w:p>
      <w:pPr>
        <w:pStyle w:val="FirstParagraph"/>
        <w:rPr/>
      </w:pPr>
      <w:r>
        <w:rPr/>
        <w:t>Une fois récolté, le produit doit être trié avant toute commercialisation. Le tri consiste à séparer les produits sains, bien formés et exempts de dégâts visibles, des produits abîmés, attaqués par des ravageurs ou des maladies, ou présentant des défauts de forme. Cette étape, souvent négligée par manque de temps ou de personnel, est pourtant déterminante : mélanger des produits de qualités hétérogènes dans un même lot tire vers le bas le prix de vente de l’ensemble du lot, l’acheteur (commerçant, transformateur, consommateur) évaluant souvent la qualité globale sur la base des pires éléments visibles.</w:t>
      </w:r>
    </w:p>
    <w:p>
      <w:pPr>
        <w:pStyle w:val="BodyText"/>
        <w:rPr/>
      </w:pPr>
      <w:r>
        <w:rPr/>
        <w:t>Le calibrage, qui consiste à classer les produits selon leur taille (petit, moyen, gros calibre) ou leur poids, permet une valorisation différenciée selon les segments de marché. Les gros calibres d’oignon ou de tomate trouvent souvent un débouché plus rémunérateur sur les marchés urbains ou auprès de certains acheteurs institutionnels (restaurants, hôtels), tandis que les calibres plus petits peuvent être orientés vers la transformation (purée, séchage) ou des marchés de proximité moins exigeants. Cette segmentation, réalisée dès la parcelle ou dans l’aire de conditionnement, permet à l’agroentrepreneur de maximiser la valeur globale tirée de sa récolte plutôt que de vendre l’ensemble en vrac au prix moyen le plus bas.</w:t>
      </w:r>
    </w:p>
    <w:p>
      <w:pPr>
        <w:pStyle w:val="BodyText"/>
        <w:rPr/>
      </w:pPr>
      <w:bookmarkStart w:id="58" w:name="qualité-et-post-production-immédiate"/>
      <w:r>
        <w:rPr/>
        <w:t>Une coopérative maraîchère fictive de la région de Ziguinchor, en Casamance sénégalaise, a par exemple mis en place un tri systématique de sa production de piment en trois catégories, vendues séparément à des prix différenciés : un premier choix pour l’exportation régionale, un deuxième choix pour le marché urbain de Dakar, et les fruits non commercialisables en frais orientés vers le séchage et la transformation en poudre, valorisant ainsi la quasi-totalité de la récolte au lieu de la brader en un lot unique de qualité moyenne. Cette approche demande une organisation légèrement plus exigeante à l’aire de conditionnement, mais génère un gain économique généralement supérieur au temps supplémentaire investi.</w:t>
      </w:r>
      <w:bookmarkEnd w:id="58"/>
    </w:p>
    <w:p>
      <w:pPr>
        <w:pStyle w:val="Heading3"/>
        <w:rPr/>
      </w:pPr>
      <w:bookmarkStart w:id="59" w:name="__RefHeading___Toc3250_3877972828"/>
      <w:bookmarkStart w:id="60" w:name="Xca17e86e78244f1ccc2cde0f0bf3daad9c913dc"/>
      <w:bookmarkEnd w:id="59"/>
      <w:r>
        <w:rPr/>
        <w:t>4.3 Conditionnement, emballage et stockage de courte durée</w:t>
      </w:r>
    </w:p>
    <w:p>
      <w:pPr>
        <w:pStyle w:val="FirstParagraph"/>
        <w:rPr/>
      </w:pPr>
      <w:r>
        <w:rPr/>
        <w:t>Le conditionnement et l’emballage jouent un double rôle : protéger physiquement le produit pendant le transport et le stockage, et contribuer à sa présentation commerciale, un critère qui influence directement le prix que le producteur peut espérer obtenir. Le choix de l’emballage doit être adapté à la fragilité du produit : cageots ajourés en bois ou en plastique pour les fruits fragiles comme la tomate ou la mangue, sacs filet pour l’oignon qui nécessite une bonne aération pour éviter le développement de moisissures, cagettes pour les légumes feuilles qui se flétrissent rapidement. Un emballage inadapté, comme des sacs de jute fermés hermétiquement pour des tomates, favorise l’accumulation de chaleur et d’humidité, accélérant le pourrissement du produit avant même son arrivée sur le marché.</w:t>
      </w:r>
    </w:p>
    <w:p>
      <w:pPr>
        <w:pStyle w:val="BodyText"/>
        <w:rPr/>
      </w:pPr>
      <w:r>
        <w:rPr/>
        <w:t>Pour les produits qui ne sont pas vendus immédiatement après récolte, un stockage de courte durée dans de bonnes conditions permet de limiter les pertes en attendant la commercialisation. Les principes de base sont simples et accessibles à toute exploitation, même sans infrastructure sophistiquée : stocker dans un lieu ombragé et bien ventilé plutôt qu’en plein soleil, éviter l’entassement excessif des produits qui génère de la chaleur par respiration végétale, séparer les produits déjà légèrement abîmés du reste du lot pour éviter la propagation de moisissures, et pour certains produits comme l’oignon, prévoir une phase de séchage ou ressuyage suffisante avant tout stockage prolongé afin d’éviter la pourriture des bulbes encore humides.</w:t>
      </w:r>
    </w:p>
    <w:p>
      <w:pPr>
        <w:pStyle w:val="BodyText"/>
        <w:rPr/>
      </w:pPr>
      <w:bookmarkStart w:id="61" w:name="récolte-au-bon-stade-et-bonnes-pratiques"/>
      <w:bookmarkStart w:id="62" w:name="X65cdb55606abb302b78381aed86acd42e527497"/>
      <w:r>
        <w:rPr/>
        <w:t>Des dispositifs simples et peu coûteux, comme la chambre de conservation par évaporation (structure en briques ou en sable maintenue humide, exploitant le principe du rafraîchissement par évaporation d’eau), permettent de prolonger de plusieurs jours la fraîcheur de légumes comme la tomate ou le chou sans recourir à une réfrigération électrique, souvent inaccessible en zone rurale. Un agroentrepreneur produisant du chou dans la région de Kindia, en Guinée, utilise ainsi une telle structure pour stocker temporairement sa production en attendant le jour de marché hebdomadaire de la ville voisine, réduisant sensiblement le flétrissement qu’il constatait auparavant lorsque les choux récoltés attendaient simplement à l’ombre d’un arbre.</w:t>
      </w:r>
      <w:bookmarkEnd w:id="61"/>
      <w:bookmarkEnd w:id="62"/>
    </w:p>
    <w:p>
      <w:pPr>
        <w:pStyle w:val="Heading2"/>
        <w:rPr/>
      </w:pPr>
      <w:bookmarkStart w:id="63" w:name="__RefHeading___Toc3252_3877972828"/>
      <w:bookmarkStart w:id="64" w:name="X489605ddacf07e71c44bc3bf70c7283cb860fca"/>
      <w:bookmarkEnd w:id="63"/>
      <w:r>
        <w:rPr/>
        <w:t>5. Bonnes pratiques agroécologiques pour une exploitation durable</w:t>
      </w:r>
    </w:p>
    <w:p>
      <w:pPr>
        <w:pStyle w:val="Heading3"/>
        <w:rPr/>
      </w:pPr>
      <w:bookmarkStart w:id="65" w:name="__RefHeading___Toc3254_3877972828"/>
      <w:bookmarkStart w:id="66" w:name="rotation-et-association-des-cultures"/>
      <w:bookmarkEnd w:id="65"/>
      <w:r>
        <w:rPr/>
        <w:t>5.1 Rotation et association des cultures</w:t>
      </w:r>
    </w:p>
    <w:p>
      <w:pPr>
        <w:pStyle w:val="FirstParagraph"/>
        <w:rPr/>
      </w:pPr>
      <w:r>
        <w:rPr/>
        <w:t>La rotation des cultures consiste à faire se succéder, sur une même parcelle et au fil des saisons, des cultures appartenant à des familles botaniques différentes, plutôt que de reproduire année après année la même culture au même endroit. Cette pratique répond à plusieurs objectifs agronomiques essentiels : limiter l’accumulation dans le sol de ravageurs et de maladies spécifiques à une famille de plantes (les nématodes ou certains champignons du sol qui s’attaquent spécifiquement aux solanacées comme la tomate, l’aubergine ou le piment, par exemple), équilibrer les prélèvements en éléments nutritifs (une légumineuse comme le niébé, capable de fixer l’azote atmosphérique grâce aux bactéries associées à ses racines, enrichit le sol en azote pour la culture suivante), et limiter le développement des adventices spécifiques à certaines cultures.</w:t>
      </w:r>
    </w:p>
    <w:p>
      <w:pPr>
        <w:pStyle w:val="BodyText"/>
        <w:rPr/>
      </w:pPr>
      <w:r>
        <w:rPr/>
        <w:t>Un exemple de rotation simple et efficace, praticable sur une petite exploitation maraîchère, consiste à faire suivre une culture de tomate ou de piment (solanacées, exigeantes et sensibles à plusieurs maladies telluriques) par une culture de légumineuse comme le niébé ou l’arachide, avant de revenir, lors d’une troisième saison, à une culture de la famille des cucurbitacées (courge, concombre) ou des brassicacées (chou), avant de retrouver la solanacée initiale seulement à la quatrième saison sur la même parcelle. Ce principe de rotation sur trois à quatre saisons minimum, appliqué avec constance, réduit sensiblement la pression parasitaire au fil des années et diminue d’autant la dépendance aux traitements phytosanitaires.</w:t>
      </w:r>
    </w:p>
    <w:p>
      <w:pPr>
        <w:pStyle w:val="BodyText"/>
        <w:rPr/>
      </w:pPr>
      <w:bookmarkStart w:id="67" w:name="Xca17e86e78244f1ccc2cde0f0bf3daad9c913dc"/>
      <w:r>
        <w:rPr/>
        <w:t>L’association de cultures, pratiquée simultanément sur une même parcelle plutôt que dans le temps, complète utilement la rotation : associer par exemple du basilic ou de l’oignon en bordure d’une planche de tomate peut contribuer à repousser certains ravageurs par effet répulsif olfactif, tandis qu’une association gombo-niébé permet une meilleure occupation de l’espace et du temps, le niébé à cycle court libérant la parcelle avant que le gombo, à cycle plus long, n’ait besoin de tout l’espace disponible. Ces pratiques, héritées en partie des systèmes traditionnels de culture associée encore présents dans de nombreuses régions d’Afrique de l’Ouest, méritent d’être redécouvertes et adaptées par les agroentrepreneurs modernes, qui y trouvent souvent un moyen efficace et peu coûteux de sécuriser leur production.</w:t>
      </w:r>
      <w:bookmarkEnd w:id="67"/>
    </w:p>
    <w:p>
      <w:pPr>
        <w:pStyle w:val="Heading3"/>
        <w:rPr/>
      </w:pPr>
      <w:bookmarkStart w:id="68" w:name="__RefHeading___Toc3256_3877972828"/>
      <w:bookmarkStart w:id="69" w:name="X1951c1819f03d733e45334b9f0030d4befa8c24"/>
      <w:bookmarkEnd w:id="68"/>
      <w:r>
        <w:rPr/>
        <w:t>5.2 Compostage et gestion durable de la fertilité des sols</w:t>
      </w:r>
    </w:p>
    <w:p>
      <w:pPr>
        <w:pStyle w:val="FirstParagraph"/>
        <w:rPr/>
      </w:pPr>
      <w:r>
        <w:rPr/>
        <w:t>Le compostage consiste à transformer des matières organiques disponibles sur l’exploitation ou à proximité — résidus de récolte, fanes, déchets verts, fumier animal, balles de riz ou d’arachide — en un amendement organique riche, stable et facilement assimilable par les plantes une fois épandu au sol. Le compostage bien conduit exige le respect de quelques principes simples : un mélange équilibré entre matières riches en carbone (paille, résidus secs) et matières riches en azote (fumier frais, résidus verts), une humidité suffisante mais non excessive du tas de compost, une aération régulière par retournement, et un temps de maturation suffisant, généralement de deux à trois mois selon les conditions climatiques, avant utilisation.</w:t>
      </w:r>
    </w:p>
    <w:p>
      <w:pPr>
        <w:pStyle w:val="BodyText"/>
        <w:rPr/>
      </w:pPr>
      <w:r>
        <w:rPr/>
        <w:t>L’intérêt du compost dépasse le simple apport nutritif : il améliore durablement la structure du sol, augmentant sa capacité à retenir l’eau (un atout précieux en zone à pluviométrie irrégulière) et favorisant le développement d’une vie microbienne bénéfique qui contribue elle-même à la fertilité naturelle du sol. Un agroentrepreneur qui combine compost et engrais minéraux, plutôt que de recourir exclusivement à ces derniers, construit progressivement une fertilité de fond plus résiliente, moins dépendante d’achats extérieurs coûteux et moins exposée aux hausses de prix des intrants importés, un enjeu économique de plus en plus sensible pour de nombreuses exploitations africaines.</w:t>
      </w:r>
    </w:p>
    <w:p>
      <w:pPr>
        <w:pStyle w:val="BodyText"/>
        <w:rPr/>
      </w:pPr>
      <w:bookmarkStart w:id="70" w:name="X489605ddacf07e71c44bc3bf70c7283cb860fca"/>
      <w:r>
        <w:rPr/>
        <w:t>Une exploitation avicole et maraîchère mixte fictive de la région de Bouaké, en Côte d’Ivoire, illustre bien la complémentarité possible entre ces deux activités : la fiente issue de son élevage familial de volailles, correctement compostée avant utilisation pour éviter tout risque de brûlure des racines lié à sa forte concentration en azote, alimente le compost épandu sur les planches maraîchères, réduisant d’autant les achats d’engrais minéraux. Cette intégration entre production animale et production végétale, fréquente dans les systèmes d’exploitation familiaux africains, constitue un exemple concret et accessible d’agroécologie appliquée, générant à la fois une économie financière directe et un bénéfice agronomique durable pour les sols de l’exploitation.</w:t>
      </w:r>
      <w:bookmarkEnd w:id="70"/>
    </w:p>
    <w:p>
      <w:pPr>
        <w:pStyle w:val="Heading3"/>
        <w:rPr/>
      </w:pPr>
      <w:bookmarkStart w:id="71" w:name="__RefHeading___Toc3258_3877972828"/>
      <w:bookmarkStart w:id="72" w:name="X0c0c3f61d6cad87474a7be31bbeaf990bb8ad2b"/>
      <w:bookmarkEnd w:id="71"/>
      <w:r>
        <w:rPr/>
        <w:t>5.3 Gestion durable de l’eau et conservation des sols</w:t>
      </w:r>
    </w:p>
    <w:p>
      <w:pPr>
        <w:pStyle w:val="FirstParagraph"/>
        <w:rPr/>
      </w:pPr>
      <w:r>
        <w:rPr/>
        <w:t>La gestion durable de l’eau ne se limite pas au choix du système d’irrigation évoqué précédemment ; elle englobe également des pratiques visant à limiter le gaspillage et à préserver la ressource sur le long terme. Le paillage, qui consiste à recouvrir le sol autour des plants avec de la paille, des résidus de récolte ou un film plastique, réduit significativement l’évaporation de l’eau du sol, limite le développement des adventices concurrentes des cultures, et contribue, dans le cas d’un paillage organique, à enrichir progressivement le sol en matière organique au fur et à mesure de sa décomposition. Cette technique simple, peu coûteuse lorsqu’elle utilise des résidus disponibles sur l’exploitation, permet souvent de réduire de manière notable la fréquence des arrosages nécessaires, un bénéfice appréciable tant sur le plan économique (économie d’eau et de main-d’œuvre d’arrosage) qu’environnemental.</w:t>
      </w:r>
    </w:p>
    <w:p>
      <w:pPr>
        <w:pStyle w:val="BodyText"/>
        <w:rPr/>
      </w:pPr>
      <w:r>
        <w:rPr/>
        <w:t>La conservation des sols contre l’érosion constitue un autre enjeu majeur de durabilité, en particulier sur les terrains en pente ou soumis à des pluies violentes en début de saison des pluies. Des aménagements simples comme les diguettes en courbes de niveau, les bandes enherbées ou la mise en place de haies vives en bordure de parcelle permettent de ralentir le ruissellement de l’eau, de limiter l’entraînement des particules fertiles de sol vers l’aval, et de favoriser l’infiltration de l’eau au profit des cultures. Un producteur installé sur un terrain légèrement pentu de la région de l’Ouest camerounais, régulièrement confronté à des ravinements après les fortes pluies, a par exemple réduit sensiblement ces pertes de terre fertile en installant de simples diguettes en pierres sèches le long des courbes de niveau de sa parcelle, un aménagement réalisé avec des matériaux disponibles localement et sans coût financier important, si ce n’est le temps de main-d’œuvre nécessaire à sa mise en place.</w:t>
      </w:r>
    </w:p>
    <w:p>
      <w:pPr>
        <w:pStyle w:val="BodyText"/>
        <w:rPr/>
      </w:pPr>
      <w:bookmarkStart w:id="73" w:name="rotation-et-association-des-cultures"/>
      <w:bookmarkStart w:id="74" w:name="X1951c1819f03d733e45334b9f0030d4befa8c24"/>
      <w:r>
        <w:rPr/>
        <w:t>Enfin, la gestion durable de l’eau et des sols suppose une vision de long terme que l’agroentrepreneur doit intégrer dès la conception de son exploitation : une terre bien gérée aujourd’hui, dont la fertilité et la structure sont préservées voire améliorées année après année, représente un capital productif durable, transmissible et valorisable, tandis qu’une exploitation dont les sols s’épuisent et s’érodent progressivement voit sa capacité productive décliner inexorablement, quels que soient par ailleurs les efforts consentis en intrants ou en travail. Cette vision patrimoniale de la terre, parfois éclipsée par les préoccupations économiques de court terme, doit rester un fil conducteur constant de la gestion technique de toute exploitation horticole.</w:t>
      </w:r>
      <w:bookmarkEnd w:id="73"/>
      <w:bookmarkEnd w:id="74"/>
    </w:p>
    <w:p>
      <w:pPr>
        <w:pStyle w:val="Normal"/>
        <w:jc w:val="center"/>
        <w:rPr/>
      </w:pPr>
      <w:r>
        <w:rPr/>
        <w:drawing>
          <wp:inline distT="0" distB="0" distL="0" distR="0">
            <wp:extent cx="3657600" cy="28530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2853055"/>
                    </a:xfrm>
                    <a:prstGeom prst="rect">
                      <a:avLst/>
                    </a:prstGeom>
                  </pic:spPr>
                </pic:pic>
              </a:graphicData>
            </a:graphic>
          </wp:inline>
        </w:drawing>
      </w:r>
    </w:p>
    <w:p>
      <w:pPr>
        <w:pStyle w:val="Normal"/>
        <w:spacing w:before="0" w:after="320"/>
        <w:jc w:val="center"/>
        <w:rPr/>
      </w:pPr>
      <w:r>
        <w:rPr>
          <w:i/>
          <w:color w:val="666666"/>
          <w:sz w:val="19"/>
        </w:rPr>
        <w:t>Illustration — De bonnes pratiques horticoles au service d'une exploitation rentable</w:t>
      </w:r>
    </w:p>
    <w:p>
      <w:pPr>
        <w:pStyle w:val="Heading2"/>
        <w:rPr/>
      </w:pPr>
      <w:bookmarkStart w:id="75" w:name="__RefHeading___Toc3260_3877972828"/>
      <w:bookmarkEnd w:id="75"/>
      <w:r>
        <w:rPr/>
        <w:t>Étude de cas</w:t>
      </w:r>
    </w:p>
    <w:p>
      <w:pPr>
        <w:pStyle w:val="FirstParagraph"/>
        <w:rPr/>
      </w:pPr>
      <w:r>
        <w:rPr/>
        <w:t>Adjoa Mensah exploite depuis quatre ans une parcelle d’un hectare en périphérie de Kpalimé, dans la région des Plateaux au Togo, où elle produit principalement de la tomate, de l’oignon et, sur une petite surface, du chou. Les deux premières années de son activité ont été marquées par des résultats techniques honorables — des rendements en tomate comparables à ceux des producteurs voisins les plus expérimentés — mais par une situation financière fragile qu’elle peinait à expliquer : malgré un travail acharné et des récoltes visiblement satisfaisantes, sa trésorerie restait tendue et elle ne parvenait pas à dégager d’épargne pour investir dans l’amélioration de son exploitation.</w:t>
      </w:r>
    </w:p>
    <w:p>
      <w:pPr>
        <w:pStyle w:val="BodyText"/>
        <w:rPr/>
      </w:pPr>
      <w:r>
        <w:rPr/>
        <w:t>À l’occasion d’une formation courte organisée par une organisation locale d’appui aux agroentrepreneurs, Adjoa a pris conscience qu’elle ne suivait en réalité aucune de ses dépenses de manière organisée : les achats d’intrants étaient réglés au fur et à mesure, souvent en petites quantités auprès de plusieurs fournisseurs, sans qu’elle en garde une trace précise, et elle ne valorisait pas le temps de travail qu’elle consacrait elle-même à l’exploitation, considérant qu’il « ne coûtait rien » puisqu’il s’agissait de son propre travail. Elle a alors commencé à tenir un cahier d’exploitation simple, inspiré du modèle présenté dans ce module, notant chaque jour les opérations réalisées, les dépenses engagées et les ventes effectuées, pour chacune de ses trois cultures suivies séparément par parcelle.</w:t>
      </w:r>
    </w:p>
    <w:p>
      <w:pPr>
        <w:pStyle w:val="BodyText"/>
        <w:rPr/>
      </w:pPr>
      <w:r>
        <w:rPr/>
        <w:t>Au terme de la saison suivante, le calcul rétrospectif de ses marges par culture lui a révélé une situation qu’elle ne soupçonnait pas : sa culture de chou, qu’elle considérait jusque-là comme secondaire et peu rentable comparée à la tomate, dégageait en réalité une marge à l’hectare supérieure, une fois correctement rapportées les charges réelles de chaque culture, notamment les coûts élevés de protection phytosanitaire que nécessitait la tomate en saison des pluies. Elle a également identifié, grâce à son registre de dépenses, que près de 15 % de ses charges en intrants correspondaient à des achats d’engrais réalisés en urgence, à des prix plus élevés que ceux pratiqués par les fournisseurs de gros de la ville voisine, faute d’avoir anticipé ses besoins suffisamment à l’avance.</w:t>
      </w:r>
    </w:p>
    <w:p>
      <w:pPr>
        <w:pStyle w:val="BodyText"/>
        <w:rPr/>
      </w:pPr>
      <w:r>
        <w:rPr/>
        <w:t>Fort de ces constats, Adjoa a réorganisé son exploitation sur plusieurs plans. Elle a d’abord établi, en début de saison suivante, un calendrier cultural détaillé lui permettant d’anticiper ses achats d’intrants en une commande groupée par saison plutôt qu’en achats répétés au coup par coup, réduisant sensiblement le prix unitaire de ses engrais. Elle a ensuite légèrement augmenté la surface consacrée au chou, tout en maintenant sa production de tomate sur une surface un peu réduite mais mieux maîtrisée techniquement, avec une protection phytosanitaire raisonnée basée sur une surveillance régulière plutôt que sur des traitements systématiques. Elle a enfin mis en place un tri et un calibrage plus rigoureux de sa récolte d’oignon, orientant les meilleurs calibres vers un commerçant grossiste de Lomé offrant un prix supérieur pour cette qualité, plutôt que de vendre l’ensemble de sa production en vrac au marché local comme elle le faisait auparavant.</w:t>
      </w:r>
    </w:p>
    <w:p>
      <w:pPr>
        <w:pStyle w:val="BodyText"/>
        <w:rPr/>
      </w:pPr>
      <w:bookmarkStart w:id="76" w:name="X0c0c3f61d6cad87474a7be31bbeaf990bb8ad2b"/>
      <w:r>
        <w:rPr/>
        <w:t>Un an après la mise en place de ces changements, sans augmentation significative de sa surface cultivée ni de son temps de travail, Adjoa a constaté une nette amélioration de sa marge nette globale, qui lui a permis pour la première fois de dégager une épargne suffisante pour envisager l’installation d’un petit système d’irrigation goutte-à-goutte sur sa parcelle de tomate l’année suivante. Son parcours illustre un enseignement central de ce module : l’amélioration de la rentabilité d’une exploitation horticole ne passe pas nécessairement par une augmentation de la production ou de la surface cultivée, mais très souvent, et en premier lieu, par une meilleure connaissance de ses propres coûts et une gestion plus rigoureuse et plus réfléchie des ressources déjà disponibles sur l’exploitation.</w:t>
      </w:r>
      <w:bookmarkEnd w:id="76"/>
    </w:p>
    <w:p>
      <w:pPr>
        <w:pStyle w:val="Heading2"/>
        <w:rPr/>
      </w:pPr>
      <w:bookmarkStart w:id="77" w:name="__RefHeading___Toc3262_3877972828"/>
      <w:bookmarkEnd w:id="77"/>
      <w:r>
        <w:rPr/>
        <w:t>Outils pratiques</w:t>
      </w:r>
    </w:p>
    <w:p>
      <w:pPr>
        <w:pStyle w:val="Heading3"/>
        <w:rPr/>
      </w:pPr>
      <w:bookmarkStart w:id="78" w:name="__RefHeading___Toc3264_3877972828"/>
      <w:bookmarkStart w:id="79" w:name="X3ccd6da92a5684d235012a9f9554215022b0d78"/>
      <w:bookmarkEnd w:id="78"/>
      <w:r>
        <w:rPr/>
        <w:t>Modèle simple de cahier d’exploitation (à tenir par culture ou par parcelle)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48"/>
        <w:gridCol w:w="1393"/>
        <w:gridCol w:w="1628"/>
        <w:gridCol w:w="1352"/>
        <w:gridCol w:w="1197"/>
        <w:gridCol w:w="1198"/>
        <w:gridCol w:w="1743"/>
      </w:tblGrid>
      <w:tr>
        <w:trPr>
          <w:tblHeader w:val="true"/>
        </w:trPr>
        <w:tc>
          <w:tcPr>
            <w:tcW w:w="84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Date</w:t>
            </w:r>
          </w:p>
        </w:tc>
        <w:tc>
          <w:tcPr>
            <w:tcW w:w="139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 Culture</w:t>
            </w:r>
          </w:p>
        </w:tc>
        <w:tc>
          <w:tcPr>
            <w:tcW w:w="162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Opération réalisée</w:t>
            </w:r>
          </w:p>
        </w:tc>
        <w:tc>
          <w:tcPr>
            <w:tcW w:w="135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Quantité / Détail</w:t>
            </w:r>
          </w:p>
        </w:tc>
        <w:tc>
          <w:tcPr>
            <w:tcW w:w="119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Dépense (FCFA)</w:t>
            </w:r>
          </w:p>
        </w:tc>
        <w:tc>
          <w:tcPr>
            <w:tcW w:w="119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Recette (FCFA)</w:t>
            </w:r>
          </w:p>
        </w:tc>
        <w:tc>
          <w:tcPr>
            <w:tcW w:w="174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Observations</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03/06</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A – Tomate</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Achat plants + repiquage</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 plants</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25 000</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Main-d’œuvre : 3 journaliers</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10/06</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A – Tomate</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Apport engrais de fond</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 sacs NPK</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30 000</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25/07</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A – Tomate</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Traitement phytosanitaire</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traitement ciblé</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8 000</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Seuil de nuisibilité atteint</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15/08</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A – Tomate</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1ère récolte</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300 kg</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45 000</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Vente au marché local</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22/08</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Parcelle A – Tomate</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2e récolte</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450 kg</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67 500</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Vente à un grossiste</w:t>
            </w:r>
          </w:p>
        </w:tc>
      </w:tr>
      <w:tr>
        <w:trPr/>
        <w:tc>
          <w:tcPr>
            <w:tcW w:w="8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39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6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35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19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19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p>
        </w:tc>
        <w:tc>
          <w:tcPr>
            <w:tcW w:w="174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t>
            </w:r>
            <w:bookmarkStart w:id="80" w:name="étude-de-cas"/>
            <w:bookmarkEnd w:id="80"/>
          </w:p>
        </w:tc>
      </w:tr>
    </w:tbl>
    <w:p>
      <w:pPr>
        <w:pStyle w:val="Heading3"/>
        <w:rPr/>
      </w:pPr>
      <w:bookmarkStart w:id="81" w:name="__RefHeading___Toc3266_3877972828"/>
      <w:bookmarkEnd w:id="81"/>
      <w:r>
        <w:rPr/>
        <w:t>Modèle simple de calcul de marge par culture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48"/>
        <w:gridCol w:w="2311"/>
      </w:tblGrid>
      <w:tr>
        <w:trPr>
          <w:tblHeader w:val="true"/>
        </w:trPr>
        <w:tc>
          <w:tcPr>
            <w:tcW w:w="704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Élément</w:t>
            </w:r>
          </w:p>
        </w:tc>
        <w:tc>
          <w:tcPr>
            <w:tcW w:w="2311"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Montant (FCFA)</w:t>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Produit total des ventes (A)</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à reporter du cahier</w:t>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semences/plants</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engrais</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produits phytosanitaires</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eau</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main-d’œuvre temporaire</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opérationnelles : emballages/transport</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 charges opérationnelles (B)</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Marge brute (A − B)</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Charges de structure (amortissement, main-d’œuvre permanente, quote-part) (C)</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Marge nette (A − B − C)</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Surface cultivée (m² ou ha)</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7048"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Marge nette à l’hectare</w:t>
            </w:r>
          </w:p>
        </w:tc>
        <w:tc>
          <w:tcPr>
            <w:tcW w:w="2311"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bookmarkStart w:id="82" w:name="outils-pratiques"/>
            <w:bookmarkStart w:id="83" w:name="outils-pratiques"/>
            <w:bookmarkEnd w:id="83"/>
          </w:p>
        </w:tc>
      </w:tr>
    </w:tbl>
    <w:p>
      <w:pPr>
        <w:pStyle w:val="Heading3"/>
        <w:rPr/>
      </w:pPr>
      <w:bookmarkStart w:id="84" w:name="__RefHeading___Toc3268_3877972828"/>
      <w:bookmarkEnd w:id="84"/>
      <w:r>
        <w:rPr/>
        <w:t>Checklist de bonnes pratiques horticoles</w:t>
      </w:r>
    </w:p>
    <w:p>
      <w:pPr>
        <w:pStyle w:val="Compact"/>
        <w:numPr>
          <w:ilvl w:val="0"/>
          <w:numId w:val="3"/>
        </w:numPr>
        <w:rPr/>
      </w:pPr>
      <w:r>
        <w:rPr/>
        <w:t xml:space="preserve">☐ </w:t>
      </w:r>
      <w:r>
        <w:rPr/>
        <w:t>Le choix de la culture tient compte du sol, de l’eau disponible et du marché visé.</w:t>
      </w:r>
    </w:p>
    <w:p>
      <w:pPr>
        <w:pStyle w:val="Compact"/>
        <w:numPr>
          <w:ilvl w:val="0"/>
          <w:numId w:val="3"/>
        </w:numPr>
        <w:rPr/>
      </w:pPr>
      <w:r>
        <w:rPr/>
        <w:t xml:space="preserve">☐ </w:t>
      </w:r>
      <w:r>
        <w:rPr/>
        <w:t>Un calendrier cultural écrit existe pour chaque parcelle et chaque saison.</w:t>
      </w:r>
    </w:p>
    <w:p>
      <w:pPr>
        <w:pStyle w:val="Compact"/>
        <w:numPr>
          <w:ilvl w:val="0"/>
          <w:numId w:val="3"/>
        </w:numPr>
        <w:rPr/>
      </w:pPr>
      <w:r>
        <w:rPr/>
        <w:t xml:space="preserve">☐ </w:t>
      </w:r>
      <w:r>
        <w:rPr/>
        <w:t>L’irrigation est pilotée selon le stade de la culture et l’état réel du sol, pas seulement par habitude.</w:t>
      </w:r>
    </w:p>
    <w:p>
      <w:pPr>
        <w:pStyle w:val="Compact"/>
        <w:numPr>
          <w:ilvl w:val="0"/>
          <w:numId w:val="3"/>
        </w:numPr>
        <w:rPr/>
      </w:pPr>
      <w:r>
        <w:rPr/>
        <w:t xml:space="preserve">☐ </w:t>
      </w:r>
      <w:r>
        <w:rPr/>
        <w:t>La fertilisation est fractionnée et combine matière organique et engrais minéraux.</w:t>
      </w:r>
    </w:p>
    <w:p>
      <w:pPr>
        <w:pStyle w:val="Compact"/>
        <w:numPr>
          <w:ilvl w:val="0"/>
          <w:numId w:val="3"/>
        </w:numPr>
        <w:rPr/>
      </w:pPr>
      <w:r>
        <w:rPr/>
        <w:t xml:space="preserve">☐ </w:t>
      </w:r>
      <w:r>
        <w:rPr/>
        <w:t>La surveillance phytosanitaire est régulière et les traitements ne sont déclenchés qu’au-delà d’un seuil observé.</w:t>
      </w:r>
    </w:p>
    <w:p>
      <w:pPr>
        <w:pStyle w:val="Compact"/>
        <w:numPr>
          <w:ilvl w:val="0"/>
          <w:numId w:val="3"/>
        </w:numPr>
        <w:rPr/>
      </w:pPr>
      <w:r>
        <w:rPr/>
        <w:t xml:space="preserve">☐ </w:t>
      </w:r>
      <w:r>
        <w:rPr/>
        <w:t>Les parcelles sont organisées de façon cohérente autour du point d’eau et des besoins de chaque culture.</w:t>
      </w:r>
    </w:p>
    <w:p>
      <w:pPr>
        <w:pStyle w:val="Compact"/>
        <w:numPr>
          <w:ilvl w:val="0"/>
          <w:numId w:val="3"/>
        </w:numPr>
        <w:rPr/>
      </w:pPr>
      <w:r>
        <w:rPr/>
        <w:t xml:space="preserve">☐ </w:t>
      </w:r>
      <w:r>
        <w:rPr/>
        <w:t>Les besoins en main-d’œuvre sont anticipés selon le calendrier cultural.</w:t>
      </w:r>
    </w:p>
    <w:p>
      <w:pPr>
        <w:pStyle w:val="Compact"/>
        <w:numPr>
          <w:ilvl w:val="0"/>
          <w:numId w:val="3"/>
        </w:numPr>
        <w:rPr/>
      </w:pPr>
      <w:r>
        <w:rPr/>
        <w:t xml:space="preserve">☐ </w:t>
      </w:r>
      <w:r>
        <w:rPr/>
        <w:t>Un cahier d’exploitation est tenu à jour quotidiennement ou hebdomadairement.</w:t>
      </w:r>
    </w:p>
    <w:p>
      <w:pPr>
        <w:pStyle w:val="Compact"/>
        <w:numPr>
          <w:ilvl w:val="0"/>
          <w:numId w:val="3"/>
        </w:numPr>
        <w:rPr/>
      </w:pPr>
      <w:r>
        <w:rPr/>
        <w:t xml:space="preserve">☐ </w:t>
      </w:r>
      <w:r>
        <w:rPr/>
        <w:t>Le rendement et la marge sont calculés à la fin de chaque cycle, par culture.</w:t>
      </w:r>
    </w:p>
    <w:p>
      <w:pPr>
        <w:pStyle w:val="Compact"/>
        <w:numPr>
          <w:ilvl w:val="0"/>
          <w:numId w:val="3"/>
        </w:numPr>
        <w:rPr/>
      </w:pPr>
      <w:r>
        <w:rPr/>
        <w:t xml:space="preserve">☐ </w:t>
      </w:r>
      <w:r>
        <w:rPr/>
        <w:t>La récolte est réalisée au bon stade et aux heures fraîches, avec des gestes soigneux.</w:t>
      </w:r>
    </w:p>
    <w:p>
      <w:pPr>
        <w:pStyle w:val="Compact"/>
        <w:numPr>
          <w:ilvl w:val="0"/>
          <w:numId w:val="3"/>
        </w:numPr>
        <w:rPr/>
      </w:pPr>
      <w:r>
        <w:rPr/>
        <w:t xml:space="preserve">☐ </w:t>
      </w:r>
      <w:r>
        <w:rPr/>
        <w:t>Le tri et le calibrage sont systématiques avant la mise en marché.</w:t>
      </w:r>
    </w:p>
    <w:p>
      <w:pPr>
        <w:pStyle w:val="Compact"/>
        <w:numPr>
          <w:ilvl w:val="0"/>
          <w:numId w:val="3"/>
        </w:numPr>
        <w:rPr/>
      </w:pPr>
      <w:r>
        <w:rPr/>
        <w:t xml:space="preserve">☐ </w:t>
      </w:r>
      <w:r>
        <w:rPr/>
        <w:t>L’emballage est adapté à la fragilité de chaque produit.</w:t>
      </w:r>
    </w:p>
    <w:p>
      <w:pPr>
        <w:pStyle w:val="Compact"/>
        <w:numPr>
          <w:ilvl w:val="0"/>
          <w:numId w:val="3"/>
        </w:numPr>
        <w:rPr/>
      </w:pPr>
      <w:r>
        <w:rPr/>
        <w:t xml:space="preserve">☐ </w:t>
      </w:r>
      <w:r>
        <w:rPr/>
        <w:t>Une rotation des cultures est planifiée sur au moins trois à quatre saisons.</w:t>
      </w:r>
    </w:p>
    <w:p>
      <w:pPr>
        <w:pStyle w:val="Compact"/>
        <w:numPr>
          <w:ilvl w:val="0"/>
          <w:numId w:val="3"/>
        </w:numPr>
        <w:rPr/>
      </w:pPr>
      <w:r>
        <w:rPr/>
        <w:t xml:space="preserve">☐ </w:t>
      </w:r>
      <w:r>
        <w:rPr/>
        <w:t>Du compost est produit et utilisé en complément des engrais minéraux.</w:t>
      </w:r>
    </w:p>
    <w:p>
      <w:pPr>
        <w:pStyle w:val="Compact"/>
        <w:numPr>
          <w:ilvl w:val="0"/>
          <w:numId w:val="3"/>
        </w:numPr>
        <w:rPr/>
      </w:pPr>
      <w:r>
        <w:rPr/>
        <w:t xml:space="preserve">☐ </w:t>
      </w:r>
      <w:r>
        <w:rPr/>
        <w:t>Des mesures de conservation des sols et de l’eau (paillage, diguettes) sont en place si le terrain le nécessite.</w:t>
      </w:r>
      <w:bookmarkEnd w:id="79"/>
    </w:p>
    <w:p>
      <w:pPr>
        <w:pStyle w:val="Heading2"/>
        <w:rPr/>
      </w:pPr>
      <w:bookmarkStart w:id="85" w:name="__RefHeading___Toc3270_3877972828"/>
      <w:bookmarkStart w:id="86" w:name="points-clés-à-retenir"/>
      <w:bookmarkEnd w:id="85"/>
      <w:r>
        <w:rPr/>
        <w:t>Points clés à retenir</w:t>
      </w:r>
    </w:p>
    <w:p>
      <w:pPr>
        <w:pStyle w:val="Compact"/>
        <w:numPr>
          <w:ilvl w:val="0"/>
          <w:numId w:val="25"/>
        </w:numPr>
        <w:rPr/>
      </w:pPr>
      <w:r>
        <w:rPr/>
        <w:t>La rentabilité d’une exploitation horticole résulte à la fois d’une bonne maîtrise technique et d’une gestion économique rigoureuse : l’une ne compense pas l’absence de l’autre.</w:t>
      </w:r>
    </w:p>
    <w:p>
      <w:pPr>
        <w:pStyle w:val="Compact"/>
        <w:numPr>
          <w:ilvl w:val="0"/>
          <w:numId w:val="26"/>
        </w:numPr>
        <w:rPr/>
      </w:pPr>
      <w:r>
        <w:rPr/>
        <w:t>Le choix des cultures doit croiser sol, eau disponible, marché visé et niveau de maîtrise technique du producteur.</w:t>
      </w:r>
    </w:p>
    <w:p>
      <w:pPr>
        <w:pStyle w:val="Compact"/>
        <w:numPr>
          <w:ilvl w:val="0"/>
          <w:numId w:val="27"/>
        </w:numPr>
        <w:rPr/>
      </w:pPr>
      <w:r>
        <w:rPr/>
        <w:t>Chaque culture suit un itinéraire technique propre qu’il convient de formaliser et de planifier dans un calendrier cultural écrit.</w:t>
      </w:r>
    </w:p>
    <w:p>
      <w:pPr>
        <w:pStyle w:val="Compact"/>
        <w:numPr>
          <w:ilvl w:val="0"/>
          <w:numId w:val="28"/>
        </w:numPr>
        <w:rPr/>
      </w:pPr>
      <w:r>
        <w:rPr/>
        <w:t>L’irrigation et la fertilisation doivent être pilotées selon le stade de développement de la culture, et non appliquées de manière uniforme et systématique.</w:t>
      </w:r>
    </w:p>
    <w:p>
      <w:pPr>
        <w:pStyle w:val="Compact"/>
        <w:numPr>
          <w:ilvl w:val="0"/>
          <w:numId w:val="29"/>
        </w:numPr>
        <w:rPr/>
      </w:pPr>
      <w:r>
        <w:rPr/>
        <w:t>La protection phytosanitaire raisonnée privilégie la prévention et la lutte biologique, et ne recourt aux traitements chimiques qu’en dernier ressort et de façon ciblée.</w:t>
      </w:r>
    </w:p>
    <w:p>
      <w:pPr>
        <w:pStyle w:val="Compact"/>
        <w:numPr>
          <w:ilvl w:val="0"/>
          <w:numId w:val="30"/>
        </w:numPr>
        <w:rPr/>
      </w:pPr>
      <w:r>
        <w:rPr/>
        <w:t>L’organisation matérielle et humaine de l’exploitation (parcelles, main-d’œuvre, équipements) conditionne l’efficacité de la production autant que les pratiques agronomiques elles-mêmes.</w:t>
      </w:r>
    </w:p>
    <w:p>
      <w:pPr>
        <w:pStyle w:val="Compact"/>
        <w:numPr>
          <w:ilvl w:val="0"/>
          <w:numId w:val="31"/>
        </w:numPr>
        <w:rPr/>
      </w:pPr>
      <w:r>
        <w:rPr/>
        <w:t>Le cahier d’exploitation est l’outil de base indispensable pour suivre les coûts, calculer le rendement et la marge, et prendre des décisions éclairées d’une saison à l’autre.</w:t>
      </w:r>
    </w:p>
    <w:p>
      <w:pPr>
        <w:pStyle w:val="Compact"/>
        <w:numPr>
          <w:ilvl w:val="0"/>
          <w:numId w:val="32"/>
        </w:numPr>
        <w:rPr/>
      </w:pPr>
      <w:r>
        <w:rPr/>
        <w:t>La marge, et non le seul rendement physique, doit guider les choix de culture et d’investissement de l’agroentrepreneur.</w:t>
      </w:r>
    </w:p>
    <w:p>
      <w:pPr>
        <w:pStyle w:val="Compact"/>
        <w:numPr>
          <w:ilvl w:val="0"/>
          <w:numId w:val="33"/>
        </w:numPr>
        <w:rPr/>
      </w:pPr>
      <w:r>
        <w:rPr/>
        <w:t>La qualité et la valeur commerciale d’un produit horticole se jouent dès la récolte, puis au tri, au calibrage et au conditionnement.</w:t>
      </w:r>
    </w:p>
    <w:p>
      <w:pPr>
        <w:pStyle w:val="Compact"/>
        <w:numPr>
          <w:ilvl w:val="0"/>
          <w:numId w:val="34"/>
        </w:numPr>
        <w:rPr/>
      </w:pPr>
      <w:r>
        <w:rPr/>
        <w:t>Les pratiques agroécologiques (rotation, compostage, gestion durable de l’eau et des sols) assurent la pérennité et la résilience de l’exploitation sur le long terme.</w:t>
      </w:r>
    </w:p>
    <w:p>
      <w:pPr>
        <w:pStyle w:val="Heading2"/>
        <w:rPr/>
      </w:pPr>
      <w:bookmarkStart w:id="87" w:name="__RefHeading___Toc3272_3877972828"/>
      <w:bookmarkStart w:id="88" w:name="mode-dévaluation-qcm"/>
      <w:bookmarkEnd w:id="87"/>
      <w:r>
        <w:rPr/>
        <w:t>Mode d’évaluation : QCM</w:t>
      </w:r>
    </w:p>
    <w:p>
      <w:pPr>
        <w:pStyle w:val="Compact"/>
        <w:numPr>
          <w:ilvl w:val="0"/>
          <w:numId w:val="35"/>
        </w:numPr>
        <w:rPr/>
      </w:pPr>
      <w:r>
        <w:rPr/>
        <w:t>Parmi les critères suivants, lequel n’est pas pertinent pour choisir une culture horticole à installer sur une parcelle donnée ?</w:t>
      </w:r>
    </w:p>
    <w:p>
      <w:pPr>
        <w:pStyle w:val="Compact"/>
        <w:numPr>
          <w:ilvl w:val="1"/>
          <w:numId w:val="36"/>
        </w:numPr>
        <w:rPr/>
      </w:pPr>
      <w:r>
        <w:rPr/>
        <w:t>La disponibilité en eau</w:t>
      </w:r>
    </w:p>
    <w:p>
      <w:pPr>
        <w:pStyle w:val="Compact"/>
        <w:numPr>
          <w:ilvl w:val="1"/>
          <w:numId w:val="6"/>
        </w:numPr>
        <w:rPr/>
      </w:pPr>
      <w:r>
        <w:rPr/>
        <w:t>La demande du marché visé</w:t>
      </w:r>
    </w:p>
    <w:p>
      <w:pPr>
        <w:pStyle w:val="Compact"/>
        <w:numPr>
          <w:ilvl w:val="1"/>
          <w:numId w:val="6"/>
        </w:numPr>
        <w:rPr/>
      </w:pPr>
      <w:r>
        <w:rPr/>
        <w:t>La couleur préférée du producteur</w:t>
      </w:r>
    </w:p>
    <w:p>
      <w:pPr>
        <w:pStyle w:val="Compact"/>
        <w:numPr>
          <w:ilvl w:val="1"/>
          <w:numId w:val="6"/>
        </w:numPr>
        <w:rPr/>
      </w:pPr>
      <w:r>
        <w:rPr/>
        <w:t>La nature du sol de la parcelle</w:t>
      </w:r>
    </w:p>
    <w:p>
      <w:pPr>
        <w:pStyle w:val="Compact"/>
        <w:numPr>
          <w:ilvl w:val="0"/>
          <w:numId w:val="37"/>
        </w:numPr>
        <w:rPr/>
      </w:pPr>
      <w:r>
        <w:rPr/>
        <w:t>L’itinéraire technique d’une culture désigne :</w:t>
      </w:r>
    </w:p>
    <w:p>
      <w:pPr>
        <w:pStyle w:val="Compact"/>
        <w:numPr>
          <w:ilvl w:val="1"/>
          <w:numId w:val="38"/>
        </w:numPr>
        <w:rPr/>
      </w:pPr>
      <w:r>
        <w:rPr/>
        <w:t>Le trajet parcouru par le produit jusqu’au marché</w:t>
      </w:r>
    </w:p>
    <w:p>
      <w:pPr>
        <w:pStyle w:val="Compact"/>
        <w:numPr>
          <w:ilvl w:val="1"/>
          <w:numId w:val="39"/>
        </w:numPr>
        <w:rPr/>
      </w:pPr>
      <w:r>
        <w:rPr/>
        <w:t>La succession datée des opérations culturales du semis à la récolte</w:t>
      </w:r>
    </w:p>
    <w:p>
      <w:pPr>
        <w:pStyle w:val="Compact"/>
        <w:numPr>
          <w:ilvl w:val="1"/>
          <w:numId w:val="40"/>
        </w:numPr>
        <w:rPr/>
      </w:pPr>
      <w:r>
        <w:rPr/>
        <w:t>Le chemin d’accès à la parcelle</w:t>
      </w:r>
    </w:p>
    <w:p>
      <w:pPr>
        <w:pStyle w:val="Compact"/>
        <w:numPr>
          <w:ilvl w:val="1"/>
          <w:numId w:val="41"/>
        </w:numPr>
        <w:rPr/>
      </w:pPr>
      <w:r>
        <w:rPr/>
        <w:t>Le calendrier des paiements de la main-d’œuvre</w:t>
      </w:r>
    </w:p>
    <w:p>
      <w:pPr>
        <w:pStyle w:val="Compact"/>
        <w:numPr>
          <w:ilvl w:val="0"/>
          <w:numId w:val="42"/>
        </w:numPr>
        <w:rPr/>
      </w:pPr>
      <w:r>
        <w:rPr/>
        <w:t>Pourquoi est-il recommandé de fractionner les apports d’engrais azotés plutôt que de les apporter en une seule fois ?</w:t>
      </w:r>
    </w:p>
    <w:p>
      <w:pPr>
        <w:pStyle w:val="Compact"/>
        <w:numPr>
          <w:ilvl w:val="1"/>
          <w:numId w:val="43"/>
        </w:numPr>
        <w:rPr/>
      </w:pPr>
      <w:r>
        <w:rPr/>
        <w:t>Parce que cela coûte toujours plus cher au total</w:t>
      </w:r>
    </w:p>
    <w:p>
      <w:pPr>
        <w:pStyle w:val="Compact"/>
        <w:numPr>
          <w:ilvl w:val="1"/>
          <w:numId w:val="44"/>
        </w:numPr>
        <w:rPr/>
      </w:pPr>
      <w:r>
        <w:rPr/>
        <w:t>Parce que l’azote apporté en une seule forte dose est en grande partie perdu par lessivage</w:t>
      </w:r>
    </w:p>
    <w:p>
      <w:pPr>
        <w:pStyle w:val="Compact"/>
        <w:numPr>
          <w:ilvl w:val="1"/>
          <w:numId w:val="45"/>
        </w:numPr>
        <w:rPr/>
      </w:pPr>
      <w:r>
        <w:rPr/>
        <w:t>Parce que la réglementation l’exige partout</w:t>
      </w:r>
    </w:p>
    <w:p>
      <w:pPr>
        <w:pStyle w:val="Compact"/>
        <w:numPr>
          <w:ilvl w:val="1"/>
          <w:numId w:val="46"/>
        </w:numPr>
        <w:rPr/>
      </w:pPr>
      <w:r>
        <w:rPr/>
        <w:t>Parce que cela réduit le temps de travail</w:t>
      </w:r>
    </w:p>
    <w:p>
      <w:pPr>
        <w:pStyle w:val="Compact"/>
        <w:numPr>
          <w:ilvl w:val="0"/>
          <w:numId w:val="47"/>
        </w:numPr>
        <w:rPr/>
      </w:pPr>
      <w:r>
        <w:rPr/>
        <w:t>La protection phytosanitaire raisonnée consiste principalement à :</w:t>
      </w:r>
    </w:p>
    <w:p>
      <w:pPr>
        <w:pStyle w:val="Compact"/>
        <w:numPr>
          <w:ilvl w:val="1"/>
          <w:numId w:val="48"/>
        </w:numPr>
        <w:rPr/>
      </w:pPr>
      <w:r>
        <w:rPr/>
        <w:t>Traiter systématiquement chaque semaine par précaution</w:t>
      </w:r>
    </w:p>
    <w:p>
      <w:pPr>
        <w:pStyle w:val="Compact"/>
        <w:numPr>
          <w:ilvl w:val="1"/>
          <w:numId w:val="49"/>
        </w:numPr>
        <w:rPr/>
      </w:pPr>
      <w:r>
        <w:rPr/>
        <w:t>Ne jamais utiliser de produit phytosanitaire, même biologique</w:t>
      </w:r>
    </w:p>
    <w:p>
      <w:pPr>
        <w:pStyle w:val="Compact"/>
        <w:numPr>
          <w:ilvl w:val="1"/>
          <w:numId w:val="50"/>
        </w:numPr>
        <w:rPr/>
      </w:pPr>
      <w:r>
        <w:rPr/>
        <w:t>Privilégier la prévention et ne traiter qu’après avoir observé un seuil de nuisibilité réel</w:t>
      </w:r>
    </w:p>
    <w:p>
      <w:pPr>
        <w:pStyle w:val="Compact"/>
        <w:numPr>
          <w:ilvl w:val="1"/>
          <w:numId w:val="51"/>
        </w:numPr>
        <w:rPr/>
      </w:pPr>
      <w:r>
        <w:rPr/>
        <w:t>Utiliser uniquement des produits importés à forte concentration</w:t>
      </w:r>
    </w:p>
    <w:p>
      <w:pPr>
        <w:pStyle w:val="Compact"/>
        <w:numPr>
          <w:ilvl w:val="0"/>
          <w:numId w:val="52"/>
        </w:numPr>
        <w:rPr/>
      </w:pPr>
      <w:r>
        <w:rPr/>
        <w:t>Dans la planification des parcelles, il est recommandé de placer les cultures les plus exigeantes en eau :</w:t>
      </w:r>
    </w:p>
    <w:p>
      <w:pPr>
        <w:pStyle w:val="Compact"/>
        <w:numPr>
          <w:ilvl w:val="1"/>
          <w:numId w:val="53"/>
        </w:numPr>
        <w:rPr/>
      </w:pPr>
      <w:r>
        <w:rPr/>
        <w:t>Le plus loin possible du point d’eau, pour les protéger du vent</w:t>
      </w:r>
    </w:p>
    <w:p>
      <w:pPr>
        <w:pStyle w:val="Compact"/>
        <w:numPr>
          <w:ilvl w:val="1"/>
          <w:numId w:val="54"/>
        </w:numPr>
        <w:rPr/>
      </w:pPr>
      <w:r>
        <w:rPr/>
        <w:t>Le plus près possible du point d’eau, pour limiter la pénibilité et le temps de transport de l’eau</w:t>
      </w:r>
    </w:p>
    <w:p>
      <w:pPr>
        <w:pStyle w:val="Compact"/>
        <w:numPr>
          <w:ilvl w:val="1"/>
          <w:numId w:val="55"/>
        </w:numPr>
        <w:rPr/>
      </w:pPr>
      <w:r>
        <w:rPr/>
        <w:t>Toujours en bordure de route</w:t>
      </w:r>
    </w:p>
    <w:p>
      <w:pPr>
        <w:pStyle w:val="Compact"/>
        <w:numPr>
          <w:ilvl w:val="1"/>
          <w:numId w:val="56"/>
        </w:numPr>
        <w:rPr/>
      </w:pPr>
      <w:r>
        <w:rPr/>
        <w:t>N’importe où, l’emplacement n’a pas d’incidence pratique</w:t>
      </w:r>
    </w:p>
    <w:p>
      <w:pPr>
        <w:pStyle w:val="Compact"/>
        <w:numPr>
          <w:ilvl w:val="0"/>
          <w:numId w:val="57"/>
        </w:numPr>
        <w:rPr/>
      </w:pPr>
      <w:r>
        <w:rPr/>
        <w:t>Le cahier d’exploitation sert principalement à :</w:t>
      </w:r>
    </w:p>
    <w:p>
      <w:pPr>
        <w:pStyle w:val="Compact"/>
        <w:numPr>
          <w:ilvl w:val="1"/>
          <w:numId w:val="58"/>
        </w:numPr>
        <w:rPr/>
      </w:pPr>
      <w:r>
        <w:rPr/>
        <w:t>Remplacer les conseils d’un technicien agricole</w:t>
      </w:r>
    </w:p>
    <w:p>
      <w:pPr>
        <w:pStyle w:val="Compact"/>
        <w:numPr>
          <w:ilvl w:val="1"/>
          <w:numId w:val="59"/>
        </w:numPr>
        <w:rPr/>
      </w:pPr>
      <w:r>
        <w:rPr/>
        <w:t>Enregistrer les opérations techniques et les mouvements financiers pour permettre le calcul des coûts, du rendement et de la marge</w:t>
      </w:r>
    </w:p>
    <w:p>
      <w:pPr>
        <w:pStyle w:val="Compact"/>
        <w:numPr>
          <w:ilvl w:val="1"/>
          <w:numId w:val="60"/>
        </w:numPr>
        <w:rPr/>
      </w:pPr>
      <w:r>
        <w:rPr/>
        <w:t>Décorer le bureau de l’exploitation</w:t>
      </w:r>
    </w:p>
    <w:p>
      <w:pPr>
        <w:pStyle w:val="Compact"/>
        <w:numPr>
          <w:ilvl w:val="1"/>
          <w:numId w:val="61"/>
        </w:numPr>
        <w:rPr/>
      </w:pPr>
      <w:r>
        <w:rPr/>
        <w:t>Uniquement obtenir un crédit bancaire, sans autre utilité</w:t>
      </w:r>
    </w:p>
    <w:p>
      <w:pPr>
        <w:pStyle w:val="Compact"/>
        <w:numPr>
          <w:ilvl w:val="0"/>
          <w:numId w:val="62"/>
        </w:numPr>
        <w:rPr/>
      </w:pPr>
      <w:r>
        <w:rPr/>
        <w:t>La marge brute d’une culture se calcule ainsi :</w:t>
      </w:r>
    </w:p>
    <w:p>
      <w:pPr>
        <w:pStyle w:val="Compact"/>
        <w:numPr>
          <w:ilvl w:val="1"/>
          <w:numId w:val="63"/>
        </w:numPr>
        <w:rPr/>
      </w:pPr>
      <w:r>
        <w:rPr/>
        <w:t>Produit total des ventes multiplié par la surface cultivée</w:t>
      </w:r>
    </w:p>
    <w:p>
      <w:pPr>
        <w:pStyle w:val="Compact"/>
        <w:numPr>
          <w:ilvl w:val="1"/>
          <w:numId w:val="64"/>
        </w:numPr>
        <w:rPr/>
      </w:pPr>
      <w:r>
        <w:rPr/>
        <w:t>Produit total des ventes moins les charges opérationnelles (variables)</w:t>
      </w:r>
    </w:p>
    <w:p>
      <w:pPr>
        <w:pStyle w:val="Compact"/>
        <w:numPr>
          <w:ilvl w:val="1"/>
          <w:numId w:val="65"/>
        </w:numPr>
        <w:rPr/>
      </w:pPr>
      <w:r>
        <w:rPr/>
        <w:t>Rendement en kilogrammes divisé par la surface en hectares</w:t>
      </w:r>
    </w:p>
    <w:p>
      <w:pPr>
        <w:pStyle w:val="Compact"/>
        <w:numPr>
          <w:ilvl w:val="1"/>
          <w:numId w:val="66"/>
        </w:numPr>
        <w:rPr/>
      </w:pPr>
      <w:r>
        <w:rPr/>
        <w:t>Charges de structure moins charges opérationnelles</w:t>
      </w:r>
    </w:p>
    <w:p>
      <w:pPr>
        <w:pStyle w:val="Compact"/>
        <w:numPr>
          <w:ilvl w:val="0"/>
          <w:numId w:val="67"/>
        </w:numPr>
        <w:rPr/>
      </w:pPr>
      <w:r>
        <w:rPr/>
        <w:t>Concernant la récolte des produits horticoles, quelle affirmation est correcte ?</w:t>
      </w:r>
    </w:p>
    <w:p>
      <w:pPr>
        <w:pStyle w:val="Compact"/>
        <w:numPr>
          <w:ilvl w:val="1"/>
          <w:numId w:val="68"/>
        </w:numPr>
        <w:rPr/>
      </w:pPr>
      <w:r>
        <w:rPr/>
        <w:t>L’heure de la journée n’a aucune incidence sur la qualité du produit récolté</w:t>
      </w:r>
    </w:p>
    <w:p>
      <w:pPr>
        <w:pStyle w:val="Compact"/>
        <w:numPr>
          <w:ilvl w:val="1"/>
          <w:numId w:val="69"/>
        </w:numPr>
        <w:rPr/>
      </w:pPr>
      <w:r>
        <w:rPr/>
        <w:t>Il est préférable de récolter aux heures fraîches et de manipuler les produits avec soin pour limiter le stress et les blessures</w:t>
      </w:r>
    </w:p>
    <w:p>
      <w:pPr>
        <w:pStyle w:val="Compact"/>
        <w:numPr>
          <w:ilvl w:val="1"/>
          <w:numId w:val="70"/>
        </w:numPr>
        <w:rPr/>
      </w:pPr>
      <w:r>
        <w:rPr/>
        <w:t>Il faut toujours arracher les fruits d’agrumes à la main plutôt que de les couper au sécateur</w:t>
      </w:r>
    </w:p>
    <w:p>
      <w:pPr>
        <w:pStyle w:val="Compact"/>
        <w:numPr>
          <w:ilvl w:val="1"/>
          <w:numId w:val="71"/>
        </w:numPr>
        <w:rPr/>
      </w:pPr>
      <w:r>
        <w:rPr/>
        <w:t>Le tri et le calibrage sont inutiles si le produit est vendu localement</w:t>
      </w:r>
    </w:p>
    <w:p>
      <w:pPr>
        <w:pStyle w:val="Compact"/>
        <w:numPr>
          <w:ilvl w:val="0"/>
          <w:numId w:val="72"/>
        </w:numPr>
        <w:rPr/>
      </w:pPr>
      <w:r>
        <w:rPr/>
        <w:t>La rotation des cultures a notamment pour objectif de :</w:t>
      </w:r>
    </w:p>
    <w:p>
      <w:pPr>
        <w:pStyle w:val="Compact"/>
        <w:numPr>
          <w:ilvl w:val="1"/>
          <w:numId w:val="73"/>
        </w:numPr>
        <w:rPr/>
      </w:pPr>
      <w:r>
        <w:rPr/>
        <w:t>Simplifier le travail en cultivant toujours la même espèce sur la même parcelle</w:t>
      </w:r>
    </w:p>
    <w:p>
      <w:pPr>
        <w:pStyle w:val="Compact"/>
        <w:numPr>
          <w:ilvl w:val="1"/>
          <w:numId w:val="74"/>
        </w:numPr>
        <w:rPr/>
      </w:pPr>
      <w:r>
        <w:rPr/>
        <w:t>Limiter l’accumulation de ravageurs et de maladies spécifiques à une famille botanique et équilibrer les prélèvements du sol</w:t>
      </w:r>
    </w:p>
    <w:p>
      <w:pPr>
        <w:pStyle w:val="Compact"/>
        <w:numPr>
          <w:ilvl w:val="1"/>
          <w:numId w:val="75"/>
        </w:numPr>
        <w:rPr/>
      </w:pPr>
      <w:r>
        <w:rPr/>
        <w:t>Augmenter systématiquement le prix de vente du produit</w:t>
      </w:r>
    </w:p>
    <w:p>
      <w:pPr>
        <w:pStyle w:val="Compact"/>
        <w:numPr>
          <w:ilvl w:val="1"/>
          <w:numId w:val="76"/>
        </w:numPr>
        <w:rPr/>
      </w:pPr>
      <w:r>
        <w:rPr/>
        <w:t>Réduire uniquement le temps de récolte</w:t>
      </w:r>
    </w:p>
    <w:p>
      <w:pPr>
        <w:pStyle w:val="Compact"/>
        <w:numPr>
          <w:ilvl w:val="0"/>
          <w:numId w:val="77"/>
        </w:numPr>
        <w:rPr/>
      </w:pPr>
      <w:r>
        <w:rPr/>
        <w:t>Le paillage du sol autour des cultures permet notamment de :</w:t>
      </w:r>
    </w:p>
    <w:p>
      <w:pPr>
        <w:pStyle w:val="Compact"/>
        <w:numPr>
          <w:ilvl w:val="1"/>
          <w:numId w:val="78"/>
        </w:numPr>
        <w:rPr/>
      </w:pPr>
      <w:r>
        <w:rPr/>
        <w:t>Augmenter fortement l’évaporation de l’eau du sol</w:t>
      </w:r>
    </w:p>
    <w:p>
      <w:pPr>
        <w:pStyle w:val="Compact"/>
        <w:numPr>
          <w:ilvl w:val="1"/>
          <w:numId w:val="79"/>
        </w:numPr>
        <w:rPr/>
      </w:pPr>
      <w:r>
        <w:rPr/>
        <w:t>Favoriser la levée des adventices concurrentes</w:t>
      </w:r>
    </w:p>
    <w:p>
      <w:pPr>
        <w:pStyle w:val="Compact"/>
        <w:numPr>
          <w:ilvl w:val="1"/>
          <w:numId w:val="80"/>
        </w:numPr>
        <w:rPr/>
      </w:pPr>
      <w:r>
        <w:rPr/>
        <w:t>Réduire l’évaporation, limiter les adventices et enrichir progressivement le sol en matière organique s’il est organique</w:t>
      </w:r>
    </w:p>
    <w:p>
      <w:pPr>
        <w:pStyle w:val="Compact"/>
        <w:numPr>
          <w:ilvl w:val="1"/>
          <w:numId w:val="81"/>
        </w:numPr>
        <w:rPr/>
      </w:pPr>
      <w:bookmarkStart w:id="89" w:name="points-clés-à-retenir"/>
      <w:r>
        <w:rPr/>
        <w:t>Remplacer entièrement la fertilisation minérale et organique</w:t>
      </w:r>
      <w:bookmarkEnd w:id="89"/>
    </w:p>
    <w:p>
      <w:pPr>
        <w:pStyle w:val="Heading2"/>
        <w:rPr/>
      </w:pPr>
      <w:bookmarkStart w:id="90" w:name="__RefHeading___Toc3274_3877972828"/>
      <w:bookmarkStart w:id="91" w:name="pour-aller-plus-loin"/>
      <w:bookmarkEnd w:id="90"/>
      <w:r>
        <w:rPr/>
        <w:t>Pour aller plus loin</w:t>
      </w:r>
    </w:p>
    <w:p>
      <w:pPr>
        <w:pStyle w:val="Compact"/>
        <w:numPr>
          <w:ilvl w:val="0"/>
          <w:numId w:val="82"/>
        </w:numPr>
        <w:rPr/>
      </w:pPr>
      <w:r>
        <w:rPr/>
        <w:t>Se rapprocher des services agricoles locaux (agents de vulgarisation, chambres d’agriculture, coopératives) pour obtenir des conseils techniques adaptés au contexte pédoclimatique précis de son exploitation.</w:t>
      </w:r>
    </w:p>
    <w:p>
      <w:pPr>
        <w:pStyle w:val="Compact"/>
        <w:numPr>
          <w:ilvl w:val="0"/>
          <w:numId w:val="83"/>
        </w:numPr>
        <w:rPr/>
      </w:pPr>
      <w:r>
        <w:rPr/>
        <w:t>Échanger régulièrement avec d’autres agroentrepreneurs de sa zone, notamment au sein de groupements ou de coopératives, pour comparer les pratiques et les résultats économiques.</w:t>
      </w:r>
    </w:p>
    <w:p>
      <w:pPr>
        <w:pStyle w:val="Compact"/>
        <w:numPr>
          <w:ilvl w:val="0"/>
          <w:numId w:val="84"/>
        </w:numPr>
        <w:rPr/>
      </w:pPr>
      <w:r>
        <w:rPr/>
        <w:t>Participer à des formations pratiques ou des démonstrations en champ organisées par des structures d’appui à l’agriculture, publiques ou associatives.</w:t>
      </w:r>
    </w:p>
    <w:p>
      <w:pPr>
        <w:pStyle w:val="Compact"/>
        <w:numPr>
          <w:ilvl w:val="0"/>
          <w:numId w:val="85"/>
        </w:numPr>
        <w:rPr/>
      </w:pPr>
      <w:r>
        <w:rPr/>
        <w:t>Expérimenter progressivement, sur une petite partie de l’exploitation, une nouvelle pratique (variété, technique d’irrigation, méthode de compostage) avant de la généraliser, afin de limiter les risques.</w:t>
      </w:r>
    </w:p>
    <w:p>
      <w:pPr>
        <w:pStyle w:val="Compact"/>
        <w:numPr>
          <w:ilvl w:val="0"/>
          <w:numId w:val="86"/>
        </w:numPr>
        <w:rPr/>
      </w:pPr>
      <w:bookmarkStart w:id="92" w:name="mode-dévaluation-qcm"/>
      <w:r>
        <w:rPr/>
        <w:t>Consulter des institutions de recherche et de vulgarisation agricole présentes dans son pays pour des références techniques actualisées et adaptées au contexte local.</w:t>
      </w:r>
      <w:bookmarkEnd w:id="92"/>
    </w:p>
    <w:p>
      <w:pPr>
        <w:pStyle w:val="Heading2"/>
        <w:rPr/>
      </w:pPr>
      <w:bookmarkStart w:id="93" w:name="__RefHeading___Toc3276_3877972828"/>
      <w:bookmarkStart w:id="94" w:name="glossaire"/>
      <w:bookmarkEnd w:id="93"/>
      <w:r>
        <w:rPr/>
        <w:t>Glossaire</w:t>
      </w:r>
    </w:p>
    <w:p>
      <w:pPr>
        <w:pStyle w:val="Compact"/>
        <w:numPr>
          <w:ilvl w:val="0"/>
          <w:numId w:val="87"/>
        </w:numPr>
        <w:rPr/>
      </w:pPr>
      <w:r>
        <w:rPr>
          <w:b/>
          <w:bCs/>
        </w:rPr>
        <w:t>Itinéraire technique</w:t>
      </w:r>
      <w:r>
        <w:rPr/>
        <w:t xml:space="preserve"> : succession organisée et datée des opérations culturales appliquées à une culture, du semis ou de la plantation jusqu’à la récolte.</w:t>
      </w:r>
    </w:p>
    <w:p>
      <w:pPr>
        <w:pStyle w:val="Compact"/>
        <w:numPr>
          <w:ilvl w:val="0"/>
          <w:numId w:val="88"/>
        </w:numPr>
        <w:rPr/>
      </w:pPr>
      <w:r>
        <w:rPr>
          <w:b/>
          <w:bCs/>
        </w:rPr>
        <w:t>Calendrier cultural</w:t>
      </w:r>
      <w:r>
        <w:rPr/>
        <w:t xml:space="preserve"> : planification dans le temps des opérations culturales pour une ou plusieurs cultures, tenant compte du climat, de l’eau disponible et du marché.</w:t>
      </w:r>
    </w:p>
    <w:p>
      <w:pPr>
        <w:pStyle w:val="Compact"/>
        <w:numPr>
          <w:ilvl w:val="0"/>
          <w:numId w:val="89"/>
        </w:numPr>
        <w:rPr/>
      </w:pPr>
      <w:r>
        <w:rPr>
          <w:b/>
          <w:bCs/>
        </w:rPr>
        <w:t>Fertilisation fractionnée</w:t>
      </w:r>
      <w:r>
        <w:rPr/>
        <w:t xml:space="preserve"> : apport d’engrais réparti en plusieurs fois au cours du cycle de la culture plutôt qu’en une seule application.</w:t>
      </w:r>
    </w:p>
    <w:p>
      <w:pPr>
        <w:pStyle w:val="Compact"/>
        <w:numPr>
          <w:ilvl w:val="0"/>
          <w:numId w:val="90"/>
        </w:numPr>
        <w:rPr/>
      </w:pPr>
      <w:r>
        <w:rPr>
          <w:b/>
          <w:bCs/>
        </w:rPr>
        <w:t>Seuil de nuisibilité</w:t>
      </w:r>
      <w:r>
        <w:rPr/>
        <w:t xml:space="preserve"> : niveau d’infestation par un ravageur ou une maladie à partir duquel un traitement devient économiquement justifié.</w:t>
      </w:r>
    </w:p>
    <w:p>
      <w:pPr>
        <w:pStyle w:val="Compact"/>
        <w:numPr>
          <w:ilvl w:val="0"/>
          <w:numId w:val="91"/>
        </w:numPr>
        <w:rPr/>
      </w:pPr>
      <w:r>
        <w:rPr>
          <w:b/>
          <w:bCs/>
        </w:rPr>
        <w:t>Cahier d’exploitation</w:t>
      </w:r>
      <w:r>
        <w:rPr/>
        <w:t xml:space="preserve"> : registre écrit dans lequel sont consignées les opérations techniques et les données économiques (dépenses, ventes) d’une exploitation agricole.</w:t>
      </w:r>
    </w:p>
    <w:p>
      <w:pPr>
        <w:pStyle w:val="Compact"/>
        <w:numPr>
          <w:ilvl w:val="0"/>
          <w:numId w:val="92"/>
        </w:numPr>
        <w:rPr/>
      </w:pPr>
      <w:r>
        <w:rPr>
          <w:b/>
          <w:bCs/>
        </w:rPr>
        <w:t>Charges opérationnelles (variables)</w:t>
      </w:r>
      <w:r>
        <w:rPr/>
        <w:t xml:space="preserve"> : dépenses directement liées au volume de production, comme les semences, engrais ou main-d’œuvre temporaire.</w:t>
      </w:r>
    </w:p>
    <w:p>
      <w:pPr>
        <w:pStyle w:val="Compact"/>
        <w:numPr>
          <w:ilvl w:val="0"/>
          <w:numId w:val="93"/>
        </w:numPr>
        <w:rPr/>
      </w:pPr>
      <w:r>
        <w:rPr>
          <w:b/>
          <w:bCs/>
        </w:rPr>
        <w:t>Charges de structure (fixes)</w:t>
      </w:r>
      <w:r>
        <w:rPr/>
        <w:t xml:space="preserve"> : dépenses indépendantes du niveau de production, comme l’amortissement des équipements ou les salaires permanents.</w:t>
      </w:r>
    </w:p>
    <w:p>
      <w:pPr>
        <w:pStyle w:val="Compact"/>
        <w:numPr>
          <w:ilvl w:val="0"/>
          <w:numId w:val="94"/>
        </w:numPr>
        <w:rPr/>
      </w:pPr>
      <w:r>
        <w:rPr>
          <w:b/>
          <w:bCs/>
        </w:rPr>
        <w:t>Marge brute</w:t>
      </w:r>
      <w:r>
        <w:rPr/>
        <w:t xml:space="preserve"> : produit total des ventes diminué des seules charges opérationnelles.</w:t>
      </w:r>
    </w:p>
    <w:p>
      <w:pPr>
        <w:pStyle w:val="Compact"/>
        <w:numPr>
          <w:ilvl w:val="0"/>
          <w:numId w:val="95"/>
        </w:numPr>
        <w:rPr/>
      </w:pPr>
      <w:r>
        <w:rPr>
          <w:b/>
          <w:bCs/>
        </w:rPr>
        <w:t>Marge nette</w:t>
      </w:r>
      <w:r>
        <w:rPr/>
        <w:t xml:space="preserve"> : produit total des ventes diminué de l’ensemble des charges, opérationnelles et de structure.</w:t>
      </w:r>
    </w:p>
    <w:p>
      <w:pPr>
        <w:pStyle w:val="Compact"/>
        <w:numPr>
          <w:ilvl w:val="0"/>
          <w:numId w:val="96"/>
        </w:numPr>
        <w:rPr/>
      </w:pPr>
      <w:r>
        <w:rPr>
          <w:b/>
          <w:bCs/>
        </w:rPr>
        <w:t>Rendement</w:t>
      </w:r>
      <w:r>
        <w:rPr/>
        <w:t xml:space="preserve"> : quantité produite rapportée à la surface cultivée, exprimée généralement en kilogrammes ou tonnes par hectare.</w:t>
      </w:r>
    </w:p>
    <w:p>
      <w:pPr>
        <w:pStyle w:val="Compact"/>
        <w:numPr>
          <w:ilvl w:val="0"/>
          <w:numId w:val="97"/>
        </w:numPr>
        <w:rPr/>
      </w:pPr>
      <w:r>
        <w:rPr>
          <w:b/>
          <w:bCs/>
        </w:rPr>
        <w:t>Rotation des cultures</w:t>
      </w:r>
      <w:r>
        <w:rPr/>
        <w:t xml:space="preserve"> : succession, sur une même parcelle et au fil des saisons, de cultures appartenant à des familles botaniques différentes.</w:t>
      </w:r>
    </w:p>
    <w:p>
      <w:pPr>
        <w:pStyle w:val="Compact"/>
        <w:numPr>
          <w:ilvl w:val="0"/>
          <w:numId w:val="98"/>
        </w:numPr>
        <w:rPr/>
      </w:pPr>
      <w:r>
        <w:rPr>
          <w:b/>
          <w:bCs/>
        </w:rPr>
        <w:t>Compostage</w:t>
      </w:r>
      <w:r>
        <w:rPr/>
        <w:t xml:space="preserve"> : transformation contrôlée de matières organiques en un amendement stable, riche et assimilable par les plantes.</w:t>
      </w:r>
    </w:p>
    <w:p>
      <w:pPr>
        <w:pStyle w:val="Compact"/>
        <w:numPr>
          <w:ilvl w:val="0"/>
          <w:numId w:val="99"/>
        </w:numPr>
        <w:spacing w:before="36" w:after="36"/>
        <w:rPr/>
      </w:pPr>
      <w:r>
        <w:rPr>
          <w:b/>
          <w:bCs/>
        </w:rPr>
        <w:t>Paillage</w:t>
      </w:r>
      <w:r>
        <w:rPr/>
        <w:t xml:space="preserve"> : couverture du sol autour des cultures par des matériaux organiques ou plastiques, destinée à limiter l’évaporation et le développement des adventices.</w:t>
      </w:r>
      <w:bookmarkEnd w:id="91"/>
      <w:bookmarkEnd w:id="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7">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9">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1"/>
    <w:lvlOverride w:ilvl="0">
      <w:startOverride w:val="1"/>
    </w:lvlOverride>
  </w:num>
  <w:num w:numId="21">
    <w:abstractNumId w:val="1"/>
  </w:num>
  <w:num w:numId="22">
    <w:abstractNumId w:val="1"/>
  </w:num>
  <w:num w:numId="23">
    <w:abstractNumId w:val="1"/>
  </w:num>
  <w:num w:numId="24">
    <w:abstractNumId w:val="1"/>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lvlOverride w:ilvl="0">
      <w:startOverride w:val="1"/>
    </w:lvlOverride>
  </w:num>
  <w:num w:numId="36">
    <w:abstractNumId w:val="6"/>
    <w:lvlOverride w:ilvl="0">
      <w:startOverride w:val="1"/>
    </w:lvlOverride>
    <w:lvlOverride w:ilvl="1">
      <w:startOverride w:val="1"/>
    </w:lvlOverride>
  </w:num>
  <w:num w:numId="37">
    <w:abstractNumId w:val="1"/>
  </w:num>
  <w:num w:numId="38">
    <w:abstractNumId w:val="6"/>
    <w:lvlOverride w:ilvl="0">
      <w:startOverride w:val="1"/>
    </w:lvlOverride>
    <w:lvlOverride w:ilvl="1">
      <w:startOverride w:val="1"/>
    </w:lvlOverride>
  </w:num>
  <w:num w:numId="39">
    <w:abstractNumId w:val="6"/>
  </w:num>
  <w:num w:numId="40">
    <w:abstractNumId w:val="6"/>
  </w:num>
  <w:num w:numId="41">
    <w:abstractNumId w:val="6"/>
  </w:num>
  <w:num w:numId="42">
    <w:abstractNumId w:val="1"/>
  </w:num>
  <w:num w:numId="43">
    <w:abstractNumId w:val="6"/>
    <w:lvlOverride w:ilvl="0">
      <w:startOverride w:val="1"/>
    </w:lvlOverride>
    <w:lvlOverride w:ilvl="1">
      <w:startOverride w:val="1"/>
    </w:lvlOverride>
  </w:num>
  <w:num w:numId="44">
    <w:abstractNumId w:val="6"/>
  </w:num>
  <w:num w:numId="45">
    <w:abstractNumId w:val="6"/>
  </w:num>
  <w:num w:numId="46">
    <w:abstractNumId w:val="6"/>
  </w:num>
  <w:num w:numId="47">
    <w:abstractNumId w:val="1"/>
  </w:num>
  <w:num w:numId="48">
    <w:abstractNumId w:val="6"/>
    <w:lvlOverride w:ilvl="0">
      <w:startOverride w:val="1"/>
    </w:lvlOverride>
    <w:lvlOverride w:ilvl="1">
      <w:startOverride w:val="1"/>
    </w:lvlOverride>
  </w:num>
  <w:num w:numId="49">
    <w:abstractNumId w:val="6"/>
  </w:num>
  <w:num w:numId="50">
    <w:abstractNumId w:val="6"/>
  </w:num>
  <w:num w:numId="51">
    <w:abstractNumId w:val="6"/>
  </w:num>
  <w:num w:numId="52">
    <w:abstractNumId w:val="1"/>
  </w:num>
  <w:num w:numId="53">
    <w:abstractNumId w:val="6"/>
    <w:lvlOverride w:ilvl="0">
      <w:startOverride w:val="1"/>
    </w:lvlOverride>
    <w:lvlOverride w:ilvl="1">
      <w:startOverride w:val="1"/>
    </w:lvlOverride>
  </w:num>
  <w:num w:numId="54">
    <w:abstractNumId w:val="6"/>
  </w:num>
  <w:num w:numId="55">
    <w:abstractNumId w:val="6"/>
  </w:num>
  <w:num w:numId="56">
    <w:abstractNumId w:val="6"/>
  </w:num>
  <w:num w:numId="57">
    <w:abstractNumId w:val="1"/>
  </w:num>
  <w:num w:numId="58">
    <w:abstractNumId w:val="6"/>
    <w:lvlOverride w:ilvl="0">
      <w:startOverride w:val="1"/>
    </w:lvlOverride>
    <w:lvlOverride w:ilvl="1">
      <w:startOverride w:val="1"/>
    </w:lvlOverride>
  </w:num>
  <w:num w:numId="59">
    <w:abstractNumId w:val="6"/>
  </w:num>
  <w:num w:numId="60">
    <w:abstractNumId w:val="6"/>
  </w:num>
  <w:num w:numId="61">
    <w:abstractNumId w:val="6"/>
  </w:num>
  <w:num w:numId="62">
    <w:abstractNumId w:val="1"/>
  </w:num>
  <w:num w:numId="63">
    <w:abstractNumId w:val="6"/>
    <w:lvlOverride w:ilvl="0">
      <w:startOverride w:val="1"/>
    </w:lvlOverride>
    <w:lvlOverride w:ilvl="1">
      <w:startOverride w:val="1"/>
    </w:lvlOverride>
  </w:num>
  <w:num w:numId="64">
    <w:abstractNumId w:val="6"/>
  </w:num>
  <w:num w:numId="65">
    <w:abstractNumId w:val="6"/>
  </w:num>
  <w:num w:numId="66">
    <w:abstractNumId w:val="6"/>
  </w:num>
  <w:num w:numId="67">
    <w:abstractNumId w:val="1"/>
  </w:num>
  <w:num w:numId="68">
    <w:abstractNumId w:val="6"/>
    <w:lvlOverride w:ilvl="0">
      <w:startOverride w:val="1"/>
    </w:lvlOverride>
    <w:lvlOverride w:ilvl="1">
      <w:startOverride w:val="1"/>
    </w:lvlOverride>
  </w:num>
  <w:num w:numId="69">
    <w:abstractNumId w:val="6"/>
  </w:num>
  <w:num w:numId="70">
    <w:abstractNumId w:val="6"/>
  </w:num>
  <w:num w:numId="71">
    <w:abstractNumId w:val="6"/>
  </w:num>
  <w:num w:numId="72">
    <w:abstractNumId w:val="1"/>
  </w:num>
  <w:num w:numId="73">
    <w:abstractNumId w:val="6"/>
    <w:lvlOverride w:ilvl="0">
      <w:startOverride w:val="1"/>
    </w:lvlOverride>
    <w:lvlOverride w:ilvl="1">
      <w:startOverride w:val="1"/>
    </w:lvlOverride>
  </w:num>
  <w:num w:numId="74">
    <w:abstractNumId w:val="6"/>
  </w:num>
  <w:num w:numId="75">
    <w:abstractNumId w:val="6"/>
  </w:num>
  <w:num w:numId="76">
    <w:abstractNumId w:val="6"/>
  </w:num>
  <w:num w:numId="77">
    <w:abstractNumId w:val="1"/>
  </w:num>
  <w:num w:numId="78">
    <w:abstractNumId w:val="6"/>
    <w:lvlOverride w:ilvl="0">
      <w:startOverride w:val="1"/>
    </w:lvlOverride>
    <w:lvlOverride w:ilvl="1">
      <w:startOverride w:val="1"/>
    </w:lvlOverride>
  </w:num>
  <w:num w:numId="79">
    <w:abstractNumId w:val="6"/>
  </w:num>
  <w:num w:numId="80">
    <w:abstractNumId w:val="6"/>
  </w:num>
  <w:num w:numId="81">
    <w:abstractNumId w:val="6"/>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Pages>
  <Words>8961</Words>
  <Characters>50578</Characters>
  <CharactersWithSpaces>59155</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2026-09-03T17:18:03Z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