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4</w:t>
            </w:r>
          </w:p>
        </w:tc>
      </w:tr>
    </w:tbl>
    <w:p>
      <w:pPr>
        <w:pStyle w:val="Normal"/>
        <w:spacing w:before="0" w:after="160"/>
        <w:jc w:val="center"/>
        <w:rPr/>
      </w:pPr>
      <w:r>
        <w:rPr/>
      </w:r>
    </w:p>
    <w:p>
      <w:pPr>
        <w:pStyle w:val="Normal"/>
        <w:spacing w:before="0" w:after="280"/>
        <w:jc w:val="center"/>
        <w:rPr/>
      </w:pPr>
      <w:r>
        <w:rPr>
          <w:b/>
          <w:i w:val="false"/>
          <w:color w:val="1B5E20"/>
          <w:sz w:val="42"/>
        </w:rPr>
        <w:t>Prise de décision technique et gestion des risques agricoles</w:t>
      </w:r>
    </w:p>
    <w:p>
      <w:pPr>
        <w:pStyle w:val="Normal"/>
        <w:jc w:val="center"/>
        <w:rPr/>
      </w:pPr>
      <w:r>
        <w:rPr/>
        <w:drawing>
          <wp:inline distT="0" distB="0" distL="0" distR="0">
            <wp:extent cx="2930525"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930525" cy="2286000"/>
                    </a:xfrm>
                    <a:prstGeom prst="rect">
                      <a:avLst/>
                    </a:prstGeom>
                  </pic:spPr>
                </pic:pic>
              </a:graphicData>
            </a:graphic>
          </wp:inline>
        </w:drawing>
      </w:r>
    </w:p>
    <w:p>
      <w:pPr>
        <w:pStyle w:val="Normal"/>
        <w:spacing w:before="120" w:after="360"/>
        <w:jc w:val="center"/>
        <w:rPr/>
      </w:pPr>
      <w:r>
        <w:rPr>
          <w:b w:val="false"/>
          <w:i/>
          <w:color w:val="666666"/>
          <w:sz w:val="20"/>
        </w:rPr>
        <w:t>Anticiper les aléas climatiques et de marché pour sécuriser son activité</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3843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843_3877972828">
            <w:r>
              <w:rPr>
                <w:webHidden/>
                <w:rStyle w:val="IndexLink"/>
              </w:rPr>
              <w:t>Sommaire</w:t>
              <w:tab/>
              <w:t>2</w:t>
            </w:r>
          </w:hyperlink>
        </w:p>
        <w:p>
          <w:pPr>
            <w:pStyle w:val="TOC1"/>
            <w:tabs>
              <w:tab w:val="clear" w:pos="9360"/>
              <w:tab w:val="right" w:pos="9359" w:leader="dot"/>
            </w:tabs>
            <w:rPr/>
          </w:pPr>
          <w:hyperlink w:anchor="__RefHeading___Toc3845_3877972828">
            <w:r>
              <w:rPr>
                <w:webHidden/>
                <w:rStyle w:val="IndexLink"/>
              </w:rPr>
              <w:t>Module 4 — Prise de décision technique et gestion des risques agricoles</w:t>
              <w:tab/>
              <w:t>4</w:t>
            </w:r>
          </w:hyperlink>
        </w:p>
        <w:p>
          <w:pPr>
            <w:pStyle w:val="TOC2"/>
            <w:tabs>
              <w:tab w:val="clear" w:pos="9077"/>
              <w:tab w:val="right" w:pos="9359" w:leader="dot"/>
            </w:tabs>
            <w:rPr/>
          </w:pPr>
          <w:hyperlink w:anchor="__RefHeading___Toc3847_3877972828">
            <w:r>
              <w:rPr>
                <w:webHidden/>
                <w:rStyle w:val="IndexLink"/>
              </w:rPr>
              <w:t>Introduction</w:t>
              <w:tab/>
              <w:t>4</w:t>
            </w:r>
          </w:hyperlink>
        </w:p>
        <w:p>
          <w:pPr>
            <w:pStyle w:val="TOC2"/>
            <w:tabs>
              <w:tab w:val="clear" w:pos="9077"/>
              <w:tab w:val="right" w:pos="9359" w:leader="dot"/>
            </w:tabs>
            <w:rPr/>
          </w:pPr>
          <w:hyperlink w:anchor="__RefHeading___Toc3849_3877972828">
            <w:r>
              <w:rPr>
                <w:webHidden/>
                <w:rStyle w:val="IndexLink"/>
              </w:rPr>
              <w:t>Objectifs pédagogiques</w:t>
              <w:tab/>
              <w:t>4</w:t>
            </w:r>
          </w:hyperlink>
        </w:p>
        <w:p>
          <w:pPr>
            <w:pStyle w:val="TOC2"/>
            <w:tabs>
              <w:tab w:val="clear" w:pos="9077"/>
              <w:tab w:val="right" w:pos="9359" w:leader="dot"/>
            </w:tabs>
            <w:rPr/>
          </w:pPr>
          <w:hyperlink w:anchor="__RefHeading___Toc3851_3877972828">
            <w:r>
              <w:rPr>
                <w:webHidden/>
                <w:rStyle w:val="IndexLink"/>
              </w:rPr>
              <w:t>Plan du module</w:t>
              <w:tab/>
              <w:t>5</w:t>
            </w:r>
          </w:hyperlink>
        </w:p>
        <w:p>
          <w:pPr>
            <w:pStyle w:val="TOC2"/>
            <w:tabs>
              <w:tab w:val="clear" w:pos="9077"/>
              <w:tab w:val="right" w:pos="9359" w:leader="dot"/>
            </w:tabs>
            <w:rPr/>
          </w:pPr>
          <w:hyperlink w:anchor="__RefHeading___Toc3853_3877972828">
            <w:r>
              <w:rPr>
                <w:webHidden/>
                <w:rStyle w:val="IndexLink"/>
              </w:rPr>
              <w:t>1. Typologie des risques agricoles</w:t>
              <w:tab/>
              <w:t>5</w:t>
            </w:r>
          </w:hyperlink>
        </w:p>
        <w:p>
          <w:pPr>
            <w:pStyle w:val="TOC3"/>
            <w:tabs>
              <w:tab w:val="clear" w:pos="8793"/>
              <w:tab w:val="right" w:pos="9359" w:leader="dot"/>
            </w:tabs>
            <w:rPr/>
          </w:pPr>
          <w:hyperlink w:anchor="__RefHeading___Toc3855_3877972828">
            <w:r>
              <w:rPr>
                <w:webHidden/>
                <w:rStyle w:val="IndexLink"/>
              </w:rPr>
              <w:t>1.1 Les risques climatiques</w:t>
              <w:tab/>
              <w:t>5</w:t>
            </w:r>
          </w:hyperlink>
        </w:p>
        <w:p>
          <w:pPr>
            <w:pStyle w:val="TOC3"/>
            <w:tabs>
              <w:tab w:val="clear" w:pos="8793"/>
              <w:tab w:val="right" w:pos="9359" w:leader="dot"/>
            </w:tabs>
            <w:rPr/>
          </w:pPr>
          <w:hyperlink w:anchor="__RefHeading___Toc3857_3877972828">
            <w:r>
              <w:rPr>
                <w:webHidden/>
                <w:rStyle w:val="IndexLink"/>
              </w:rPr>
              <w:t>1.2 Les risques sanitaires et phytosanitaires</w:t>
              <w:tab/>
              <w:t>6</w:t>
            </w:r>
          </w:hyperlink>
        </w:p>
        <w:p>
          <w:pPr>
            <w:pStyle w:val="TOC3"/>
            <w:tabs>
              <w:tab w:val="clear" w:pos="8793"/>
              <w:tab w:val="right" w:pos="9359" w:leader="dot"/>
            </w:tabs>
            <w:rPr/>
          </w:pPr>
          <w:hyperlink w:anchor="__RefHeading___Toc3859_3877972828">
            <w:r>
              <w:rPr>
                <w:webHidden/>
                <w:rStyle w:val="IndexLink"/>
              </w:rPr>
              <w:t>1.3 Les risques de marché et de prix</w:t>
              <w:tab/>
              <w:t>6</w:t>
            </w:r>
          </w:hyperlink>
        </w:p>
        <w:p>
          <w:pPr>
            <w:pStyle w:val="TOC3"/>
            <w:tabs>
              <w:tab w:val="clear" w:pos="8793"/>
              <w:tab w:val="right" w:pos="9359" w:leader="dot"/>
            </w:tabs>
            <w:rPr/>
          </w:pPr>
          <w:hyperlink w:anchor="__RefHeading___Toc3861_3877972828">
            <w:r>
              <w:rPr>
                <w:webHidden/>
                <w:rStyle w:val="IndexLink"/>
              </w:rPr>
              <w:t>1.4 Les risques financiers et institutionnels</w:t>
              <w:tab/>
              <w:t>7</w:t>
            </w:r>
          </w:hyperlink>
        </w:p>
        <w:p>
          <w:pPr>
            <w:pStyle w:val="TOC2"/>
            <w:tabs>
              <w:tab w:val="clear" w:pos="9077"/>
              <w:tab w:val="right" w:pos="9359" w:leader="dot"/>
            </w:tabs>
            <w:rPr/>
          </w:pPr>
          <w:hyperlink w:anchor="__RefHeading___Toc3863_3877972828">
            <w:r>
              <w:rPr>
                <w:webHidden/>
                <w:rStyle w:val="IndexLink"/>
              </w:rPr>
              <w:t>2. Outils d’aide à la décision technique</w:t>
              <w:tab/>
              <w:t>8</w:t>
            </w:r>
          </w:hyperlink>
        </w:p>
        <w:p>
          <w:pPr>
            <w:pStyle w:val="TOC3"/>
            <w:tabs>
              <w:tab w:val="clear" w:pos="8793"/>
              <w:tab w:val="right" w:pos="9359" w:leader="dot"/>
            </w:tabs>
            <w:rPr/>
          </w:pPr>
          <w:hyperlink w:anchor="__RefHeading___Toc3865_3877972828">
            <w:r>
              <w:rPr>
                <w:webHidden/>
                <w:rStyle w:val="IndexLink"/>
              </w:rPr>
              <w:t>2.1 Les arbres de décision simples</w:t>
              <w:tab/>
              <w:t>8</w:t>
            </w:r>
          </w:hyperlink>
        </w:p>
        <w:p>
          <w:pPr>
            <w:pStyle w:val="TOC3"/>
            <w:tabs>
              <w:tab w:val="clear" w:pos="8793"/>
              <w:tab w:val="right" w:pos="9359" w:leader="dot"/>
            </w:tabs>
            <w:rPr/>
          </w:pPr>
          <w:hyperlink w:anchor="__RefHeading___Toc3867_3877972828">
            <w:r>
              <w:rPr>
                <w:webHidden/>
                <w:rStyle w:val="IndexLink"/>
              </w:rPr>
              <w:t>2.2 L’analyse coûts-bénéfices</w:t>
              <w:tab/>
              <w:t>8</w:t>
            </w:r>
          </w:hyperlink>
        </w:p>
        <w:p>
          <w:pPr>
            <w:pStyle w:val="TOC3"/>
            <w:tabs>
              <w:tab w:val="clear" w:pos="8793"/>
              <w:tab w:val="right" w:pos="9359" w:leader="dot"/>
            </w:tabs>
            <w:rPr/>
          </w:pPr>
          <w:hyperlink w:anchor="__RefHeading___Toc3869_3877972828">
            <w:r>
              <w:rPr>
                <w:webHidden/>
                <w:rStyle w:val="IndexLink"/>
              </w:rPr>
              <w:t>2.3 Le calendrier de décisions clés</w:t>
              <w:tab/>
              <w:t>9</w:t>
            </w:r>
          </w:hyperlink>
        </w:p>
        <w:p>
          <w:pPr>
            <w:pStyle w:val="TOC2"/>
            <w:tabs>
              <w:tab w:val="clear" w:pos="9077"/>
              <w:tab w:val="right" w:pos="9359" w:leader="dot"/>
            </w:tabs>
            <w:rPr/>
          </w:pPr>
          <w:hyperlink w:anchor="__RefHeading___Toc3871_3877972828">
            <w:r>
              <w:rPr>
                <w:webHidden/>
                <w:rStyle w:val="IndexLink"/>
              </w:rPr>
              <w:t>3. Stratégies de prévention et d’atténuation des risques</w:t>
              <w:tab/>
              <w:t>9</w:t>
            </w:r>
          </w:hyperlink>
        </w:p>
        <w:p>
          <w:pPr>
            <w:pStyle w:val="TOC3"/>
            <w:tabs>
              <w:tab w:val="clear" w:pos="8793"/>
              <w:tab w:val="right" w:pos="9359" w:leader="dot"/>
            </w:tabs>
            <w:rPr/>
          </w:pPr>
          <w:hyperlink w:anchor="__RefHeading___Toc3873_3877972828">
            <w:r>
              <w:rPr>
                <w:webHidden/>
                <w:rStyle w:val="IndexLink"/>
              </w:rPr>
              <w:t>3.1 La diversification des activités</w:t>
              <w:tab/>
              <w:t>9</w:t>
            </w:r>
          </w:hyperlink>
        </w:p>
        <w:p>
          <w:pPr>
            <w:pStyle w:val="TOC3"/>
            <w:tabs>
              <w:tab w:val="clear" w:pos="8793"/>
              <w:tab w:val="right" w:pos="9359" w:leader="dot"/>
            </w:tabs>
            <w:rPr/>
          </w:pPr>
          <w:hyperlink w:anchor="__RefHeading___Toc3875_3877972828">
            <w:r>
              <w:rPr>
                <w:webHidden/>
                <w:rStyle w:val="IndexLink"/>
              </w:rPr>
              <w:t>3.2 L’assurance agricole et les mécanismes de partage du risque</w:t>
              <w:tab/>
              <w:t>10</w:t>
            </w:r>
          </w:hyperlink>
        </w:p>
        <w:p>
          <w:pPr>
            <w:pStyle w:val="TOC3"/>
            <w:tabs>
              <w:tab w:val="clear" w:pos="8793"/>
              <w:tab w:val="right" w:pos="9359" w:leader="dot"/>
            </w:tabs>
            <w:rPr/>
          </w:pPr>
          <w:hyperlink w:anchor="__RefHeading___Toc3877_3877972828">
            <w:r>
              <w:rPr>
                <w:webHidden/>
                <w:rStyle w:val="IndexLink"/>
              </w:rPr>
              <w:t>3.3 Le stockage et les contrats de vente anticipée</w:t>
              <w:tab/>
              <w:t>11</w:t>
            </w:r>
          </w:hyperlink>
        </w:p>
        <w:p>
          <w:pPr>
            <w:pStyle w:val="TOC3"/>
            <w:tabs>
              <w:tab w:val="clear" w:pos="8793"/>
              <w:tab w:val="right" w:pos="9359" w:leader="dot"/>
            </w:tabs>
            <w:rPr/>
          </w:pPr>
          <w:hyperlink w:anchor="__RefHeading___Toc3879_3877972828">
            <w:r>
              <w:rPr>
                <w:webHidden/>
                <w:rStyle w:val="IndexLink"/>
              </w:rPr>
              <w:t>3.4 Les pratiques agroécologiques résilientes</w:t>
              <w:tab/>
              <w:t>11</w:t>
            </w:r>
          </w:hyperlink>
        </w:p>
        <w:p>
          <w:pPr>
            <w:pStyle w:val="TOC2"/>
            <w:tabs>
              <w:tab w:val="clear" w:pos="9077"/>
              <w:tab w:val="right" w:pos="9359" w:leader="dot"/>
            </w:tabs>
            <w:rPr/>
          </w:pPr>
          <w:hyperlink w:anchor="__RefHeading___Toc3881_3877972828">
            <w:r>
              <w:rPr>
                <w:webHidden/>
                <w:rStyle w:val="IndexLink"/>
              </w:rPr>
              <w:t>4. Gestion de crise</w:t>
              <w:tab/>
              <w:t>12</w:t>
            </w:r>
          </w:hyperlink>
        </w:p>
        <w:p>
          <w:pPr>
            <w:pStyle w:val="TOC3"/>
            <w:tabs>
              <w:tab w:val="clear" w:pos="8793"/>
              <w:tab w:val="right" w:pos="9359" w:leader="dot"/>
            </w:tabs>
            <w:rPr/>
          </w:pPr>
          <w:hyperlink w:anchor="__RefHeading___Toc3883_3877972828">
            <w:r>
              <w:rPr>
                <w:webHidden/>
                <w:rStyle w:val="IndexLink"/>
              </w:rPr>
              <w:t>4.1 Réagir face à un choc climatique</w:t>
              <w:tab/>
              <w:t>12</w:t>
            </w:r>
          </w:hyperlink>
        </w:p>
        <w:p>
          <w:pPr>
            <w:pStyle w:val="TOC3"/>
            <w:tabs>
              <w:tab w:val="clear" w:pos="8793"/>
              <w:tab w:val="right" w:pos="9359" w:leader="dot"/>
            </w:tabs>
            <w:rPr/>
          </w:pPr>
          <w:hyperlink w:anchor="__RefHeading___Toc3885_3877972828">
            <w:r>
              <w:rPr>
                <w:webHidden/>
                <w:rStyle w:val="IndexLink"/>
              </w:rPr>
              <w:t>4.2 Réagir face à une crise sanitaire ou phytosanitaire</w:t>
              <w:tab/>
              <w:t>13</w:t>
            </w:r>
          </w:hyperlink>
        </w:p>
        <w:p>
          <w:pPr>
            <w:pStyle w:val="TOC3"/>
            <w:tabs>
              <w:tab w:val="clear" w:pos="8793"/>
              <w:tab w:val="right" w:pos="9359" w:leader="dot"/>
            </w:tabs>
            <w:rPr/>
          </w:pPr>
          <w:hyperlink w:anchor="__RefHeading___Toc3887_3877972828">
            <w:r>
              <w:rPr>
                <w:webHidden/>
                <w:rStyle w:val="IndexLink"/>
              </w:rPr>
              <w:t>4.3 Communication et mobilisation des appuis en temps de crise</w:t>
              <w:tab/>
              <w:t>13</w:t>
            </w:r>
          </w:hyperlink>
        </w:p>
        <w:p>
          <w:pPr>
            <w:pStyle w:val="TOC2"/>
            <w:tabs>
              <w:tab w:val="clear" w:pos="9077"/>
              <w:tab w:val="right" w:pos="9359" w:leader="dot"/>
            </w:tabs>
            <w:rPr/>
          </w:pPr>
          <w:hyperlink w:anchor="__RefHeading___Toc3889_3877972828">
            <w:r>
              <w:rPr>
                <w:webHidden/>
                <w:rStyle w:val="IndexLink"/>
              </w:rPr>
              <w:t>5. Mise en place d’un plan de gestion des risques pour sa propre exploitation</w:t>
              <w:tab/>
              <w:t>14</w:t>
            </w:r>
          </w:hyperlink>
        </w:p>
        <w:p>
          <w:pPr>
            <w:pStyle w:val="TOC3"/>
            <w:tabs>
              <w:tab w:val="clear" w:pos="8793"/>
              <w:tab w:val="right" w:pos="9359" w:leader="dot"/>
            </w:tabs>
            <w:rPr/>
          </w:pPr>
          <w:hyperlink w:anchor="__RefHeading___Toc3891_3877972828">
            <w:r>
              <w:rPr>
                <w:webHidden/>
                <w:rStyle w:val="IndexLink"/>
              </w:rPr>
              <w:t>5.1 Diagnostic et cartographie des risques de l’exploitation</w:t>
              <w:tab/>
              <w:t>14</w:t>
            </w:r>
          </w:hyperlink>
        </w:p>
        <w:p>
          <w:pPr>
            <w:pStyle w:val="TOC3"/>
            <w:tabs>
              <w:tab w:val="clear" w:pos="8793"/>
              <w:tab w:val="right" w:pos="9359" w:leader="dot"/>
            </w:tabs>
            <w:rPr/>
          </w:pPr>
          <w:hyperlink w:anchor="__RefHeading___Toc3893_3877972828">
            <w:r>
              <w:rPr>
                <w:webHidden/>
                <w:rStyle w:val="IndexLink"/>
              </w:rPr>
              <w:t>5.2 Définition des mesures et priorisation des actions</w:t>
              <w:tab/>
              <w:t>15</w:t>
            </w:r>
          </w:hyperlink>
        </w:p>
        <w:p>
          <w:pPr>
            <w:pStyle w:val="TOC3"/>
            <w:tabs>
              <w:tab w:val="clear" w:pos="8793"/>
              <w:tab w:val="right" w:pos="9359" w:leader="dot"/>
            </w:tabs>
            <w:rPr/>
          </w:pPr>
          <w:hyperlink w:anchor="__RefHeading___Toc3895_3877972828">
            <w:r>
              <w:rPr>
                <w:webHidden/>
                <w:rStyle w:val="IndexLink"/>
              </w:rPr>
              <w:t>5.3 Suivi, révision et institutionnalisation du plan</w:t>
              <w:tab/>
              <w:t>15</w:t>
            </w:r>
          </w:hyperlink>
        </w:p>
        <w:p>
          <w:pPr>
            <w:pStyle w:val="TOC2"/>
            <w:tabs>
              <w:tab w:val="clear" w:pos="9077"/>
              <w:tab w:val="right" w:pos="9359" w:leader="dot"/>
            </w:tabs>
            <w:rPr/>
          </w:pPr>
          <w:hyperlink w:anchor="__RefHeading___Toc3897_3877972828">
            <w:r>
              <w:rPr>
                <w:webHidden/>
                <w:rStyle w:val="IndexLink"/>
              </w:rPr>
              <w:t>Étude de cas</w:t>
              <w:tab/>
              <w:t>16</w:t>
            </w:r>
          </w:hyperlink>
        </w:p>
        <w:p>
          <w:pPr>
            <w:pStyle w:val="TOC2"/>
            <w:tabs>
              <w:tab w:val="clear" w:pos="9077"/>
              <w:tab w:val="right" w:pos="9359" w:leader="dot"/>
            </w:tabs>
            <w:rPr/>
          </w:pPr>
          <w:hyperlink w:anchor="__RefHeading___Toc3899_3877972828">
            <w:r>
              <w:rPr>
                <w:webHidden/>
                <w:rStyle w:val="IndexLink"/>
              </w:rPr>
              <w:t>Outils pratiques</w:t>
              <w:tab/>
              <w:t>17</w:t>
            </w:r>
          </w:hyperlink>
        </w:p>
        <w:p>
          <w:pPr>
            <w:pStyle w:val="TOC3"/>
            <w:tabs>
              <w:tab w:val="clear" w:pos="8793"/>
              <w:tab w:val="right" w:pos="9359" w:leader="dot"/>
            </w:tabs>
            <w:rPr/>
          </w:pPr>
          <w:hyperlink w:anchor="__RefHeading___Toc3901_3877972828">
            <w:r>
              <w:rPr>
                <w:webHidden/>
                <w:rStyle w:val="IndexLink"/>
              </w:rPr>
              <w:t>Grille d’identification et de hiérarchisation des risques</w:t>
              <w:tab/>
              <w:t>17</w:t>
            </w:r>
          </w:hyperlink>
        </w:p>
        <w:p>
          <w:pPr>
            <w:pStyle w:val="TOC3"/>
            <w:tabs>
              <w:tab w:val="clear" w:pos="8793"/>
              <w:tab w:val="right" w:pos="9359" w:leader="dot"/>
            </w:tabs>
            <w:rPr/>
          </w:pPr>
          <w:hyperlink w:anchor="__RefHeading___Toc3903_3877972828">
            <w:r>
              <w:rPr>
                <w:webHidden/>
                <w:rStyle w:val="IndexLink"/>
              </w:rPr>
              <w:t>Checklist de mesures de prévention</w:t>
              <w:tab/>
              <w:t>18</w:t>
            </w:r>
          </w:hyperlink>
        </w:p>
        <w:p>
          <w:pPr>
            <w:pStyle w:val="TOC2"/>
            <w:tabs>
              <w:tab w:val="clear" w:pos="9077"/>
              <w:tab w:val="right" w:pos="9359" w:leader="dot"/>
            </w:tabs>
            <w:rPr/>
          </w:pPr>
          <w:hyperlink w:anchor="__RefHeading___Toc3905_3877972828">
            <w:r>
              <w:rPr>
                <w:webHidden/>
                <w:rStyle w:val="IndexLink"/>
              </w:rPr>
              <w:t>Points clés à retenir</w:t>
              <w:tab/>
              <w:t>19</w:t>
            </w:r>
          </w:hyperlink>
        </w:p>
        <w:p>
          <w:pPr>
            <w:pStyle w:val="TOC2"/>
            <w:tabs>
              <w:tab w:val="clear" w:pos="9077"/>
              <w:tab w:val="right" w:pos="9359" w:leader="dot"/>
            </w:tabs>
            <w:rPr/>
          </w:pPr>
          <w:hyperlink w:anchor="__RefHeading___Toc3907_3877972828">
            <w:r>
              <w:rPr>
                <w:webHidden/>
                <w:rStyle w:val="IndexLink"/>
              </w:rPr>
              <w:t>Mode d’évaluation : Devoir</w:t>
              <w:tab/>
              <w:t>19</w:t>
            </w:r>
          </w:hyperlink>
        </w:p>
        <w:p>
          <w:pPr>
            <w:pStyle w:val="TOC2"/>
            <w:tabs>
              <w:tab w:val="clear" w:pos="9077"/>
              <w:tab w:val="right" w:pos="9359" w:leader="dot"/>
            </w:tabs>
            <w:rPr/>
          </w:pPr>
          <w:hyperlink w:anchor="__RefHeading___Toc3909_3877972828">
            <w:r>
              <w:rPr>
                <w:webHidden/>
                <w:rStyle w:val="IndexLink"/>
              </w:rPr>
              <w:t>Pour aller plus loin</w:t>
              <w:tab/>
              <w:t>20</w:t>
            </w:r>
          </w:hyperlink>
        </w:p>
        <w:p>
          <w:pPr>
            <w:pStyle w:val="TOC2"/>
            <w:tabs>
              <w:tab w:val="clear" w:pos="9077"/>
              <w:tab w:val="right" w:pos="9359" w:leader="dot"/>
            </w:tabs>
            <w:rPr/>
          </w:pPr>
          <w:hyperlink w:anchor="__RefHeading___Toc3911_3877972828">
            <w:r>
              <w:rPr>
                <w:webHidden/>
                <w:rStyle w:val="IndexLink"/>
              </w:rPr>
              <w:t>Glossaire</w:t>
              <w:tab/>
              <w:t>20</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3845_3877972828"/>
      <w:bookmarkStart w:id="2" w:name="X98dfadb9d9c15d03adc496061744b0de1fa9ad6"/>
      <w:bookmarkEnd w:id="1"/>
      <w:r>
        <w:rPr/>
        <w:t>Module 4 — Prise de décision technique et gestion des risques agricoles</w:t>
      </w:r>
    </w:p>
    <w:p>
      <w:pPr>
        <w:pStyle w:val="Heading2"/>
        <w:rPr/>
      </w:pPr>
      <w:bookmarkStart w:id="3" w:name="__RefHeading___Toc3847_3877972828"/>
      <w:bookmarkStart w:id="4" w:name="introduction"/>
      <w:bookmarkEnd w:id="3"/>
      <w:r>
        <w:rPr/>
        <w:t>Introduction</w:t>
      </w:r>
    </w:p>
    <w:p>
      <w:pPr>
        <w:pStyle w:val="FirstParagraph"/>
        <w:rPr/>
      </w:pPr>
      <w:r>
        <w:rPr/>
        <w:t>L’agriculture est, par nature, une activité exposée à l’incertitude. Partout dans le monde, produire de la nourriture ou des matières premières agricoles suppose de composer avec des éléments que l’on ne maîtrise pas totalement : la météo, le comportement des marchés, la pression des ravageurs et des maladies, ou encore la disponibilité du crédit. En contexte africain, cette incertitude est souvent amplifiée par plusieurs facteurs qui se cumulent : une forte dépendance à l’agriculture pluviale, des infrastructures de stockage et de transport encore limitées dans de nombreuses zones rurales, des marchés agricoles peu régulés et sujets à de fortes variations de prix, un accès au financement et à l’assurance encore restreint pour une grande partie des producteurs, ainsi qu’une vulnérabilité accrue aux effets du changement climatique, qui se traduit par des sécheresses plus fréquentes, des pluies irrégulières ou des inondations soudaines dans certaines régions.</w:t>
      </w:r>
    </w:p>
    <w:p>
      <w:pPr>
        <w:pStyle w:val="BodyText"/>
        <w:rPr/>
      </w:pPr>
      <w:r>
        <w:rPr/>
        <w:t>Pour l’agroentrepreneur, qu’il s’agisse d’un exploitant individuel, d’une coopérative ou d’une petite entreprise agroalimentaire, cette réalité n’est pas une fatalité mais un paramètre à intégrer dans la gestion quotidienne de son activité. La différence entre une exploitation qui survit à un choc et une exploitation qui s’effondre tient rarement au hasard : elle tient le plus souvent à la capacité de l’entrepreneur à anticiper les risques, à préparer des réponses adaptées et à prendre, au bon moment, les décisions techniques qui limitent les pertes ou permettent de saisir une opportunité.</w:t>
      </w:r>
    </w:p>
    <w:p>
      <w:pPr>
        <w:pStyle w:val="BodyText"/>
        <w:rPr/>
      </w:pPr>
      <w:bookmarkStart w:id="5" w:name="X98dfadb9d9c15d03adc496061744b0de1fa9ad6"/>
      <w:r>
        <w:rPr/>
        <w:t>C’est précisément l’objet de ce module. Il ne s’agit pas de promettre l’élimination du risque agricole, ce qui serait illusoire, mais de donner à l’apprenant des outils concrets pour l’identifier, l’évaluer, le hiérarchiser et le gérer de manière structurée. Nous verrons que la gestion des risques n’est pas réservée aux grandes exploitations dotées de services spécialisés : elle repose avant tout sur une démarche accessible, faite d’observation, de bon sens organisé et d’une série d’outils simples que tout agroentrepreneur peut s’approprier, quelle que soit la taille de son exploitation ou de son entreprise. Une gestion rigoureuse des risques constitue ainsi un pilier essentiel de la durabilité et de la résilience des chaînes de valeur agricoles durables sur le continent.</w:t>
      </w:r>
      <w:bookmarkEnd w:id="5"/>
    </w:p>
    <w:p>
      <w:pPr>
        <w:pStyle w:val="Heading2"/>
        <w:rPr/>
      </w:pPr>
      <w:bookmarkStart w:id="6" w:name="__RefHeading___Toc3849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6"/>
        </w:numPr>
        <w:rPr/>
      </w:pPr>
      <w:r>
        <w:rPr/>
        <w:t>Identifier et classer les principaux types de risques auxquels une activité agricole est exposée en contexte africain.</w:t>
      </w:r>
    </w:p>
    <w:p>
      <w:pPr>
        <w:pStyle w:val="Compact"/>
        <w:numPr>
          <w:ilvl w:val="0"/>
          <w:numId w:val="1"/>
        </w:numPr>
        <w:rPr/>
      </w:pPr>
      <w:r>
        <w:rPr/>
        <w:t>Utiliser des outils simples d’aide à la décision technique, tels que les arbres de décision et l’analyse coûts-bénéfices.</w:t>
      </w:r>
    </w:p>
    <w:p>
      <w:pPr>
        <w:pStyle w:val="Compact"/>
        <w:numPr>
          <w:ilvl w:val="0"/>
          <w:numId w:val="1"/>
        </w:numPr>
        <w:rPr/>
      </w:pPr>
      <w:r>
        <w:rPr/>
        <w:t>Construire et utiliser un calendrier de décisions clés adapté à son cycle de production.</w:t>
      </w:r>
    </w:p>
    <w:p>
      <w:pPr>
        <w:pStyle w:val="Compact"/>
        <w:numPr>
          <w:ilvl w:val="0"/>
          <w:numId w:val="1"/>
        </w:numPr>
        <w:rPr/>
      </w:pPr>
      <w:r>
        <w:rPr/>
        <w:t>Sélectionner des stratégies pertinentes de prévention et d’atténuation des risques, adaptées aux ressources disponibles.</w:t>
      </w:r>
    </w:p>
    <w:p>
      <w:pPr>
        <w:pStyle w:val="Compact"/>
        <w:numPr>
          <w:ilvl w:val="0"/>
          <w:numId w:val="1"/>
        </w:numPr>
        <w:rPr/>
      </w:pPr>
      <w:r>
        <w:rPr/>
        <w:t>Réagir de manière structurée face à un choc climatique ou sanitaire affectant son exploitation.</w:t>
      </w:r>
    </w:p>
    <w:p>
      <w:pPr>
        <w:pStyle w:val="Compact"/>
        <w:numPr>
          <w:ilvl w:val="0"/>
          <w:numId w:val="1"/>
        </w:numPr>
        <w:rPr/>
      </w:pPr>
      <w:bookmarkStart w:id="8" w:name="introduction"/>
      <w:r>
        <w:rPr/>
        <w:t>Élaborer un plan de gestion des risques simple et opérationnel pour sa propre activité agricole.</w:t>
      </w:r>
      <w:bookmarkEnd w:id="8"/>
    </w:p>
    <w:p>
      <w:pPr>
        <w:pStyle w:val="Heading2"/>
        <w:rPr/>
      </w:pPr>
      <w:bookmarkStart w:id="9" w:name="__RefHeading___Toc3851_3877972828"/>
      <w:bookmarkStart w:id="10" w:name="plan-du-module"/>
      <w:bookmarkEnd w:id="9"/>
      <w:r>
        <w:rPr/>
        <w:t>Plan du module</w:t>
      </w:r>
    </w:p>
    <w:p>
      <w:pPr>
        <w:pStyle w:val="FirstParagraph"/>
        <w:rPr/>
      </w:pPr>
      <w:bookmarkStart w:id="11" w:name="objectifs-pédagogiques"/>
      <w:r>
        <w:rPr/>
        <w:t>Ce module s’articule en cinq sections principales. La première présente une typologie des risques agricoles, permettant de distinguer les risques climatiques, sanitaires et phytosanitaires, de marché, financiers et institutionnels. La deuxième introduit des outils d’aide à la décision technique accessibles à tout agroentrepreneur. La troisième explore les stratégies de prévention et d’atténuation des risques, de la diversification à l’assurance agricole en passant par le stockage et les pratiques agroécologiques. La quatrième traite de la gestion de crise, c’est-à-dire de la conduite à tenir lorsque le risque se matérialise. La cinquième et dernière section guide l’apprenant dans l’élaboration de son propre plan de gestion des risques. Le module se termine par une étude de cas, des outils pratiques réutilisables, une synthèse des points clés, les consignes du devoir à réaliser et des pistes pour approfondir le sujet.</w:t>
      </w:r>
      <w:bookmarkEnd w:id="11"/>
    </w:p>
    <w:p>
      <w:pPr>
        <w:pStyle w:val="Heading2"/>
        <w:rPr/>
      </w:pPr>
      <w:bookmarkStart w:id="12" w:name="__RefHeading___Toc3853_3877972828"/>
      <w:bookmarkStart w:id="13" w:name="typologie-des-risques-agricoles"/>
      <w:bookmarkEnd w:id="12"/>
      <w:r>
        <w:rPr/>
        <w:t>1. Typologie des risques agricoles</w:t>
      </w:r>
    </w:p>
    <w:p>
      <w:pPr>
        <w:pStyle w:val="Heading3"/>
        <w:rPr/>
      </w:pPr>
      <w:bookmarkStart w:id="14" w:name="__RefHeading___Toc3855_3877972828"/>
      <w:bookmarkStart w:id="15" w:name="les-risques-climatiques"/>
      <w:bookmarkEnd w:id="14"/>
      <w:r>
        <w:rPr/>
        <w:t>1.1 Les risques climatiques</w:t>
      </w:r>
    </w:p>
    <w:p>
      <w:pPr>
        <w:pStyle w:val="FirstParagraph"/>
        <w:rPr/>
      </w:pPr>
      <w:r>
        <w:rPr/>
        <w:t>Le risque climatique regroupe l’ensemble des aléas liés aux conditions météorologiques susceptibles d’affecter la production agricole. Il s’agit du type de risque le plus visible et souvent le plus redouté par les producteurs, car il peut anéantir en quelques jours le travail de toute une saison. Parmi les manifestations les plus courantes en contexte africain figurent le retard ou l’insuffisance des pluies au démarrage de la saison, les séquences sèches prolongées en cours de cycle végétatif, les pluies excessives ou mal réparties provoquant des inondations ou l’engorgement des sols, ainsi que les vents violents, les vagues de chaleur ou, dans certaines zones d’altitude, les épisodes de froid inhabituel.</w:t>
      </w:r>
    </w:p>
    <w:p>
      <w:pPr>
        <w:pStyle w:val="BodyText"/>
        <w:rPr/>
      </w:pPr>
      <w:r>
        <w:rPr/>
        <w:t>Prenons l’exemple illustratif de Fatou, agroentrepreneure cultivant du maïs et du niébé dans une zone semi-aride d’Afrique de l’Ouest. Une saison des pluies qui démarre avec trois semaines de retard peut l’obliger à ressemer, avec un surcoût en semences et un décalage du cycle qui expose la récolte à un arrêt précoce des pluies. Ce type de scénario, bien que fictif, illustre une réalité largement partagée : le calendrier agricole traditionnel, construit sur des régularités climatiques observées depuis des décennies, devient un repère de moins en moins fiable dans un contexte de variabilité accrue.</w:t>
      </w:r>
    </w:p>
    <w:p>
      <w:pPr>
        <w:pStyle w:val="BodyText"/>
        <w:rPr/>
      </w:pPr>
      <w:r>
        <w:rPr/>
        <w:t>Le risque climatique se caractérise par plusieurs particularités qu’il est important de comprendre. D’abord, il est largement hors du contrôle direct de l’exploitant : on ne peut pas empêcher une sécheresse, mais on peut réduire sa vulnérabilité face à elle. Ensuite, il est souvent covariant, c’est-à-dire qu’il touche simultanément de nombreux producteurs d’une même zone, ce qui complique les mécanismes d’entraide locale et fait grimper les prix des denrées après un choc généralisé. Enfin, il interagit avec d’autres risques : une sécheresse affaiblit les plantes et les rend plus vulnérables aux ravageurs, tandis qu’un excès d’eau favorise le développement de maladies fongiques. Comprendre ces interactions permet à l’agroentrepreneur d’anticiper des effets en cascade plutôt que de réagir uniquement au premier symptôme visible.</w:t>
      </w:r>
    </w:p>
    <w:p>
      <w:pPr>
        <w:pStyle w:val="BodyText"/>
        <w:rPr/>
      </w:pPr>
      <w:bookmarkStart w:id="16" w:name="plan-du-module"/>
      <w:r>
        <w:rPr/>
        <w:t>Il est également utile de distinguer les risques climatiques selon leur horizon temporel. Certains aléas sont ponctuels et brutaux, comme un orage violent ou une vague de chaleur de quelques jours, et appellent une réaction immédiate. D’autres s’inscrivent dans une tendance plus lente, comme le déplacement progressif des zones agroclimatiques favorables à une culture donnée d’une région vers une autre au fil des décennies, ce qui relève davantage d’une adaptation structurelle des systèmes de production que d’une simple mesure d’urgence. Un agroentrepreneur avisé gagnera à suivre, au-delà des aléas de la saison en cours, les évolutions plus longues qui touchent sa zone de production, par exemple en échangeant avec les producteurs plus âgés de sa communauté sur les changements observés au fil du temps, afin d’ajuster progressivement ses choix de cultures et de pratiques.</w:t>
      </w:r>
      <w:bookmarkEnd w:id="16"/>
    </w:p>
    <w:p>
      <w:pPr>
        <w:pStyle w:val="Heading3"/>
        <w:rPr/>
      </w:pPr>
      <w:bookmarkStart w:id="17" w:name="__RefHeading___Toc3857_3877972828"/>
      <w:bookmarkStart w:id="18" w:name="Xdcf8820b8fb42bbe42b3d1b6b0130ca67560b09"/>
      <w:bookmarkEnd w:id="17"/>
      <w:r>
        <w:rPr/>
        <w:t>1.2 Les risques sanitaires et phytosanitaires</w:t>
      </w:r>
    </w:p>
    <w:p>
      <w:pPr>
        <w:pStyle w:val="FirstParagraph"/>
        <w:rPr/>
      </w:pPr>
      <w:r>
        <w:rPr/>
        <w:t>Les risques sanitaires et phytosanitaires concernent les maladies, ravageurs et parasites qui affectent les cultures, ainsi que les maladies animales dans le cas d’activités d’élevage. Ils peuvent survenir de manière ponctuelle et localisée ou prendre la forme d’invasions massives, comme cela a pu être observé avec certaines chenilles légionnaires d’automne sur les cultures de maïs dans plusieurs régions du continent, ou avec des épizooties affectant la volaille ou le petit bétail.</w:t>
      </w:r>
    </w:p>
    <w:p>
      <w:pPr>
        <w:pStyle w:val="BodyText"/>
        <w:rPr/>
      </w:pPr>
      <w:r>
        <w:rPr/>
        <w:t>Illustrons ce risque avec le cas fictif de Moussa, éleveur de volailles dans une zone périurbaine d’Afrique centrale. Une épidémie de maladie de Newcastle non maîtrisée peut décimer un cheptel entier en quelques jours si aucune mesure de biosécurité n’a été mise en place, comme la vaccination préventive, l’isolement des nouveaux animaux ou la désinfection régulière des bâtiments d’élevage. Ce scénario illustre combien la prévention sanitaire, souvent perçue comme une dépense évitable, constitue en réalité une assurance contre une perte totale.</w:t>
      </w:r>
    </w:p>
    <w:p>
      <w:pPr>
        <w:pStyle w:val="BodyText"/>
        <w:rPr/>
      </w:pPr>
      <w:bookmarkStart w:id="19" w:name="typologie-des-risques-agricoles"/>
      <w:r>
        <w:rPr/>
        <w:t>Sur le plan végétal, les risques phytosanitaires sont accentués par plusieurs facteurs : la monoculture répétée sur une même parcelle, qui favorise l’accumulation de bio-agresseurs spécifiques ; l’usage de semences non certifiées, potentiellement porteuses de maladies ; et les échanges commerciaux transfrontaliers de végétaux qui peuvent introduire de nouveaux ravageurs dans une zone auparavant préservée. La détection précoce joue ici un rôle déterminant : un agroentrepreneur qui observe régulièrement ses cultures et sait reconnaître les premiers signes d’une attaque a beaucoup plus de chances de limiter les dégâts qu’un producteur qui ne s’en aperçoit qu’au stade de l’infestation généralisée. Ce risque illustre bien l’importance de la surveillance active comme premier outil de gestion, avant même le recours à des traitements curatifs.</w:t>
      </w:r>
      <w:bookmarkEnd w:id="19"/>
    </w:p>
    <w:p>
      <w:pPr>
        <w:pStyle w:val="Heading3"/>
        <w:rPr/>
      </w:pPr>
      <w:bookmarkStart w:id="20" w:name="__RefHeading___Toc3859_3877972828"/>
      <w:bookmarkStart w:id="21" w:name="les-risques-de-marché-et-de-prix"/>
      <w:bookmarkEnd w:id="20"/>
      <w:r>
        <w:rPr/>
        <w:t>1.3 Les risques de marché et de prix</w:t>
      </w:r>
    </w:p>
    <w:p>
      <w:pPr>
        <w:pStyle w:val="FirstParagraph"/>
        <w:rPr/>
      </w:pPr>
      <w:r>
        <w:rPr/>
        <w:t>Le risque de marché renvoie à l’incertitude qui pèse sur les conditions de vente des produits agricoles : évolution des prix, accès aux acheteurs, fluctuation de la demande. Contrairement au risque climatique, il n’affecte pas directement la production physique, mais il détermine la valeur économique que l’agroentrepreneur pourra en tirer, ce qui le rend tout aussi déterminant pour la viabilité de l’activité.</w:t>
      </w:r>
    </w:p>
    <w:p>
      <w:pPr>
        <w:pStyle w:val="BodyText"/>
        <w:rPr/>
      </w:pPr>
      <w:r>
        <w:rPr/>
        <w:t>Considérons l’exemple illustratif d’Aminata, qui cultive de la tomate dans une zone périurbaine et vend habituellement sa récolte sur le marché local. Lorsque plusieurs producteurs voisins récoltent en même temps qu’elle, l’offre abondante fait chuter les prix de manière brutale, parfois de moitié en quelques jours, ce qui peut réduire ses revenus bien en dessous de ses coûts de production, alors même que sa récolte est physiquement excellente. Ce phénomène de saisonnalité des prix, très commun pour les produits périssables, illustre un risque de marché classique : produire davantage ne garantit en rien un revenu plus élevé si l’écoulement du surplus n’a pas été anticipé.</w:t>
      </w:r>
    </w:p>
    <w:p>
      <w:pPr>
        <w:pStyle w:val="BodyText"/>
        <w:rPr/>
      </w:pPr>
      <w:bookmarkStart w:id="22" w:name="les-risques-climatiques"/>
      <w:r>
        <w:rPr/>
        <w:t>D’autres formes de risque de marché méritent d’être mentionnées : la dépendance à un acheteur unique, qui expose le producteur à un rapport de force défavorable ou à une rupture soudaine de la relation commerciale ; les variations des prix des intrants, notamment des engrais et des carburants, qui peuvent réduire les marges même lorsque les prix de vente restent stables ; et l’instabilité des taux de change pour les filières exportatrices, qui peut modifier significativement la rentabilité d’une campagne. Anticiper ces risques suppose de diversifier les débouchés commerciaux, de suivre l’évolution des prix sur plusieurs marchés et de ne jamais fonder la totalité de sa stratégie économique sur un unique canal de vente.</w:t>
      </w:r>
      <w:bookmarkEnd w:id="22"/>
    </w:p>
    <w:p>
      <w:pPr>
        <w:pStyle w:val="Heading3"/>
        <w:rPr/>
      </w:pPr>
      <w:bookmarkStart w:id="23" w:name="__RefHeading___Toc3861_3877972828"/>
      <w:bookmarkStart w:id="24" w:name="X1fe605e8afc1e243913e05bf6ace3e515033bae"/>
      <w:bookmarkEnd w:id="23"/>
      <w:r>
        <w:rPr/>
        <w:t>1.4 Les risques financiers et institutionnels</w:t>
      </w:r>
    </w:p>
    <w:p>
      <w:pPr>
        <w:pStyle w:val="FirstParagraph"/>
        <w:rPr/>
      </w:pPr>
      <w:r>
        <w:rPr/>
        <w:t>Les risques financiers concernent la capacité de l’agroentrepreneur à mobiliser les ressources nécessaires à son activité et à honorer ses engagements. Ils incluent le risque de crédit, lorsque l’accès au financement est difficile ou que les conditions de remboursement sont mal adaptées au cycle agricole, le risque de liquidité, lorsque les revenus ne couvrent pas les besoins de trésorerie à un moment donné, ainsi que le risque de change pour les opérations impliquant des devises étrangères.</w:t>
      </w:r>
    </w:p>
    <w:p>
      <w:pPr>
        <w:pStyle w:val="BodyText"/>
        <w:rPr/>
      </w:pPr>
      <w:r>
        <w:rPr/>
        <w:t>Un exemple illustratif est celui de Jean-Baptiste, qui a contracté un prêt à court terme pour financer l’achat d’intrants, avec des échéances de remboursement mensuelles fixes. Or son activité de maraîchage génère des revenus concentrés sur deux ou trois mois de récolte. Ce décalage entre le calendrier de remboursement du prêt et le calendrier des revenus agricoles crée une tension de trésorerie qui peut le contraindre à vendre sa récolte précipitamment, à un prix défavorable, uniquement pour honorer une échéance. Ce cas illustre l’importance d’adapter les instruments financiers au rythme réel de l’activité agricole plutôt que d’accepter des conditions standardisées.</w:t>
      </w:r>
    </w:p>
    <w:p>
      <w:pPr>
        <w:pStyle w:val="BodyText"/>
        <w:rPr/>
      </w:pPr>
      <w:bookmarkStart w:id="25" w:name="Xdcf8820b8fb42bbe42b3d1b6b0130ca67560b09"/>
      <w:bookmarkStart w:id="26" w:name="les-risques-de-marché-et-de-prix"/>
      <w:r>
        <w:rPr/>
        <w:t>Les risques institutionnels, quant à eux, concernent l’environnement réglementaire et organisationnel dans lequel évolue l’agroentrepreneur : instabilité des politiques agricoles, retard dans la délivrance de titres fonciers sécurisés, changements dans les règles d’accès aux subventions ou aux marchés publics, ou encore défaillance d’une organisation de producteurs censée assurer la commercialisation collective. Ces risques sont souvent moins visibles au quotidien que les risques climatiques ou sanitaires, mais ils peuvent avoir des conséquences tout aussi lourdes, notamment lorsqu’ils remettent en cause la sécurité d’accès à la terre ou aux ressources sur le long terme. Une veille régulière sur le contexte réglementaire et institutionnel local fait donc partie intégrante d’une gestion des risques complète.</w:t>
      </w:r>
      <w:bookmarkEnd w:id="25"/>
      <w:bookmarkEnd w:id="26"/>
    </w:p>
    <w:p>
      <w:pPr>
        <w:pStyle w:val="Heading2"/>
        <w:rPr/>
      </w:pPr>
      <w:bookmarkStart w:id="27" w:name="__RefHeading___Toc3863_3877972828"/>
      <w:bookmarkStart w:id="28" w:name="outils-daide-à-la-décision-technique"/>
      <w:bookmarkEnd w:id="27"/>
      <w:r>
        <w:rPr/>
        <w:t>2. Outils d’aide à la décision technique</w:t>
      </w:r>
    </w:p>
    <w:p>
      <w:pPr>
        <w:pStyle w:val="Heading3"/>
        <w:rPr/>
      </w:pPr>
      <w:bookmarkStart w:id="29" w:name="__RefHeading___Toc3865_3877972828"/>
      <w:bookmarkStart w:id="30" w:name="les-arbres-de-décision-simples"/>
      <w:bookmarkEnd w:id="29"/>
      <w:r>
        <w:rPr/>
        <w:t>2.1 Les arbres de décision simples</w:t>
      </w:r>
    </w:p>
    <w:p>
      <w:pPr>
        <w:pStyle w:val="FirstParagraph"/>
        <w:rPr/>
      </w:pPr>
      <w:r>
        <w:rPr/>
        <w:t>Un arbre de décision est une représentation visuelle qui aide à structurer un choix en présentant, de manière ordonnée, les options disponibles, les événements incertains qui peuvent survenir et les conséquences associées à chaque combinaison. Sans nécessiter de compétences mathématiques avancées, cet outil permet à l’agroentrepreneur de clarifier une décision complexe en la décomposant en étapes simples et logiques.</w:t>
      </w:r>
    </w:p>
    <w:p>
      <w:pPr>
        <w:pStyle w:val="BodyText"/>
        <w:rPr/>
      </w:pPr>
      <w:r>
        <w:rPr/>
        <w:t>Prenons un exemple illustratif : un producteur doit décider s’il sème son maïs à la date habituelle ou s’il attend une semaine supplémentaire pour s’assurer que les pluies sont bien installées. L’arbre de décision permettra de représenter les deux options de départ, puis, pour chacune, les deux scénarios climatiques possibles : pluies régulières ou séquence sèche prolongée. En associant à chaque branche une estimation, même approximative, du résultat probable (bonne récolte, récolte moyenne, échec du semis), l’exploitant visualise l’ensemble des issues possibles avant même d’agir. Cette visualisation ne supprime pas l’incertitude, mais elle évite de prendre une décision au hasard ou sous le coup de l’habitude, en rendant explicites les compromis entre risque et opportunité.</w:t>
      </w:r>
    </w:p>
    <w:p>
      <w:pPr>
        <w:pStyle w:val="BodyText"/>
        <w:rPr/>
      </w:pPr>
      <w:bookmarkStart w:id="31" w:name="X1fe605e8afc1e243913e05bf6ace3e515033bae"/>
      <w:r>
        <w:rPr/>
        <w:t>L’intérêt de cet outil réside aussi dans sa capacité à être utilisé collectivement, par exemple au sein d’une coopérative, pour confronter les expériences et les avis de plusieurs producteurs avant d’arrêter une décision commune, comme la date de démarrage d’une campagne de semis groupée. Il peut également être appliqué à d’autres types de décisions techniques : choisir entre deux variétés de semences selon leur tolérance à la sécheresse, décider s’il faut investir dans un système d’irrigation d’appoint, ou encore déterminer si une parcelle doit être mise en jachère une saison donnée. Dans tous les cas, la valeur de l’arbre de décision tient moins à la précision des chiffres utilisés qu’à la discipline de raisonnement qu’il impose : lister les options, envisager les scénarios, estimer les conséquences, puis comparer.</w:t>
      </w:r>
      <w:bookmarkEnd w:id="31"/>
    </w:p>
    <w:p>
      <w:pPr>
        <w:pStyle w:val="Heading3"/>
        <w:rPr/>
      </w:pPr>
      <w:bookmarkStart w:id="32" w:name="__RefHeading___Toc3867_3877972828"/>
      <w:bookmarkStart w:id="33" w:name="lanalyse-coûts-bénéfices"/>
      <w:bookmarkEnd w:id="32"/>
      <w:r>
        <w:rPr/>
        <w:t>2.2 L’analyse coûts-bénéfices</w:t>
      </w:r>
    </w:p>
    <w:p>
      <w:pPr>
        <w:pStyle w:val="FirstParagraph"/>
        <w:rPr/>
      </w:pPr>
      <w:r>
        <w:rPr/>
        <w:t>L’analyse coûts-bénéfices est un outil qui consiste à comparer, pour une décision donnée, l’ensemble des coûts qu’elle engendre et l’ensemble des bénéfices qu’elle est susceptible de générer, afin de déterminer si elle est économiquement justifiée. Appliquée à la gestion des risques agricoles, elle permet notamment d’évaluer si une mesure de prévention, souvent perçue comme une dépense supplémentaire, se justifie au regard des pertes qu’elle permet d’éviter.</w:t>
      </w:r>
    </w:p>
    <w:p>
      <w:pPr>
        <w:pStyle w:val="BodyText"/>
        <w:rPr/>
      </w:pPr>
      <w:r>
        <w:rPr/>
        <w:t>Illustrons cela avec le cas fictif de Sekou, producteur de riz, qui hésite à investir dans un léger surcoût pour des semences certifiées résistantes à une maladie fongique courante dans sa région. Le coût additionnel de ces semences, rapporté à l’hectare, peut sembler important au moment de l’achat. Mais en comparant ce coût à la perte de rendement moyenne observée les années où la maladie touche les variétés non résistantes, Sekou peut estimer que l’investissement est largement rentable dès lors que la probabilité d’apparition de la maladie dépasse un certain seuil dans sa zone. Cette mise en perspective transforme une dépense qui semblait risquée en une décision rationnelle de gestion du risque.</w:t>
      </w:r>
    </w:p>
    <w:p>
      <w:pPr>
        <w:pStyle w:val="BodyText"/>
        <w:rPr/>
      </w:pPr>
      <w:bookmarkStart w:id="34" w:name="outils-daide-à-la-décision-technique"/>
      <w:r>
        <w:rPr/>
        <w:t>L’analyse coûts-bénéfices appliquée au risque doit intégrer non seulement les coûts directs et immédiats, mais aussi les coûts indirects, comme le temps de travail supplémentaire que peut exiger une pratique préventive, et les bénéfices qui ne se matérialisent pas chaque année mais seulement lors des années à risque élevé. C’est là toute la spécificité de cet exercice appliqué aux risques : il ne s’agit pas de comparer un coût certain à un bénéfice certain, mais un coût généralement certain à un bénéfice probable, pondéré par la probabilité que le risque se matérialise. Cette pondération, même approximative, aide l’agroentrepreneur à hiérarchiser ses investissements de prévention selon leur rentabilité attendue plutôt que selon leur seul coût apparent.</w:t>
      </w:r>
      <w:bookmarkEnd w:id="34"/>
    </w:p>
    <w:p>
      <w:pPr>
        <w:pStyle w:val="Heading3"/>
        <w:rPr/>
      </w:pPr>
      <w:bookmarkStart w:id="35" w:name="__RefHeading___Toc3869_3877972828"/>
      <w:bookmarkStart w:id="36" w:name="le-calendrier-de-décisions-clés"/>
      <w:bookmarkEnd w:id="35"/>
      <w:r>
        <w:rPr/>
        <w:t>2.3 Le calendrier de décisions clés</w:t>
      </w:r>
    </w:p>
    <w:p>
      <w:pPr>
        <w:pStyle w:val="FirstParagraph"/>
        <w:rPr/>
      </w:pPr>
      <w:r>
        <w:rPr/>
        <w:t>Le calendrier de décisions clés est un outil de planification qui recense, tout au long du cycle de production, les moments où une décision technique importante doit être prise, ainsi que les informations nécessaires pour la prendre dans de bonnes conditions. Il permet à l’agroentrepreneur d’anticiper ces échéances plutôt que de les découvrir au dernier moment, sous la pression des circonstances.</w:t>
      </w:r>
    </w:p>
    <w:p>
      <w:pPr>
        <w:pStyle w:val="BodyText"/>
        <w:rPr/>
      </w:pPr>
      <w:r>
        <w:rPr/>
        <w:t>Pour une culture annuelle comme le maïs, ce calendrier pourrait par exemple identifier les décisions suivantes : le choix de la variété et de la date de semis, à prendre plusieurs semaines avant le début de la saison en fonction des prévisions saisonnières disponibles ; la décision de resemer ou non en cas d’échec de la levée, à prendre dans les jours suivant le semis initial ; l’ajustement du programme de fertilisation en fonction de l’évolution de la pluviométrie en cours de cycle ; la décision de traiter ou non contre un ravageur observé, en fonction du seuil de nuisibilité constaté ; et enfin la décision du moment de récolte, arbitrant entre le risque de pertes au champ et l’opportunité de prix sur le marché.</w:t>
      </w:r>
    </w:p>
    <w:p>
      <w:pPr>
        <w:pStyle w:val="BodyText"/>
        <w:rPr/>
      </w:pPr>
      <w:bookmarkStart w:id="37" w:name="les-arbres-de-décision-simples"/>
      <w:bookmarkStart w:id="38" w:name="lanalyse-coûts-bénéfices"/>
      <w:r>
        <w:rPr/>
        <w:t>L’un des avantages majeurs de cet outil est qu’il oblige l’agroentrepreneur à se poser, en amont, la question suivante pour chaque échéance : de quelles informations ai-je besoin pour bien décider, et où puis-je les obtenir ? Cela peut conduire à identifier des sources utiles, comme les bulletins météorologiques diffusés par les services nationaux, les alertes phytosanitaires relayées par les structures d’encadrement agricole, ou les informations de prix collectées auprès d’autres producteurs ou d’organisations de la filière. En structurant ainsi son calendrier, l’exploitant transforme une succession de décisions dispersées en un véritable système de pilotage de son exploitation, où chaque étape est anticipée et préparée plutôt que subie.</w:t>
      </w:r>
      <w:bookmarkEnd w:id="37"/>
      <w:bookmarkEnd w:id="38"/>
    </w:p>
    <w:p>
      <w:pPr>
        <w:pStyle w:val="Heading2"/>
        <w:rPr/>
      </w:pPr>
      <w:bookmarkStart w:id="39" w:name="__RefHeading___Toc3871_3877972828"/>
      <w:bookmarkStart w:id="40" w:name="X0d18b4db7c81e624782e2319e01c90935964f3f"/>
      <w:bookmarkEnd w:id="39"/>
      <w:r>
        <w:rPr/>
        <w:t>3. Stratégies de prévention et d’atténuation des risques</w:t>
      </w:r>
    </w:p>
    <w:p>
      <w:pPr>
        <w:pStyle w:val="Heading3"/>
        <w:rPr/>
      </w:pPr>
      <w:bookmarkStart w:id="41" w:name="__RefHeading___Toc3873_3877972828"/>
      <w:bookmarkStart w:id="42" w:name="la-diversification-des-activités"/>
      <w:bookmarkEnd w:id="41"/>
      <w:r>
        <w:rPr/>
        <w:t>3.1 La diversification des activités</w:t>
      </w:r>
    </w:p>
    <w:p>
      <w:pPr>
        <w:pStyle w:val="FirstParagraph"/>
        <w:rPr/>
      </w:pPr>
      <w:r>
        <w:rPr/>
        <w:t>La diversification consiste à ne pas concentrer l’ensemble de ses ressources sur une seule culture, un seul produit ou un seul débouché, afin de répartir le risque entre plusieurs sources de revenus. C’est l’une des stratégies les plus anciennes et les plus universellement recommandées en gestion des risques agricoles, car elle repose sur un principe simple : il est peu probable que tous les risques touchent simultanément et avec la même intensité l’ensemble des activités d’un producteur.</w:t>
      </w:r>
    </w:p>
    <w:p>
      <w:pPr>
        <w:pStyle w:val="BodyText"/>
        <w:rPr/>
      </w:pPr>
      <w:r>
        <w:rPr/>
        <w:t>La diversification peut prendre plusieurs formes complémentaires. La diversification des cultures consiste à associer, sur une même exploitation, des espèces aux besoins climatiques différents ou aux cycles décalés, par exemple une céréale et une légumineuse, de manière à ce qu’un aléa climatique défavorable à l’une n’affecte pas nécessairement l’autre. La diversification des activités peut aller au-delà de la production végétale, en combinant agriculture et petit élevage, ou en ajoutant une activité de transformation qui valorise une partie de la production, réduisant ainsi la dépendance à la vente du seul produit brut. La diversification des débouchés, enfin, consiste à vendre à plusieurs acheteurs ou sur plusieurs marchés plutôt qu’à un unique client, réduisant le risque de dépendance commerciale évoqué précédemment.</w:t>
      </w:r>
    </w:p>
    <w:p>
      <w:pPr>
        <w:pStyle w:val="BodyText"/>
        <w:rPr/>
      </w:pPr>
      <w:bookmarkStart w:id="43" w:name="le-calendrier-de-décisions-clés"/>
      <w:r>
        <w:rPr/>
        <w:t>Prenons l’exemple illustratif de Grace, agroentrepreneure qui cultivait exclusivement de l’ananas destiné à un unique acheteur exportateur. À la suite d’une rupture de contrat de cet acheteur, elle s’est retrouvée sans débouché pour une récolte entière. Depuis, elle a diversifié son activité en associant l’ananas à des cultures vivrières destinées au marché local et en développant une petite unité de transformation en jus, qui lui permet d’écouler les fruits non conformes aux standards d’exportation. Ce cas illustre comment la diversification, bien que nécessitant un investissement initial en temps et en compétences, réduit la vulnérabilité de l’exploitation face à un choc affectant une seule ligne de production.</w:t>
      </w:r>
      <w:bookmarkEnd w:id="43"/>
    </w:p>
    <w:p>
      <w:pPr>
        <w:pStyle w:val="Heading3"/>
        <w:rPr/>
      </w:pPr>
      <w:bookmarkStart w:id="44" w:name="__RefHeading___Toc3875_3877972828"/>
      <w:bookmarkStart w:id="45" w:name="Xd4bdceb5c8e2c96c5bf4dcfd173d2e63ca75a78"/>
      <w:bookmarkEnd w:id="44"/>
      <w:r>
        <w:rPr/>
        <w:t>3.2 L’assurance agricole et les mécanismes de partage du risque</w:t>
      </w:r>
    </w:p>
    <w:p>
      <w:pPr>
        <w:pStyle w:val="FirstParagraph"/>
        <w:rPr/>
      </w:pPr>
      <w:r>
        <w:rPr/>
        <w:t>L’assurance agricole est un mécanisme par lequel un producteur transfère une partie de son risque à un assureur, moyennant le paiement d’une prime, en échange d’une indemnisation en cas de survenue d’un événement défini, comme une sécheresse ou une inondation. Bien que l’offre d’assurance agricole reste encore inégalement développée selon les pays et les filières sur le continent, elle constitue une option de plus en plus disponible, notamment à travers des produits d’assurance indicielle, qui déclenchent une indemnisation sur la base d’un indice mesurable, tel qu’un niveau de pluviométrie enregistré par une station météorologique de référence, plutôt que sur la base d’une estimation individuelle des pertes.</w:t>
      </w:r>
    </w:p>
    <w:p>
      <w:pPr>
        <w:pStyle w:val="BodyText"/>
        <w:rPr/>
      </w:pPr>
      <w:r>
        <w:rPr/>
        <w:t>L’intérêt de l’assurance indicielle est sa simplicité de mise en œuvre : elle évite les visites d’expertise individuelle, souvent coûteuses et lentes, et permet un versement rapide des indemnités lorsque l’indice retenu atteint le seuil déclencheur. Elle présente toutefois une limite connue sous le nom de risque de base : il est possible que l’indice mesuré à la station de référence ne corresponde pas exactement à la situation vécue sur une parcelle particulière, ce qui peut, dans de rares cas, conduire à une absence d’indemnisation malgré une perte réelle, ou inversement.</w:t>
      </w:r>
    </w:p>
    <w:p>
      <w:pPr>
        <w:pStyle w:val="BodyText"/>
        <w:rPr/>
      </w:pPr>
      <w:r>
        <w:rPr/>
        <w:t>Au-delà de l’assurance formelle, il existe des mécanismes de partage du risque plus informels mais tout aussi utiles, notamment les groupes d’entraide entre producteurs, les caisses de solidarité communautaires ou les fonds de garantie mutualisés au sein d’une organisation de producteurs. Ces mécanismes reposent sur le même principe fondamental que l’assurance : répartir le coût d’un choc individuel sur un collectif plus large, plutôt que de le laisser peser entièrement sur un seul producteur au moment où il survient. Pour l’agroentrepreneur, s’informer sur les produits d’assurance disponibles dans sa zone et sur les mécanismes collectifs existants constitue une démarche à part entière de gestion des risques, à mener avant qu’un choc ne survienne.</w:t>
      </w:r>
    </w:p>
    <w:p>
      <w:pPr>
        <w:pStyle w:val="BodyText"/>
        <w:rPr/>
      </w:pPr>
      <w:bookmarkStart w:id="46" w:name="X0d18b4db7c81e624782e2319e01c90935964f3f"/>
      <w:r>
        <w:rPr/>
        <w:t>Un point mérite une attention particulière : la souscription à une assurance ou l’adhésion à un mécanisme collectif ne dispense en rien de la mise en œuvre de mesures de prévention. Ces deux approches sont complémentaires plutôt que substituables. Un producteur assuré qui négligerait par ailleurs les pratiques culturales de base au motif qu’il sera indemnisé en cas de perte s’exposerait à un comportement que les assureurs qualifient d’aléa moral, et qui, à terme, fragilise l’équilibre même du système d’assurance en renchérissant les primes pour l’ensemble des souscripteurs. La meilleure combinaison reste donc celle qui associe des pratiques de prévention rigoureuses à un mécanisme de transfert du risque résiduel, celui qui subsiste malgré toutes les précautions raisonnables prises en amont.</w:t>
      </w:r>
      <w:bookmarkEnd w:id="46"/>
    </w:p>
    <w:p>
      <w:pPr>
        <w:pStyle w:val="Heading3"/>
        <w:rPr/>
      </w:pPr>
      <w:bookmarkStart w:id="47" w:name="__RefHeading___Toc3877_3877972828"/>
      <w:bookmarkStart w:id="48" w:name="Xf4169c6e7a6124af0c54ac21cb76dcef94e0dc4"/>
      <w:bookmarkEnd w:id="47"/>
      <w:r>
        <w:rPr/>
        <w:t>3.3 Le stockage et les contrats de vente anticipée</w:t>
      </w:r>
    </w:p>
    <w:p>
      <w:pPr>
        <w:pStyle w:val="FirstParagraph"/>
        <w:rPr/>
      </w:pPr>
      <w:r>
        <w:rPr/>
        <w:t>Le stockage constitue une stratégie de gestion du risque de marché particulièrement pertinente pour les produits qui se conservent, comme les céréales ou les légumineuses séchées. En évitant de vendre la totalité de sa récolte immédiatement après la moisson, moment où les prix sont généralement au plus bas du fait de l’abondance de l’offre, l’agroentrepreneur peut échelonner ses ventes sur plusieurs mois et bénéficier de prix souvent plus favorables en période de soudure. Cette stratégie suppose toutefois de disposer d’infrastructures de stockage adaptées, permettant de limiter les pertes post-récolte dues aux insectes, aux rongeurs ou à l’humidité, ainsi que d’une trésorerie suffisante pour ne pas être contraint de vendre trop tôt par nécessité financière.</w:t>
      </w:r>
    </w:p>
    <w:p>
      <w:pPr>
        <w:pStyle w:val="BodyText"/>
        <w:rPr/>
      </w:pPr>
      <w:r>
        <w:rPr/>
        <w:t>Les contrats de vente anticipée, quant à eux, consistent à convenir avec un acheteur, avant ou en début de campagne, d’un volume et d’un prix de vente pour une récolte à venir. Ce type d’arrangement, parfois appelé contrat de préachat ou contractualisation, offre à l’agroentrepreneur une visibilité sur ses revenus futurs et lui permet de mieux planifier ses investissements. En contrepartie, il s’engage à livrer une quantité et une qualité définies, ce qui suppose une bonne maîtrise technique de sa production.</w:t>
      </w:r>
    </w:p>
    <w:p>
      <w:pPr>
        <w:pStyle w:val="BodyText"/>
        <w:rPr/>
      </w:pPr>
      <w:bookmarkStart w:id="49" w:name="la-diversification-des-activités"/>
      <w:r>
        <w:rPr/>
        <w:t>Illustrons ce mécanisme avec le cas fictif de Robert, producteur de soja, qui a signé un contrat de vente anticipée avec une unité de transformation locale, fixant un prix plancher plusieurs mois avant la récolte. Lorsque les prix du marché ont ensuite chuté fortement en raison d’une récolte régionale exceptionnelle, Robert a pu vendre sa production au prix convenu dans le contrat, se protégeant ainsi d’une baisse qui aurait sensiblement réduit ses revenus. Ce cas illustre l’intérêt du contrat de vente anticipée comme outil de sécurisation du prix, tout en rappelant qu’il implique aussi un engagement ferme, qui peut être défavorable si les prix de marché venaient au contraire à fortement augmenter après la signature du contrat.</w:t>
      </w:r>
      <w:bookmarkEnd w:id="49"/>
    </w:p>
    <w:p>
      <w:pPr>
        <w:pStyle w:val="Heading3"/>
        <w:rPr/>
      </w:pPr>
      <w:bookmarkStart w:id="50" w:name="__RefHeading___Toc3879_3877972828"/>
      <w:bookmarkStart w:id="51" w:name="X8a642ae60675224ae07e9aaf5c0fea6220c8918"/>
      <w:bookmarkEnd w:id="50"/>
      <w:r>
        <w:rPr/>
        <w:t>3.4 Les pratiques agroécologiques résilientes</w:t>
      </w:r>
    </w:p>
    <w:p>
      <w:pPr>
        <w:pStyle w:val="FirstParagraph"/>
        <w:rPr/>
      </w:pPr>
      <w:r>
        <w:rPr/>
        <w:t>Les pratiques agroécologiques désignent un ensemble de techniques qui s’appuient sur les processus naturels pour renforcer la productivité et la résilience des systèmes agricoles, tout en réduisant la dépendance aux intrants externes. Plusieurs de ces pratiques ont un rôle direct dans la gestion des risques, en particulier des risques climatiques et sanitaires.</w:t>
      </w:r>
    </w:p>
    <w:p>
      <w:pPr>
        <w:pStyle w:val="BodyText"/>
        <w:rPr/>
      </w:pPr>
      <w:r>
        <w:rPr/>
        <w:t>L’agroforesterie, qui consiste à associer des arbres aux cultures ou à l’élevage sur une même parcelle, améliore la rétention d’eau dans le sol, réduit l’érosion et crée un microclimat plus favorable en période de forte chaleur, atténuant ainsi l’impact des séquences sèches. Les techniques de conservation des sols, comme le paillage ou le travail minimal du sol, augmentent la capacité du sol à retenir l’humidité et à résister à l’érosion en cas de fortes pluies. L’association et la rotation des cultures perturbent les cycles de développement des ravageurs et des maladies spécifiques à une espèce, réduisant la pression phytosanitaire sans recourir systématiquement aux traitements chimiques. Enfin, la gestion intégrée de la fertilité des sols, combinant apports organiques et minéraux raisonnés, renforce la vigueur des plantes, les rendant plus résistantes aux stress climatiques et aux attaques parasitaires.</w:t>
      </w:r>
    </w:p>
    <w:p>
      <w:pPr>
        <w:pStyle w:val="BodyText"/>
        <w:rPr/>
      </w:pPr>
      <w:bookmarkStart w:id="52" w:name="Xd4bdceb5c8e2c96c5bf4dcfd173d2e63ca75a78"/>
      <w:bookmarkStart w:id="53" w:name="Xf4169c6e7a6124af0c54ac21cb76dcef94e0dc4"/>
      <w:r>
        <w:rPr/>
        <w:t>Ces pratiques présentent un double avantage pour la gestion des risques : elles réduisent la probabilité que certains chocs surviennent, comme une infestation facilitée par la monoculture, et elles atténuent l’ampleur des dégâts lorsque le choc survient malgré tout, comme dans le cas d’un sol mieux structuré qui résiste davantage à une pluie violente. Elles demandent généralement un investissement en temps et en apprentissage technique plus qu’en capital financier, ce qui les rend accessibles à un grand nombre d’agroentrepreneurs, y compris ceux disposant de ressources limitées. Leur adoption progressive, plutôt qu’une transformation brutale du système de production, permet de sécuriser la transition sans compromettre les revenus à court terme.</w:t>
      </w:r>
      <w:bookmarkEnd w:id="52"/>
      <w:bookmarkEnd w:id="53"/>
    </w:p>
    <w:p>
      <w:pPr>
        <w:pStyle w:val="Heading2"/>
        <w:rPr/>
      </w:pPr>
      <w:bookmarkStart w:id="54" w:name="__RefHeading___Toc3881_3877972828"/>
      <w:bookmarkStart w:id="55" w:name="gestion-de-crise"/>
      <w:bookmarkEnd w:id="54"/>
      <w:r>
        <w:rPr/>
        <w:t>4. Gestion de crise</w:t>
      </w:r>
    </w:p>
    <w:p>
      <w:pPr>
        <w:pStyle w:val="Heading3"/>
        <w:rPr/>
      </w:pPr>
      <w:bookmarkStart w:id="56" w:name="__RefHeading___Toc3883_3877972828"/>
      <w:bookmarkStart w:id="57" w:name="réagir-face-à-un-choc-climatique"/>
      <w:bookmarkEnd w:id="56"/>
      <w:r>
        <w:rPr/>
        <w:t>4.1 Réagir face à un choc climatique</w:t>
      </w:r>
    </w:p>
    <w:p>
      <w:pPr>
        <w:pStyle w:val="FirstParagraph"/>
        <w:rPr/>
      </w:pPr>
      <w:r>
        <w:rPr/>
        <w:t>Lorsqu’un choc climatique survient malgré les précautions prises, comme une sécheresse prolongée ou une inondation soudaine, la qualité de la réaction immédiate peut faire une différence considérable sur l’ampleur finale des pertes. La première étape consiste à évaluer rapidement et de manière réaliste l’étendue des dégâts, parcelle par parcelle, plutôt que de céder à la panique ou, à l’inverse, à la sous-estimation du problème. Cette évaluation permet de distinguer ce qui peut encore être sauvé de ce qui est définitivement perdu, et d’orienter les efforts en conséquence.</w:t>
      </w:r>
    </w:p>
    <w:p>
      <w:pPr>
        <w:pStyle w:val="BodyText"/>
        <w:rPr/>
      </w:pPr>
      <w:r>
        <w:rPr/>
        <w:t>Face à une sécheresse en cours de cycle, plusieurs options peuvent être envisagées selon le stade de développement de la culture : concentrer les ressources en eau disponibles, si elles existent, sur les parcelles ou les plants ayant le plus de chances de survivre plutôt que de les disperser également sur l’ensemble ; envisager une récolte anticipée, même partielle, pour du fourrage ou une consommation immédiate plutôt que de perdre l’intégralité de la biomasse ; et, pour les prochaines saisons, revoir le choix variétal en faveur de variétés plus tolérantes à la sécheresse. Face à une inondation, les priorités portent davantage sur l’évacuation rapide de l’eau stagnante lorsque cela est possible, l’évaluation du risque de développement de maladies fongiques sur les plants ayant survécu, et la protection des stocks de récolte déjà engrangés, qui peuvent être davantage menacés que la culture sur pied.</w:t>
      </w:r>
    </w:p>
    <w:p>
      <w:pPr>
        <w:pStyle w:val="BodyText"/>
        <w:rPr/>
      </w:pPr>
      <w:bookmarkStart w:id="58" w:name="X8a642ae60675224ae07e9aaf5c0fea6220c8918"/>
      <w:r>
        <w:rPr/>
        <w:t>Dans tous les cas, un choc climatique de grande ampleur touchant une zone entière appelle également à mobiliser les appuis extérieurs disponibles : services techniques agricoles locaux, organisations de producteurs, dispositifs publics d’urgence lorsqu’ils existent, ou mécanismes d’assurance si le producteur en avait souscrit un. Un agroentrepreneur qui a anticipé cette étape, en sachant à l’avance vers qui se tourner et quelles démarches entreprendre, gagnera un temps précieux par rapport à celui qui découvre ces informations en pleine crise, à un moment où chaque jour compte pour limiter les pertes.</w:t>
      </w:r>
      <w:bookmarkEnd w:id="58"/>
    </w:p>
    <w:p>
      <w:pPr>
        <w:pStyle w:val="Heading3"/>
        <w:rPr/>
      </w:pPr>
      <w:bookmarkStart w:id="59" w:name="__RefHeading___Toc3885_3877972828"/>
      <w:bookmarkStart w:id="60" w:name="X3703457113e223bb368c38689f747b41b417486"/>
      <w:bookmarkEnd w:id="59"/>
      <w:r>
        <w:rPr/>
        <w:t>4.2 Réagir face à une crise sanitaire ou phytosanitaire</w:t>
      </w:r>
    </w:p>
    <w:p>
      <w:pPr>
        <w:pStyle w:val="FirstParagraph"/>
        <w:rPr/>
      </w:pPr>
      <w:r>
        <w:rPr/>
        <w:t>La gestion d’une crise sanitaire ou phytosanitaire obéit à une logique proche, mais avec une spécificité importante : la rapidité de propagation. Une maladie ou un ravageur non maîtrisé peut se répandre en quelques jours sur l’ensemble d’une parcelle, voire au-delà vers les parcelles voisines ou les cheptels environnants, ce qui rend la réactivité encore plus déterminante que dans le cas d’un choc climatique.</w:t>
      </w:r>
    </w:p>
    <w:p>
      <w:pPr>
        <w:pStyle w:val="BodyText"/>
        <w:rPr/>
      </w:pPr>
      <w:r>
        <w:rPr/>
        <w:t>La première mesure à envisager, dès la détection de symptômes suspects, est l’isolement ou le confinement du foyer identifié : ne pas déplacer d’animaux ou de matériel entre une zone atteinte et une zone saine, retirer et détruire les plants manifestement infectés lorsque cette pratique est recommandée pour la maladie concernée, plutôt que de les laisser en place. Il est également essentiel de solliciter rapidement un diagnostic fiable auprès des services vétérinaires ou phytosanitaires disponibles localement, plutôt que de se fier uniquement à une identification approximative, car un traitement inadapté peut aggraver la situation ou représenter une dépense inutile. Dans le cas fictif déjà évoqué de Moussa, l’éleveur de volailles, une réaction rapide consistant à isoler immédiatement les oiseaux malades et à alerter les services vétérinaires locaux, plutôt que d’attendre l’aggravation des symptômes, aurait pu limiter la mortalité à une partie du cheptel plutôt qu’à sa totalité.</w:t>
      </w:r>
    </w:p>
    <w:p>
      <w:pPr>
        <w:pStyle w:val="BodyText"/>
        <w:rPr/>
      </w:pPr>
      <w:bookmarkStart w:id="61" w:name="gestion-de-crise"/>
      <w:r>
        <w:rPr/>
        <w:t>Une fois la crise circonscrite, une phase d’analyse a posteriori est utile pour comprendre l’origine de l’épisode, qu’il s’agisse d’une introduction extérieure, d’un manquement dans les pratiques de biosécurité ou d’une condition environnementale favorable, afin d’ajuster les pratiques préventives pour l’avenir. Cette capitalisation sur l’expérience, souvent négligée dans l’urgence de la gestion immédiate, constitue pourtant l’un des meilleurs moyens de réduire la probabilité qu’un événement similaire se reproduise.</w:t>
      </w:r>
      <w:bookmarkEnd w:id="61"/>
    </w:p>
    <w:p>
      <w:pPr>
        <w:pStyle w:val="Heading3"/>
        <w:rPr/>
      </w:pPr>
      <w:bookmarkStart w:id="62" w:name="__RefHeading___Toc3887_3877972828"/>
      <w:bookmarkStart w:id="63" w:name="X84a72925cc1fd3f7dc8bb78cab40b093d757335"/>
      <w:bookmarkEnd w:id="62"/>
      <w:r>
        <w:rPr/>
        <w:t>4.3 Communication et mobilisation des appuis en temps de crise</w:t>
      </w:r>
    </w:p>
    <w:p>
      <w:pPr>
        <w:pStyle w:val="FirstParagraph"/>
        <w:rPr/>
      </w:pPr>
      <w:r>
        <w:rPr/>
        <w:t>Au-delà des mesures techniques, la gestion de crise comporte une dimension organisationnelle et relationnelle souvent sous-estimée : savoir communiquer et mobiliser les bons appuis au bon moment. Un agroentrepreneur isolé, qui ne partage pas d’information sur la situation qu’il traverse, se prive souvent d’aides potentielles, qu’il s’agisse d’un report d’échéance accordé par un créancier informé à temps, d’un appui technique apporté par un service d’encadrement agricole, ou d’une solidarité entre pairs au sein d’une organisation de producteurs.</w:t>
      </w:r>
    </w:p>
    <w:p>
      <w:pPr>
        <w:pStyle w:val="BodyText"/>
        <w:rPr/>
      </w:pPr>
      <w:r>
        <w:rPr/>
        <w:t>Il est donc recommandé, dès qu’un risque significatif se matérialise, d’informer sans délai les parties prenantes concernées par la situation : l’institution de financement si un remboursement risque d’être affecté, l’acheteur si un contrat de vente anticipée ne pourra être honoré dans les conditions prévues, ou l’organisation de producteurs si un appui collectif peut être sollicité. Cette transparence, loin d’être un aveu de faiblesse, est généralement perçue positivement par les partenaires, car elle leur permet d’anticiper eux-mêmes les conséquences et de proposer des solutions, comme un réaménagement d’échéancier ou un ajustement de contrat, plutôt que de découvrir la difficulté après coup, dans des conditions souvent plus tendues.</w:t>
      </w:r>
    </w:p>
    <w:p>
      <w:pPr>
        <w:pStyle w:val="BodyText"/>
        <w:rPr/>
      </w:pPr>
      <w:bookmarkStart w:id="64" w:name="réagir-face-à-un-choc-climatique"/>
      <w:bookmarkStart w:id="65" w:name="X3703457113e223bb368c38689f747b41b417486"/>
      <w:r>
        <w:rPr/>
        <w:t>Enfin, la mobilisation des appuis disponibles suppose de les connaître à l’avance. Un agroentrepreneur gagnera à recenser, avant même qu’une crise ne survienne, les structures d’appui pertinentes dans sa zone : services techniques agricoles, structures d’encadrement vétérinaire, organisations de producteurs, institutions de microfinance ou dispositifs d’assurance, ainsi que les modalités pratiques pour les contacter. Cette préparation en amont, qui relève directement du plan de gestion des risques abordé plus loin dans ce module, transforme la mobilisation des appuis d’une improvisation sous pression en une démarche organisée et efficace.</w:t>
      </w:r>
      <w:bookmarkEnd w:id="64"/>
      <w:bookmarkEnd w:id="65"/>
    </w:p>
    <w:p>
      <w:pPr>
        <w:pStyle w:val="Heading2"/>
        <w:rPr/>
      </w:pPr>
      <w:bookmarkStart w:id="66" w:name="__RefHeading___Toc3889_3877972828"/>
      <w:bookmarkStart w:id="67" w:name="Xe7a6abb2d38a0c1a527794e42178f4bff7fdfcc"/>
      <w:bookmarkEnd w:id="66"/>
      <w:r>
        <w:rPr/>
        <w:t>5. Mise en place d’un plan de gestion des risques pour sa propre exploitation</w:t>
      </w:r>
    </w:p>
    <w:p>
      <w:pPr>
        <w:pStyle w:val="Heading3"/>
        <w:rPr/>
      </w:pPr>
      <w:bookmarkStart w:id="68" w:name="__RefHeading___Toc3891_3877972828"/>
      <w:bookmarkStart w:id="69" w:name="Xbaffce784e3b6e8c62b734aff840e39d2b45675"/>
      <w:bookmarkEnd w:id="68"/>
      <w:r>
        <w:rPr/>
        <w:t>5.1 Diagnostic et cartographie des risques de l’exploitation</w:t>
      </w:r>
    </w:p>
    <w:p>
      <w:pPr>
        <w:pStyle w:val="FirstParagraph"/>
        <w:rPr/>
      </w:pPr>
      <w:r>
        <w:rPr/>
        <w:t>L’élaboration d’un plan de gestion des risques commence par un diagnostic honnête et systématique des risques propres à sa propre exploitation, plutôt que par l’application d’une liste générique. Chaque exploitation présente en effet un profil de risque spécifique, déterminé par sa localisation géographique, les cultures ou élevages pratiqués, le niveau de dépendance à un débouché ou à un fournisseur particulier, ainsi que la situation financière du producteur.</w:t>
      </w:r>
    </w:p>
    <w:p>
      <w:pPr>
        <w:pStyle w:val="BodyText"/>
        <w:rPr/>
      </w:pPr>
      <w:r>
        <w:rPr/>
        <w:t>Ce diagnostic peut être mené en reprenant la typologie présentée en première section de ce module : pour chaque catégorie de risque, climatique, sanitaire, de marché, financier et institutionnel, l’agroentrepreneur s’interroge sur les menaces concrètes qui pèsent sur son activité. Il est utile, à ce stade, de s’appuyer sur l’historique de l’exploitation : quels chocs ont déjà été subis au cours des dernières années, quelle en a été l’ampleur, et quels facteurs ont aggravé ou au contraire limité leurs conséquences. Cette mémoire des événements passés constitue une source d’information précieuse, souvent plus fiable que des estimations abstraites, pour identifier les risques réellement significatifs.</w:t>
      </w:r>
    </w:p>
    <w:p>
      <w:pPr>
        <w:pStyle w:val="BodyText"/>
        <w:rPr/>
      </w:pPr>
      <w:bookmarkStart w:id="70" w:name="X84a72925cc1fd3f7dc8bb78cab40b093d757335"/>
      <w:r>
        <w:rPr/>
        <w:t>Une fois les risques identifiés, il convient de les hiérarchiser, car il serait irréaliste de vouloir traiter simultanément l’ensemble des menaces possibles avec des ressources limitées. La hiérarchisation repose classiquement sur deux critères combinés : la probabilité d’occurrence du risque et l’ampleur de son impact potentiel sur l’activité. Un risque à la fois probable et d’impact élevé doit être traité en priorité, tandis qu’un risque rare et d’impact limité peut être surveillé sans mobiliser de ressources importantes dans l’immédiat. Cette hiérarchisation, qui sera formalisée dans l’outil pratique proposé plus loin dans ce module, constitue le socle sur lequel repose l’ensemble du plan de gestion des risques.</w:t>
      </w:r>
      <w:bookmarkEnd w:id="70"/>
    </w:p>
    <w:p>
      <w:pPr>
        <w:pStyle w:val="Heading3"/>
        <w:rPr/>
      </w:pPr>
      <w:bookmarkStart w:id="71" w:name="__RefHeading___Toc3893_3877972828"/>
      <w:bookmarkStart w:id="72" w:name="X434d57c0f7e55ab4e74dd127ad95faf4e2a9af6"/>
      <w:bookmarkEnd w:id="71"/>
      <w:r>
        <w:rPr/>
        <w:t>5.2 Définition des mesures et priorisation des actions</w:t>
      </w:r>
    </w:p>
    <w:p>
      <w:pPr>
        <w:pStyle w:val="FirstParagraph"/>
        <w:rPr/>
      </w:pPr>
      <w:r>
        <w:rPr/>
        <w:t>Une fois les risques prioritaires identifiés, l’étape suivante consiste à définir, pour chacun d’eux, une ou plusieurs mesures concrètes de prévention, d’atténuation ou de transfert, en s’appuyant sur les stratégies présentées dans la troisième section de ce module. Il ne s’agit pas de choisir une stratégie unique et universelle, mais de composer, pour son exploitation, une combinaison de mesures adaptées à chaque risque identifié et aux ressources disponibles.</w:t>
      </w:r>
    </w:p>
    <w:p>
      <w:pPr>
        <w:pStyle w:val="BodyText"/>
        <w:rPr/>
      </w:pPr>
      <w:r>
        <w:rPr/>
        <w:t>Pour un risque climatique jugé prioritaire, comme une séquence sèche récurrente en début de cycle, les mesures envisageables peuvent inclure l’adoption de variétés plus tolérantes à la sécheresse, la mise en place de techniques de conservation de l’humidité du sol, ou l’installation progressive d’un système d’irrigation d’appoint si les ressources en eau et en capital le permettent. Pour un risque de marché prioritaire, comme la dépendance à un unique acheteur, les mesures peuvent porter sur la recherche active de débouchés alternatifs, la négociation d’un contrat de vente anticipée avec un second acheteur, ou l’investissement dans une capacité de stockage permettant d’échelonner les ventes.</w:t>
      </w:r>
    </w:p>
    <w:p>
      <w:pPr>
        <w:pStyle w:val="BodyText"/>
        <w:rPr/>
      </w:pPr>
      <w:bookmarkStart w:id="73" w:name="Xe7a6abb2d38a0c1a527794e42178f4bff7fdfcc"/>
      <w:r>
        <w:rPr/>
        <w:t>Il est important, à ce stade, de rester réaliste sur les ressources mobilisables : chaque mesure a un coût, qu’il soit financier, en temps de travail ou en apprentissage technique, et un plan de gestion des risques surchargé de mesures irréalisables restera lettre morte. Il est préférable de sélectionner un nombre restreint de mesures prioritaires, réellement mises en œuvre, plutôt qu’une longue liste théorique. La méthode de l’analyse coûts-bénéfices, présentée en deuxième section, peut ici être mobilisée pour arbitrer entre plusieurs mesures possibles et retenir celles dont le rapport entre l’effort consenti et la réduction de risque obtenue apparaît le plus favorable.</w:t>
      </w:r>
      <w:bookmarkEnd w:id="73"/>
    </w:p>
    <w:p>
      <w:pPr>
        <w:pStyle w:val="Heading3"/>
        <w:rPr/>
      </w:pPr>
      <w:bookmarkStart w:id="74" w:name="__RefHeading___Toc3895_3877972828"/>
      <w:bookmarkStart w:id="75" w:name="X8ddc61dee491fb8516f57adab3e23c9ce276e69"/>
      <w:bookmarkEnd w:id="74"/>
      <w:r>
        <w:rPr/>
        <w:t>5.3 Suivi, révision et institutionnalisation du plan</w:t>
      </w:r>
    </w:p>
    <w:p>
      <w:pPr>
        <w:pStyle w:val="FirstParagraph"/>
        <w:rPr/>
      </w:pPr>
      <w:r>
        <w:rPr/>
        <w:t>Un plan de gestion des risques n’est pas un document figé, rédigé une fois pour toutes : il doit être suivi, révisé et ajusté régulièrement, à mesure que l’exploitation évolue et que de nouvelles informations deviennent disponibles. Un rythme de révision annuel, par exemple en fin de campagne agricole, constitue une bonne pratique : c’est l’occasion de faire le bilan des risques effectivement survenus au cours de l’année écoulée, d’évaluer l’efficacité des mesures mises en œuvre, et de mettre à jour la hiérarchisation des risques pour la saison suivante.</w:t>
      </w:r>
    </w:p>
    <w:p>
      <w:pPr>
        <w:pStyle w:val="BodyText"/>
        <w:rPr/>
      </w:pPr>
      <w:r>
        <w:rPr/>
        <w:t>Ce suivi gagne à s’appuyer sur des indicateurs simples, adaptés à la réalité de chaque exploitation : par exemple, le nombre de jours de retard des pluies par rapport à la date habituelle de démarrage de la saison, le taux de pertes post-récolte observé, ou l’écart entre le prix de vente obtenu et le prix moyen constaté sur le marché local. Ces indicateurs, même approximatifs, permettent de objectiver l’évolution du profil de risque de l’exploitation dans le temps, plutôt que de se fier uniquement à une impression générale.</w:t>
      </w:r>
    </w:p>
    <w:p>
      <w:pPr>
        <w:pStyle w:val="BodyText"/>
        <w:rPr/>
      </w:pPr>
      <w:bookmarkStart w:id="76" w:name="Xbaffce784e3b6e8c62b734aff840e39d2b45675"/>
      <w:bookmarkStart w:id="77" w:name="X434d57c0f7e55ab4e74dd127ad95faf4e2a9af6"/>
      <w:r>
        <w:rPr/>
        <w:t>Enfin, pour les exploitations organisées en coopérative ou en petite entreprise avec plusieurs collaborateurs, il est souhaitable que la gestion des risques ne repose pas uniquement sur la mémoire ou le jugement d’une seule personne, aussi expérimentée soit-elle. Institutionnaliser le plan de gestion des risques, c’est-à-dire le formaliser par écrit, le partager avec les personnes concernées et désigner des responsabilités claires pour sa mise en œuvre et son suivi, renforce la résilience de l’organisation dans la durée, y compris en cas de changement de personnel ou de responsable. Cette institutionnalisation, bien que demandant un effort initial d’organisation, constitue un investissement qui profite à la pérennité de l’activité sur le long terme.</w:t>
      </w:r>
      <w:bookmarkEnd w:id="76"/>
      <w:bookmarkEnd w:id="77"/>
    </w:p>
    <w:p>
      <w:pPr>
        <w:pStyle w:val="Normal"/>
        <w:jc w:val="center"/>
        <w:rPr/>
      </w:pPr>
      <w:bookmarkStart w:id="78" w:name="étude-de-cas"/>
      <w:r>
        <w:rPr/>
        <w:drawing>
          <wp:inline distT="0" distB="0" distL="0" distR="0">
            <wp:extent cx="3657600" cy="28530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2853055"/>
                    </a:xfrm>
                    <a:prstGeom prst="rect">
                      <a:avLst/>
                    </a:prstGeom>
                  </pic:spPr>
                </pic:pic>
              </a:graphicData>
            </a:graphic>
          </wp:inline>
        </w:drawing>
      </w:r>
    </w:p>
    <w:p>
      <w:pPr>
        <w:pStyle w:val="Normal"/>
        <w:spacing w:before="0" w:after="320"/>
        <w:jc w:val="center"/>
        <w:rPr/>
      </w:pPr>
      <w:r>
        <w:rPr>
          <w:i/>
          <w:color w:val="666666"/>
          <w:sz w:val="19"/>
        </w:rPr>
        <w:t>Illustration — Anticiper les aléas climatiques et de marché pour sécuriser son activité</w:t>
      </w:r>
    </w:p>
    <w:p>
      <w:pPr>
        <w:pStyle w:val="Heading2"/>
        <w:rPr/>
      </w:pPr>
      <w:bookmarkStart w:id="79" w:name="__RefHeading___Toc3897_3877972828"/>
      <w:bookmarkEnd w:id="79"/>
      <w:r>
        <w:rPr/>
        <w:t>Étude de cas</w:t>
      </w:r>
    </w:p>
    <w:p>
      <w:pPr>
        <w:pStyle w:val="FirstParagraph"/>
        <w:rPr/>
      </w:pPr>
      <w:r>
        <w:rPr/>
        <w:t>Adjoa dirige une petite entreprise agricole familiale dans une région d’Afrique de l’Ouest, spécialisée dans la production d’oignons destinés à la vente sur les marchés urbains environnants. Après plusieurs années de croissance progressive, son exploitation s’étend désormais sur trois hectares, avec l’appui de deux employés saisonniers pendant les périodes de forte activité. Adjoa vend l’essentiel de sa récolte à un groupe de trois grossistes fidèles, avec lesquels elle travaille depuis le début de son activité, sans contrat écrit mais sur la base d’une relation de confiance établie au fil des campagnes.</w:t>
      </w:r>
    </w:p>
    <w:p>
      <w:pPr>
        <w:pStyle w:val="BodyText"/>
        <w:rPr/>
      </w:pPr>
      <w:r>
        <w:rPr/>
        <w:t>Au cours d’une saison particulièrement favorable sur le plan climatique, la région tout entière a connu une récolte d’oignons exceptionnellement abondante. Ce qui aurait dû être une bonne nouvelle s’est rapidement transformé en une crise économique pour Adjoa et de nombreux producteurs voisins : submergés par une offre très largement supérieure à la demande habituelle, les grossistes ont réduit drastiquement leurs prix d’achat, jusqu’à un niveau inférieur au coût de production pour une partie de la récolte. En l’espace de quelques semaines, Adjoa s’est retrouvée face à un risque de marché qu’elle n’avait jamais anticipé avec cette intensité : une récolte physiquement réussie, mais économiquement compromise.</w:t>
      </w:r>
    </w:p>
    <w:p>
      <w:pPr>
        <w:pStyle w:val="BodyText"/>
        <w:rPr/>
      </w:pPr>
      <w:r>
        <w:rPr/>
        <w:t>Face à cette situation, Adjoa a d’abord cédé à l’urgence en vendant une partie de sa récolte au prix dégradé proposé par ses grossistes habituels, par crainte de voir les oignons se détériorer en l’absence de solution de stockage adaptée. Elle a cependant rapidement pris conscience que continuer à vendre l’intégralité de sa production dans ces conditions compromettrait durablement la viabilité de son exploitation pour la campagne suivante. Elle a alors décidé d’appliquer, de manière encore informelle, une démarche de gestion des risques.</w:t>
      </w:r>
    </w:p>
    <w:p>
      <w:pPr>
        <w:pStyle w:val="BodyText"/>
        <w:rPr/>
      </w:pPr>
      <w:r>
        <w:rPr/>
        <w:t>Dans un premier temps, elle a réalisé un diagnostic rapide de sa situation, en s’inspirant de la typologie des risques présentée dans ce module : elle a identifié que sa vulnérabilité principale tenait à la concentration de ses ventes sur un unique type de débouché, les grossistes locaux, et sur une unique période de vente, immédiatement après la récolte, sans capacité de stockage lui permettant d’échelonner ses ventes. Elle a également noté que l’absence de contrat écrit avec ses acheteurs, bien que fonctionnant correctement en temps normal, ne lui offrait aucune protection en cas de choc de marché.</w:t>
      </w:r>
    </w:p>
    <w:p>
      <w:pPr>
        <w:pStyle w:val="BodyText"/>
        <w:rPr/>
      </w:pPr>
      <w:r>
        <w:rPr/>
        <w:t>Sur cette base, Adjoa a défini plusieurs mesures pour l’avenir. Concernant le stockage, elle s’est renseignée sur des techniques simples de conservation des oignons en local ventilé, moins coûteuses qu’une chambre froide, qui lui permettraient de conserver une partie significative de sa prochaine récolte plusieurs semaines supplémentaires, le temps que les prix se stabilisent après le pic de récolte régional. Concernant la diversification des débouchés, elle a pris contact avec une unité de transformation locale intéressée par l’achat d’oignons destinés à la production de poudre d’oignon séché, ce qui lui offre un second canal de vente, moins sensible aux variations de prix du marché frais. Concernant la sécurisation contractuelle, elle a proposé à l’un de ses grossistes habituels, celui avec lequel la relation de confiance était la plus solide, un accord écrit fixant un volume et un prix plancher pour une partie de sa prochaine récolte, réduisant ainsi son exposition totale aux variations du marché libre.</w:t>
      </w:r>
    </w:p>
    <w:p>
      <w:pPr>
        <w:pStyle w:val="BodyText"/>
        <w:rPr/>
      </w:pPr>
      <w:bookmarkStart w:id="80" w:name="X8ddc61dee491fb8516f57adab3e23c9ce276e69"/>
      <w:r>
        <w:rPr/>
        <w:t>Un an après cet épisode, alors qu’une nouvelle récolte régionale abondante a de nouveau fait chuter les prix des oignons sur le marché local, Adjoa a pu constater les bénéfices concrets de sa démarche : la part de sa récolte couverte par l’accord de prix plancher lui a garanti un revenu stable, la vente à l’unité de transformation lui a permis d’écouler une partie de son surplus à un prix indépendant du marché frais, et sa capacité de stockage lui a permis d’attendre plusieurs semaines avant de vendre le reste de sa production, au moment où les prix avaient partiellement remonté. Sans avoir éliminé le risque de marché, désormais structurel dans sa filière, Adjoa a considérablement réduit sa vulnérabilité face à ce type de choc, illustrant ainsi comment une démarche structurée de gestion des risques, même mise en place progressivement après une première crise, peut transformer durablement la résilience d’une exploitation agricole.</w:t>
      </w:r>
      <w:bookmarkEnd w:id="80"/>
    </w:p>
    <w:p>
      <w:pPr>
        <w:pStyle w:val="Heading2"/>
        <w:rPr/>
      </w:pPr>
      <w:bookmarkStart w:id="81" w:name="__RefHeading___Toc3899_3877972828"/>
      <w:bookmarkStart w:id="82" w:name="outils-pratiques"/>
      <w:bookmarkEnd w:id="81"/>
      <w:r>
        <w:rPr/>
        <w:t>Outils pratiques</w:t>
      </w:r>
    </w:p>
    <w:p>
      <w:pPr>
        <w:pStyle w:val="Heading3"/>
        <w:rPr/>
      </w:pPr>
      <w:bookmarkStart w:id="83" w:name="__RefHeading___Toc3901_3877972828"/>
      <w:bookmarkStart w:id="84" w:name="X3a466900c6dd5e55b7a724a28b79050c23789c2"/>
      <w:bookmarkEnd w:id="83"/>
      <w:r>
        <w:rPr/>
        <w:t>Grille d’identification et de hiérarchisation des risques</w:t>
      </w:r>
    </w:p>
    <w:p>
      <w:pPr>
        <w:pStyle w:val="FirstParagraph"/>
        <w:rPr/>
      </w:pPr>
      <w:r>
        <w:rPr/>
        <w:t>Cette grille simple permet de lister les risques propres à une exploitation et de les hiérarchiser selon leur probabilité d’occurrence et leur impact potentiel, sur une échelle de 1 (faible) à 3 (élevé). Le score de priorité, obtenu en multipliant les deux critères, aide à identifier les risques à traiter en premier.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3"/>
        <w:gridCol w:w="1674"/>
        <w:gridCol w:w="1375"/>
        <w:gridCol w:w="1161"/>
        <w:gridCol w:w="1375"/>
        <w:gridCol w:w="1331"/>
      </w:tblGrid>
      <w:tr>
        <w:trPr>
          <w:tblHeader w:val="true"/>
        </w:trPr>
        <w:tc>
          <w:tcPr>
            <w:tcW w:w="244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Risque identifié</w:t>
            </w:r>
          </w:p>
        </w:tc>
        <w:tc>
          <w:tcPr>
            <w:tcW w:w="16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Catégorie</w:t>
            </w:r>
          </w:p>
        </w:tc>
        <w:tc>
          <w:tcPr>
            <w:tcW w:w="137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Probabilité (1-3)</w:t>
            </w:r>
          </w:p>
        </w:tc>
        <w:tc>
          <w:tcPr>
            <w:tcW w:w="116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Impact (1-3)</w:t>
            </w:r>
          </w:p>
        </w:tc>
        <w:tc>
          <w:tcPr>
            <w:tcW w:w="137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Score de priorité</w:t>
            </w:r>
          </w:p>
        </w:tc>
        <w:tc>
          <w:tcPr>
            <w:tcW w:w="133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Mesure envisagée</w:t>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Retard des pluies en début de saison</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Climatique</w:t>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Attaque de ravageur sur culture principale</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Sanitaire/phytosanitaire</w:t>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Chute des prix à la récolte</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Marché/prix</w:t>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Difficulté de remboursement d’un crédit</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Financier</w:t>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Retard d’accès à un intrant subventionné</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Institutionnel</w:t>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4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(Autre risque propre à l’exploitation)</w:t>
            </w:r>
          </w:p>
        </w:tc>
        <w:tc>
          <w:tcPr>
            <w:tcW w:w="16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1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7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bookmarkStart w:id="85" w:name="étude-de-cas"/>
      <w:r>
        <w:rPr/>
        <w:t>Un risque avec un score de priorité de 6 ou plus (par exemple probabilité 3 et impact 2, ou probabilité 2 et impact 3) mérite généralement une attention immédiate dans le plan de gestion des risques.</w:t>
      </w:r>
      <w:bookmarkEnd w:id="85"/>
    </w:p>
    <w:p>
      <w:pPr>
        <w:pStyle w:val="Heading3"/>
        <w:rPr/>
      </w:pPr>
      <w:bookmarkStart w:id="86" w:name="__RefHeading___Toc3903_3877972828"/>
      <w:bookmarkStart w:id="87" w:name="checklist-de-mesures-de-prévention"/>
      <w:bookmarkEnd w:id="86"/>
      <w:r>
        <w:rPr/>
        <w:t>Checklist de mesures de prévention</w:t>
      </w:r>
    </w:p>
    <w:p>
      <w:pPr>
        <w:pStyle w:val="Compact"/>
        <w:numPr>
          <w:ilvl w:val="0"/>
          <w:numId w:val="2"/>
        </w:numPr>
        <w:rPr/>
      </w:pPr>
      <w:r>
        <w:rPr/>
        <w:t>Ai-je diversifié mes cultures, activités ou débouchés commerciaux ?</w:t>
      </w:r>
    </w:p>
    <w:p>
      <w:pPr>
        <w:pStyle w:val="Compact"/>
        <w:numPr>
          <w:ilvl w:val="0"/>
          <w:numId w:val="2"/>
        </w:numPr>
        <w:rPr/>
      </w:pPr>
      <w:r>
        <w:rPr/>
        <w:t>Ai-je identifié au moins un débouché alternatif à mon acheteur principal ?</w:t>
      </w:r>
    </w:p>
    <w:p>
      <w:pPr>
        <w:pStyle w:val="Compact"/>
        <w:numPr>
          <w:ilvl w:val="0"/>
          <w:numId w:val="2"/>
        </w:numPr>
        <w:rPr/>
      </w:pPr>
      <w:r>
        <w:rPr/>
        <w:t>Ai-je une solution de stockage adaptée à mon produit principal ?</w:t>
      </w:r>
    </w:p>
    <w:p>
      <w:pPr>
        <w:pStyle w:val="Compact"/>
        <w:numPr>
          <w:ilvl w:val="0"/>
          <w:numId w:val="2"/>
        </w:numPr>
        <w:rPr/>
      </w:pPr>
      <w:r>
        <w:rPr/>
        <w:t>Ai-je exploré les possibilités d’assurance agricole ou de mécanismes collectifs de partage du risque disponibles dans ma zone ?</w:t>
      </w:r>
    </w:p>
    <w:p>
      <w:pPr>
        <w:pStyle w:val="Compact"/>
        <w:numPr>
          <w:ilvl w:val="0"/>
          <w:numId w:val="2"/>
        </w:numPr>
        <w:rPr/>
      </w:pPr>
      <w:r>
        <w:rPr/>
        <w:t>Ai-je mis en place des pratiques agroécologiques renforçant la résilience de mon sol et de mes cultures ?</w:t>
      </w:r>
    </w:p>
    <w:p>
      <w:pPr>
        <w:pStyle w:val="Compact"/>
        <w:numPr>
          <w:ilvl w:val="0"/>
          <w:numId w:val="2"/>
        </w:numPr>
        <w:rPr/>
      </w:pPr>
      <w:r>
        <w:rPr/>
        <w:t>Ai-je un accès régulier à des informations météorologiques ou à des alertes phytosanitaires fiables ?</w:t>
      </w:r>
    </w:p>
    <w:p>
      <w:pPr>
        <w:pStyle w:val="Compact"/>
        <w:numPr>
          <w:ilvl w:val="0"/>
          <w:numId w:val="2"/>
        </w:numPr>
        <w:rPr/>
      </w:pPr>
      <w:r>
        <w:rPr/>
        <w:t>Ai-je vérifié que mes échéances de remboursement financier sont compatibles avec le calendrier de mes revenus agricoles ?</w:t>
      </w:r>
    </w:p>
    <w:p>
      <w:pPr>
        <w:pStyle w:val="Compact"/>
        <w:numPr>
          <w:ilvl w:val="0"/>
          <w:numId w:val="2"/>
        </w:numPr>
        <w:rPr/>
      </w:pPr>
      <w:r>
        <w:rPr/>
        <w:t>Ai-je identifié les structures d’appui technique, vétérinaire ou financier à contacter en cas de crise ?</w:t>
      </w:r>
    </w:p>
    <w:p>
      <w:pPr>
        <w:pStyle w:val="Compact"/>
        <w:numPr>
          <w:ilvl w:val="0"/>
          <w:numId w:val="2"/>
        </w:numPr>
        <w:rPr/>
      </w:pPr>
      <w:r>
        <w:rPr/>
        <w:t>Ai-je formalisé, même simplement, un plan de gestion des risques révisé au moins une fois par an ?</w:t>
      </w:r>
    </w:p>
    <w:p>
      <w:pPr>
        <w:pStyle w:val="Compact"/>
        <w:numPr>
          <w:ilvl w:val="0"/>
          <w:numId w:val="2"/>
        </w:numPr>
        <w:rPr/>
      </w:pPr>
      <w:bookmarkStart w:id="88" w:name="outils-pratiques"/>
      <w:bookmarkStart w:id="89" w:name="X3a466900c6dd5e55b7a724a28b79050c23789c2"/>
      <w:r>
        <w:rPr/>
        <w:t>Ai-je partagé les responsabilités liées à la gestion des risques avec mon équipe ou mes associés ?</w:t>
      </w:r>
      <w:bookmarkEnd w:id="88"/>
      <w:bookmarkEnd w:id="89"/>
    </w:p>
    <w:p>
      <w:pPr>
        <w:pStyle w:val="Heading2"/>
        <w:rPr/>
      </w:pPr>
      <w:bookmarkStart w:id="90" w:name="__RefHeading___Toc3905_3877972828"/>
      <w:bookmarkStart w:id="91" w:name="points-clés-à-retenir"/>
      <w:bookmarkEnd w:id="90"/>
      <w:r>
        <w:rPr/>
        <w:t>Points clés à retenir</w:t>
      </w:r>
    </w:p>
    <w:p>
      <w:pPr>
        <w:pStyle w:val="Compact"/>
        <w:numPr>
          <w:ilvl w:val="0"/>
          <w:numId w:val="7"/>
        </w:numPr>
        <w:rPr/>
      </w:pPr>
      <w:r>
        <w:rPr/>
        <w:t>Le risque agricole ne peut pas être totalement éliminé, mais il peut être identifié, réduit et géré de manière structurée.</w:t>
      </w:r>
    </w:p>
    <w:p>
      <w:pPr>
        <w:pStyle w:val="Compact"/>
        <w:numPr>
          <w:ilvl w:val="0"/>
          <w:numId w:val="8"/>
        </w:numPr>
        <w:rPr/>
      </w:pPr>
      <w:r>
        <w:rPr/>
        <w:t>Cinq grandes catégories de risques doivent être surveillées : climatiques, sanitaires et phytosanitaires, de marché, financiers et institutionnels.</w:t>
      </w:r>
    </w:p>
    <w:p>
      <w:pPr>
        <w:pStyle w:val="Compact"/>
        <w:numPr>
          <w:ilvl w:val="0"/>
          <w:numId w:val="9"/>
        </w:numPr>
        <w:rPr/>
      </w:pPr>
      <w:r>
        <w:rPr/>
        <w:t>Les risques interagissent souvent entre eux, un choc climatique pouvant par exemple accroître la vulnérabilité sanitaire des cultures.</w:t>
      </w:r>
    </w:p>
    <w:p>
      <w:pPr>
        <w:pStyle w:val="Compact"/>
        <w:numPr>
          <w:ilvl w:val="0"/>
          <w:numId w:val="10"/>
        </w:numPr>
        <w:rPr/>
      </w:pPr>
      <w:r>
        <w:rPr/>
        <w:t>Les arbres de décision et l’analyse coûts-bénéfices sont des outils accessibles pour structurer une décision technique incertaine.</w:t>
      </w:r>
    </w:p>
    <w:p>
      <w:pPr>
        <w:pStyle w:val="Compact"/>
        <w:numPr>
          <w:ilvl w:val="0"/>
          <w:numId w:val="11"/>
        </w:numPr>
        <w:rPr/>
      </w:pPr>
      <w:r>
        <w:rPr/>
        <w:t>Un calendrier de décisions clés permet d’anticiper les moments critiques du cycle de production plutôt que de les subir.</w:t>
      </w:r>
    </w:p>
    <w:p>
      <w:pPr>
        <w:pStyle w:val="Compact"/>
        <w:numPr>
          <w:ilvl w:val="0"/>
          <w:numId w:val="12"/>
        </w:numPr>
        <w:rPr/>
      </w:pPr>
      <w:r>
        <w:rPr/>
        <w:t>La diversification des cultures, des activités et des débouchés reste l’une des stratégies les plus efficaces de réduction du risque.</w:t>
      </w:r>
    </w:p>
    <w:p>
      <w:pPr>
        <w:pStyle w:val="Compact"/>
        <w:numPr>
          <w:ilvl w:val="0"/>
          <w:numId w:val="13"/>
        </w:numPr>
        <w:rPr/>
      </w:pPr>
      <w:r>
        <w:rPr/>
        <w:t>L’assurance agricole, notamment indicielle, et les mécanismes collectifs de solidarité permettent de transférer une partie du risque.</w:t>
      </w:r>
    </w:p>
    <w:p>
      <w:pPr>
        <w:pStyle w:val="Compact"/>
        <w:numPr>
          <w:ilvl w:val="0"/>
          <w:numId w:val="14"/>
        </w:numPr>
        <w:rPr/>
      </w:pPr>
      <w:r>
        <w:rPr/>
        <w:t>Le stockage et les contrats de vente anticipée protègent contre la volatilité des prix agricoles.</w:t>
      </w:r>
    </w:p>
    <w:p>
      <w:pPr>
        <w:pStyle w:val="Compact"/>
        <w:numPr>
          <w:ilvl w:val="0"/>
          <w:numId w:val="15"/>
        </w:numPr>
        <w:rPr/>
      </w:pPr>
      <w:r>
        <w:rPr/>
        <w:t>Les pratiques agroécologiques renforcent la résilience des systèmes de production face aux aléas climatiques et sanitaires.</w:t>
      </w:r>
    </w:p>
    <w:p>
      <w:pPr>
        <w:pStyle w:val="Compact"/>
        <w:numPr>
          <w:ilvl w:val="0"/>
          <w:numId w:val="16"/>
        </w:numPr>
        <w:rPr/>
      </w:pPr>
      <w:bookmarkStart w:id="92" w:name="checklist-de-mesures-de-prévention"/>
      <w:r>
        <w:rPr/>
        <w:t>Un plan de gestion des risques efficace repose sur un diagnostic honnête, des mesures priorisées et réalistes, et une révision régulière.</w:t>
      </w:r>
      <w:bookmarkEnd w:id="92"/>
    </w:p>
    <w:p>
      <w:pPr>
        <w:pStyle w:val="Heading2"/>
        <w:rPr/>
      </w:pPr>
      <w:bookmarkStart w:id="93" w:name="__RefHeading___Toc3907_3877972828"/>
      <w:bookmarkStart w:id="94" w:name="mode-dévaluation-devoir"/>
      <w:bookmarkEnd w:id="93"/>
      <w:r>
        <w:rPr/>
        <w:t>Mode d’évaluation : Devoir</w:t>
      </w:r>
    </w:p>
    <w:p>
      <w:pPr>
        <w:pStyle w:val="FirstParagraph"/>
        <w:rPr/>
      </w:pPr>
      <w:r>
        <w:rPr>
          <w:b/>
          <w:bCs/>
        </w:rPr>
        <w:t>Consignes du devoir.</w:t>
      </w:r>
      <w:r>
        <w:rPr/>
        <w:t xml:space="preserve"> En vous appuyant sur les outils présentés dans ce module, identifiez les trois principaux risques auxquels votre propre activité agricole est actuellement exposée, en vous inspirant de la typologie développée en première section (risques climatiques, sanitaires et phytosanitaires, de marché, financiers ou institutionnels). Pour chacun de ces trois risques, évaluez sa probabilité d’occurrence et son impact potentiel sur une échelle de 1 à 3, en justifiant brièvement votre évaluation à partir de votre expérience ou de la situation observée sur votre exploitation. Proposez ensuite, pour chaque risque, au moins une mesure concrète de prévention ou d’atténuation, en expliquant pourquoi cette mesure vous semble adaptée à vos ressources et à votre contexte. Le livrable attendu est un document d’une à deux pages, structuré sous forme de tableau reprenant le modèle de la grille d’identification et de hiérarchisation des risques présentée dans ce module, accompagné d’un court paragraphe de justification pour chaque mesure proposée. Ce document constituera la première ébauche du plan de gestion des risques de votre exploitation, qui pourra être enrichi et révisé au fil de votre activité.</w:t>
      </w:r>
      <w:bookmarkEnd w:id="91"/>
    </w:p>
    <w:p>
      <w:pPr>
        <w:pStyle w:val="Heading2"/>
        <w:rPr/>
      </w:pPr>
      <w:bookmarkStart w:id="95" w:name="__RefHeading___Toc3909_3877972828"/>
      <w:bookmarkStart w:id="96" w:name="pour-aller-plus-loin"/>
      <w:bookmarkEnd w:id="95"/>
      <w:r>
        <w:rPr/>
        <w:t>Pour aller plus loin</w:t>
      </w:r>
    </w:p>
    <w:p>
      <w:pPr>
        <w:pStyle w:val="Compact"/>
        <w:numPr>
          <w:ilvl w:val="0"/>
          <w:numId w:val="17"/>
        </w:numPr>
        <w:rPr/>
      </w:pPr>
      <w:r>
        <w:rPr/>
        <w:t>Renseignez-vous auprès des services techniques agricoles de votre pays sur les bulletins météorologiques saisonniers et les alertes phytosanitaires disponibles pour votre région.</w:t>
      </w:r>
    </w:p>
    <w:p>
      <w:pPr>
        <w:pStyle w:val="Compact"/>
        <w:numPr>
          <w:ilvl w:val="0"/>
          <w:numId w:val="18"/>
        </w:numPr>
        <w:rPr/>
      </w:pPr>
      <w:r>
        <w:rPr/>
        <w:t>Explorez les offres d’assurance agricole, notamment indicielle, proposées par les institutions financières ou d’assurance actives dans votre zone.</w:t>
      </w:r>
    </w:p>
    <w:p>
      <w:pPr>
        <w:pStyle w:val="Compact"/>
        <w:numPr>
          <w:ilvl w:val="0"/>
          <w:numId w:val="19"/>
        </w:numPr>
        <w:rPr/>
      </w:pPr>
      <w:r>
        <w:rPr/>
        <w:t>Échangez avec d’autres agroentrepreneurs ou au sein d’une organisation de producteurs sur les stratégies de gestion des risques qu’ils ont eux-mêmes mises en place.</w:t>
      </w:r>
    </w:p>
    <w:p>
      <w:pPr>
        <w:pStyle w:val="Compact"/>
        <w:numPr>
          <w:ilvl w:val="0"/>
          <w:numId w:val="20"/>
        </w:numPr>
        <w:rPr/>
      </w:pPr>
      <w:r>
        <w:rPr/>
        <w:t>Approfondissez les techniques agroécologiques adaptées à votre système de production, notamment celles renforçant la résilience aux stress hydriques.</w:t>
      </w:r>
    </w:p>
    <w:p>
      <w:pPr>
        <w:pStyle w:val="Compact"/>
        <w:numPr>
          <w:ilvl w:val="0"/>
          <w:numId w:val="21"/>
        </w:numPr>
        <w:rPr/>
      </w:pPr>
      <w:bookmarkStart w:id="97" w:name="mode-dévaluation-devoir"/>
      <w:r>
        <w:rPr/>
        <w:t>Tenez un carnet de bord de votre exploitation, consignant les événements climatiques, sanitaires et de marché rencontrés chaque saison, afin de construire progressivement votre propre historique de risques.</w:t>
      </w:r>
      <w:bookmarkEnd w:id="97"/>
    </w:p>
    <w:p>
      <w:pPr>
        <w:pStyle w:val="Heading2"/>
        <w:rPr/>
      </w:pPr>
      <w:bookmarkStart w:id="98" w:name="__RefHeading___Toc3911_3877972828"/>
      <w:bookmarkStart w:id="99" w:name="glossaire"/>
      <w:bookmarkEnd w:id="98"/>
      <w:r>
        <w:rPr/>
        <w:t>Glossaire</w:t>
      </w:r>
    </w:p>
    <w:p>
      <w:pPr>
        <w:pStyle w:val="FirstParagraph"/>
        <w:rPr/>
      </w:pPr>
      <w:r>
        <w:rPr>
          <w:b/>
          <w:bCs/>
        </w:rPr>
        <w:t>Aléa</w:t>
      </w:r>
      <w:r>
        <w:rPr/>
        <w:t xml:space="preserve"> : événement incertain, d’origine climatique, sanitaire ou économique, susceptible d’affecter négativement une activité agricole.</w:t>
      </w:r>
    </w:p>
    <w:p>
      <w:pPr>
        <w:pStyle w:val="BodyText"/>
        <w:rPr/>
      </w:pPr>
      <w:r>
        <w:rPr>
          <w:b/>
          <w:bCs/>
        </w:rPr>
        <w:t>Analyse coûts-bénéfices</w:t>
      </w:r>
      <w:r>
        <w:rPr/>
        <w:t xml:space="preserve"> : méthode consistant à comparer les coûts et les bénéfices attendus d’une décision afin d’évaluer sa pertinence économique.</w:t>
      </w:r>
    </w:p>
    <w:p>
      <w:pPr>
        <w:pStyle w:val="BodyText"/>
        <w:rPr/>
      </w:pPr>
      <w:r>
        <w:rPr>
          <w:b/>
          <w:bCs/>
        </w:rPr>
        <w:t>Arbre de décision</w:t>
      </w:r>
      <w:r>
        <w:rPr/>
        <w:t xml:space="preserve"> : représentation visuelle structurant les options, les scénarios possibles et leurs conséquences pour aider à une prise de décision.</w:t>
      </w:r>
    </w:p>
    <w:p>
      <w:pPr>
        <w:pStyle w:val="BodyText"/>
        <w:rPr/>
      </w:pPr>
      <w:r>
        <w:rPr>
          <w:b/>
          <w:bCs/>
        </w:rPr>
        <w:t>Assurance indicielle</w:t>
      </w:r>
      <w:r>
        <w:rPr/>
        <w:t xml:space="preserve"> : produit d’assurance agricole déclenchant une indemnisation sur la base d’un indice mesurable, comme un niveau de pluviométrie, plutôt que sur une estimation individuelle des pertes.</w:t>
      </w:r>
    </w:p>
    <w:p>
      <w:pPr>
        <w:pStyle w:val="BodyText"/>
        <w:rPr/>
      </w:pPr>
      <w:r>
        <w:rPr>
          <w:b/>
          <w:bCs/>
        </w:rPr>
        <w:t>Atténuation</w:t>
      </w:r>
      <w:r>
        <w:rPr/>
        <w:t xml:space="preserve"> : ensemble des mesures visant à réduire l’ampleur des conséquences d’un risque lorsqu’il se matérialise.</w:t>
      </w:r>
    </w:p>
    <w:p>
      <w:pPr>
        <w:pStyle w:val="BodyText"/>
        <w:rPr/>
      </w:pPr>
      <w:r>
        <w:rPr>
          <w:b/>
          <w:bCs/>
        </w:rPr>
        <w:t>Contrat de vente anticipée</w:t>
      </w:r>
      <w:r>
        <w:rPr/>
        <w:t xml:space="preserve"> : accord conclu entre un producteur et un acheteur, avant la récolte, fixant un volume et un prix de vente à venir.</w:t>
      </w:r>
    </w:p>
    <w:p>
      <w:pPr>
        <w:pStyle w:val="BodyText"/>
        <w:rPr/>
      </w:pPr>
      <w:r>
        <w:rPr>
          <w:b/>
          <w:bCs/>
        </w:rPr>
        <w:t>Diversification</w:t>
      </w:r>
      <w:r>
        <w:rPr/>
        <w:t xml:space="preserve"> : stratégie consistant à répartir les activités, cultures ou débouchés d’une exploitation afin de réduire la dépendance à une seule source de risque.</w:t>
      </w:r>
    </w:p>
    <w:p>
      <w:pPr>
        <w:pStyle w:val="BodyText"/>
        <w:rPr/>
      </w:pPr>
      <w:r>
        <w:rPr>
          <w:b/>
          <w:bCs/>
        </w:rPr>
        <w:t>Impact</w:t>
      </w:r>
      <w:r>
        <w:rPr/>
        <w:t xml:space="preserve"> : ampleur des conséquences d’un risque sur une activité, généralement évaluée en termes de pertes de production, de revenu ou de capital.</w:t>
      </w:r>
    </w:p>
    <w:p>
      <w:pPr>
        <w:pStyle w:val="BodyText"/>
        <w:rPr/>
      </w:pPr>
      <w:r>
        <w:rPr>
          <w:b/>
          <w:bCs/>
        </w:rPr>
        <w:t>Prévention</w:t>
      </w:r>
      <w:r>
        <w:rPr/>
        <w:t xml:space="preserve"> : ensemble des mesures visant à réduire la probabilité qu’un risque se matérialise.</w:t>
      </w:r>
    </w:p>
    <w:p>
      <w:pPr>
        <w:pStyle w:val="BodyText"/>
        <w:rPr/>
      </w:pPr>
      <w:r>
        <w:rPr>
          <w:b/>
          <w:bCs/>
        </w:rPr>
        <w:t>Probabilité</w:t>
      </w:r>
      <w:r>
        <w:rPr/>
        <w:t xml:space="preserve"> : estimation de la fréquence ou de la vraisemblance qu’un risque donné survienne au cours d’une période donnée.</w:t>
      </w:r>
    </w:p>
    <w:p>
      <w:pPr>
        <w:pStyle w:val="BodyText"/>
        <w:rPr/>
      </w:pPr>
      <w:r>
        <w:rPr>
          <w:b/>
          <w:bCs/>
        </w:rPr>
        <w:t>Résilience</w:t>
      </w:r>
      <w:r>
        <w:rPr/>
        <w:t xml:space="preserve"> : capacité d’une exploitation ou d’un système agricole à résister à un choc et à s’en remettre en limitant les pertes durables.</w:t>
      </w:r>
    </w:p>
    <w:p>
      <w:pPr>
        <w:pStyle w:val="BodyText"/>
        <w:spacing w:before="180" w:after="180"/>
        <w:rPr/>
      </w:pPr>
      <w:r>
        <w:rPr>
          <w:b/>
          <w:bCs/>
        </w:rPr>
        <w:t>Risque covariant</w:t>
      </w:r>
      <w:r>
        <w:rPr/>
        <w:t xml:space="preserve"> : risque qui touche simultanément un grand nombre d’exploitations d’une même zone, comme une sécheresse régionale.</w:t>
      </w:r>
      <w:bookmarkEnd w:id="96"/>
      <w:bookmarkEnd w:id="9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Pages>
  <Words>8091</Words>
  <Characters>45866</Characters>
  <CharactersWithSpaces>53722</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2026-09-03T17:18:03Z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