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
    </w:p>
    <w:p>
      <w:pPr>
        <w:pStyle w:val="Normal"/>
        <w:jc w:val="center"/>
        <w:rPr/>
      </w:pPr>
      <w:r>
        <w:rPr/>
        <w:drawing>
          <wp:inline distT="0" distB="0" distL="0" distR="0">
            <wp:extent cx="1188720" cy="11887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188720" cy="1188720"/>
                    </a:xfrm>
                    <a:prstGeom prst="rect">
                      <a:avLst/>
                    </a:prstGeom>
                  </pic:spPr>
                </pic:pic>
              </a:graphicData>
            </a:graphic>
          </wp:inline>
        </w:drawing>
      </w:r>
    </w:p>
    <w:p>
      <w:pPr>
        <w:pStyle w:val="Normal"/>
        <w:spacing w:before="0" w:after="160"/>
        <w:jc w:val="center"/>
        <w:rPr/>
      </w:pPr>
      <w:r>
        <w:rPr/>
      </w:r>
    </w:p>
    <w:p>
      <w:pPr>
        <w:pStyle w:val="Normal"/>
        <w:spacing w:before="0" w:after="60"/>
        <w:jc w:val="center"/>
        <w:rPr/>
      </w:pPr>
      <w:r>
        <w:rPr>
          <w:b/>
          <w:i w:val="false"/>
          <w:color w:val="666666"/>
          <w:sz w:val="21"/>
        </w:rPr>
        <w:t>PROGRAMME DE FORMATION</w:t>
      </w:r>
    </w:p>
    <w:p>
      <w:pPr>
        <w:pStyle w:val="Normal"/>
        <w:spacing w:before="0" w:after="280"/>
        <w:jc w:val="center"/>
        <w:rPr/>
      </w:pPr>
      <w:r>
        <w:rPr>
          <w:b w:val="false"/>
          <w:i/>
          <w:color w:val="666666"/>
          <w:sz w:val="24"/>
        </w:rPr>
        <w:t>Entrepreneuriat Agricole pour le développement de chaînes de valeur agricoles durables (CVAD)</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color="auto" w:fill="1B5E20" w:val="clear"/>
          </w:tcPr>
          <w:p>
            <w:pPr>
              <w:pStyle w:val="Normal"/>
              <w:spacing w:before="80" w:after="80"/>
              <w:jc w:val="center"/>
              <w:rPr/>
            </w:pPr>
            <w:r>
              <w:rPr>
                <w:b/>
                <w:color w:val="FFFFFF"/>
                <w:sz w:val="28"/>
              </w:rPr>
              <w:t>MODULE 5</w:t>
            </w:r>
          </w:p>
        </w:tc>
      </w:tr>
    </w:tbl>
    <w:p>
      <w:pPr>
        <w:pStyle w:val="Normal"/>
        <w:spacing w:before="0" w:after="160"/>
        <w:jc w:val="center"/>
        <w:rPr/>
      </w:pPr>
      <w:r>
        <w:rPr/>
      </w:r>
    </w:p>
    <w:p>
      <w:pPr>
        <w:pStyle w:val="Normal"/>
        <w:spacing w:before="0" w:after="280"/>
        <w:jc w:val="center"/>
        <w:rPr/>
      </w:pPr>
      <w:r>
        <w:rPr>
          <w:b/>
          <w:i w:val="false"/>
          <w:color w:val="1B5E20"/>
          <w:sz w:val="42"/>
        </w:rPr>
        <w:t>Élaboration d'un modèle d'entreprise agricole viable</w:t>
      </w:r>
    </w:p>
    <w:p>
      <w:pPr>
        <w:pStyle w:val="Normal"/>
        <w:jc w:val="center"/>
        <w:rPr/>
      </w:pPr>
      <w:r>
        <w:rPr/>
        <w:drawing>
          <wp:inline distT="0" distB="0" distL="0" distR="0">
            <wp:extent cx="3429000" cy="22860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3429000" cy="2286000"/>
                    </a:xfrm>
                    <a:prstGeom prst="rect">
                      <a:avLst/>
                    </a:prstGeom>
                  </pic:spPr>
                </pic:pic>
              </a:graphicData>
            </a:graphic>
          </wp:inline>
        </w:drawing>
      </w:r>
    </w:p>
    <w:p>
      <w:pPr>
        <w:pStyle w:val="Normal"/>
        <w:spacing w:before="120" w:after="360"/>
        <w:jc w:val="center"/>
        <w:rPr/>
      </w:pPr>
      <w:r>
        <w:rPr>
          <w:b w:val="false"/>
          <w:i/>
          <w:color w:val="666666"/>
          <w:sz w:val="20"/>
        </w:rPr>
        <w:t>Analyser et structurer son modèle d'affaires agricole</w:t>
      </w:r>
    </w:p>
    <w:p>
      <w:pPr>
        <w:pStyle w:val="Normal"/>
        <w:spacing w:before="0" w:after="160"/>
        <w:jc w:val="center"/>
        <w:rPr/>
      </w:pPr>
      <w:r>
        <w:rPr>
          <w:b w:val="false"/>
          <w:i w:val="false"/>
          <w:color w:val="666666"/>
          <w:sz w:val="22"/>
        </w:rPr>
        <w:t>—</w:t>
      </w:r>
    </w:p>
    <w:p>
      <w:pPr>
        <w:pStyle w:val="Normal"/>
        <w:spacing w:before="0" w:after="40"/>
        <w:jc w:val="center"/>
        <w:rPr/>
      </w:pPr>
      <w:r>
        <w:rPr>
          <w:b/>
          <w:i w:val="false"/>
          <w:color w:val="2E7D32"/>
          <w:sz w:val="24"/>
        </w:rPr>
        <w:t>AGRO ECO CONSULTING</w:t>
      </w:r>
    </w:p>
    <w:p>
      <w:pPr>
        <w:pStyle w:val="Normal"/>
        <w:spacing w:before="0" w:after="40"/>
        <w:jc w:val="center"/>
        <w:rPr/>
      </w:pPr>
      <w:r>
        <w:rPr>
          <w:b w:val="false"/>
          <w:i/>
          <w:color w:val="666666"/>
          <w:sz w:val="20"/>
        </w:rPr>
        <w:t>Expertise Agro &amp; Environnement</w:t>
      </w:r>
    </w:p>
    <w:p>
      <w:pPr>
        <w:pStyle w:val="Normal"/>
        <w:spacing w:before="0" w:after="0"/>
        <w:jc w:val="center"/>
        <w:rPr/>
      </w:pPr>
      <w:r>
        <w:rPr>
          <w:b w:val="false"/>
          <w:i w:val="false"/>
          <w:color w:val="666666"/>
          <w:sz w:val="19"/>
        </w:rPr>
        <w:t>agroecoconsulting.com</w:t>
      </w:r>
    </w:p>
    <w:p>
      <w:pPr>
        <w:pStyle w:val="Normal"/>
        <w:rPr/>
      </w:pPr>
      <w:r>
        <w:rPr/>
      </w:r>
      <w:r>
        <w:br w:type="page"/>
      </w:r>
    </w:p>
    <w:p>
      <w:pPr>
        <w:pStyle w:val="Heading1"/>
        <w:spacing w:before="0" w:after="200"/>
        <w:jc w:val="left"/>
        <w:rPr/>
      </w:pPr>
      <w:bookmarkStart w:id="0" w:name="__RefHeading___Toc4546_3877972828"/>
      <w:bookmarkEnd w:id="0"/>
      <w:r>
        <w:rPr/>
        <w:t>Sommaire</w:t>
      </w:r>
    </w:p>
    <w:p>
      <w:pPr>
        <w:pStyle w:val="Normal"/>
        <w:jc w:val="left"/>
        <w:rPr/>
      </w:pPr>
      <w:r>
        <w:rPr>
          <w:i/>
          <w:color w:val="666666"/>
          <w:sz w:val="19"/>
        </w:rPr>
        <w:t>(Sommaire généré automatiquement à partir des titres du document. Dans Word : clic droit sur le sommaire ci-dessous puis « Mettre à jour les champs » si les numéros de page ne s'affichent pas encore.)</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4546_3877972828">
            <w:r>
              <w:rPr>
                <w:webHidden/>
                <w:rStyle w:val="IndexLink"/>
              </w:rPr>
              <w:t>Sommaire</w:t>
              <w:tab/>
              <w:t>2</w:t>
            </w:r>
          </w:hyperlink>
        </w:p>
        <w:p>
          <w:pPr>
            <w:pStyle w:val="TOC1"/>
            <w:tabs>
              <w:tab w:val="clear" w:pos="9360"/>
              <w:tab w:val="right" w:pos="9359" w:leader="dot"/>
            </w:tabs>
            <w:rPr/>
          </w:pPr>
          <w:hyperlink w:anchor="__RefHeading___Toc4548_3877972828">
            <w:r>
              <w:rPr>
                <w:webHidden/>
                <w:rStyle w:val="IndexLink"/>
              </w:rPr>
              <w:t>Module 5 — Élaboration d’un modèle d’entreprise agricole viable</w:t>
              <w:tab/>
              <w:t>4</w:t>
            </w:r>
          </w:hyperlink>
        </w:p>
        <w:p>
          <w:pPr>
            <w:pStyle w:val="TOC2"/>
            <w:tabs>
              <w:tab w:val="clear" w:pos="9077"/>
              <w:tab w:val="right" w:pos="9359" w:leader="dot"/>
            </w:tabs>
            <w:rPr/>
          </w:pPr>
          <w:hyperlink w:anchor="__RefHeading___Toc4550_3877972828">
            <w:r>
              <w:rPr>
                <w:webHidden/>
                <w:rStyle w:val="IndexLink"/>
              </w:rPr>
              <w:t>Introduction</w:t>
              <w:tab/>
              <w:t>4</w:t>
            </w:r>
          </w:hyperlink>
        </w:p>
        <w:p>
          <w:pPr>
            <w:pStyle w:val="TOC2"/>
            <w:tabs>
              <w:tab w:val="clear" w:pos="9077"/>
              <w:tab w:val="right" w:pos="9359" w:leader="dot"/>
            </w:tabs>
            <w:rPr/>
          </w:pPr>
          <w:hyperlink w:anchor="__RefHeading___Toc4552_3877972828">
            <w:r>
              <w:rPr>
                <w:webHidden/>
                <w:rStyle w:val="IndexLink"/>
              </w:rPr>
              <w:t>Objectifs pédagogiques</w:t>
              <w:tab/>
              <w:t>4</w:t>
            </w:r>
          </w:hyperlink>
        </w:p>
        <w:p>
          <w:pPr>
            <w:pStyle w:val="TOC2"/>
            <w:tabs>
              <w:tab w:val="clear" w:pos="9077"/>
              <w:tab w:val="right" w:pos="9359" w:leader="dot"/>
            </w:tabs>
            <w:rPr/>
          </w:pPr>
          <w:hyperlink w:anchor="__RefHeading___Toc4554_3877972828">
            <w:r>
              <w:rPr>
                <w:webHidden/>
                <w:rStyle w:val="IndexLink"/>
              </w:rPr>
              <w:t>Plan du module</w:t>
              <w:tab/>
              <w:t>5</w:t>
            </w:r>
          </w:hyperlink>
        </w:p>
        <w:p>
          <w:pPr>
            <w:pStyle w:val="TOC2"/>
            <w:tabs>
              <w:tab w:val="clear" w:pos="9077"/>
              <w:tab w:val="right" w:pos="9359" w:leader="dot"/>
            </w:tabs>
            <w:rPr/>
          </w:pPr>
          <w:hyperlink w:anchor="__RefHeading___Toc4556_3877972828">
            <w:r>
              <w:rPr>
                <w:webHidden/>
                <w:rStyle w:val="IndexLink"/>
              </w:rPr>
              <w:t>1. Le Business Model Canvas : un outil de pilotage adapté à l’agriculture</w:t>
              <w:tab/>
              <w:t>5</w:t>
            </w:r>
          </w:hyperlink>
        </w:p>
        <w:p>
          <w:pPr>
            <w:pStyle w:val="TOC3"/>
            <w:tabs>
              <w:tab w:val="clear" w:pos="8793"/>
              <w:tab w:val="right" w:pos="9359" w:leader="dot"/>
            </w:tabs>
            <w:rPr/>
          </w:pPr>
          <w:hyperlink w:anchor="__RefHeading___Toc4558_3877972828">
            <w:r>
              <w:rPr>
                <w:webHidden/>
                <w:rStyle w:val="IndexLink"/>
              </w:rPr>
              <w:t>1.1 Origines et principes du canevas</w:t>
              <w:tab/>
              <w:t>5</w:t>
            </w:r>
          </w:hyperlink>
        </w:p>
        <w:p>
          <w:pPr>
            <w:pStyle w:val="TOC3"/>
            <w:tabs>
              <w:tab w:val="clear" w:pos="8793"/>
              <w:tab w:val="right" w:pos="9359" w:leader="dot"/>
            </w:tabs>
            <w:rPr/>
          </w:pPr>
          <w:hyperlink w:anchor="__RefHeading___Toc4560_3877972828">
            <w:r>
              <w:rPr>
                <w:webHidden/>
                <w:rStyle w:val="IndexLink"/>
              </w:rPr>
              <w:t>1.2 Les neuf blocs du canevas</w:t>
              <w:tab/>
              <w:t>6</w:t>
            </w:r>
          </w:hyperlink>
        </w:p>
        <w:p>
          <w:pPr>
            <w:pStyle w:val="TOC3"/>
            <w:tabs>
              <w:tab w:val="clear" w:pos="8793"/>
              <w:tab w:val="right" w:pos="9359" w:leader="dot"/>
            </w:tabs>
            <w:rPr/>
          </w:pPr>
          <w:hyperlink w:anchor="__RefHeading___Toc4562_3877972828">
            <w:r>
              <w:rPr>
                <w:webHidden/>
                <w:rStyle w:val="IndexLink"/>
              </w:rPr>
              <w:t>1.3 Spécificités de l’adaptation au secteur agricole</w:t>
              <w:tab/>
              <w:t>6</w:t>
            </w:r>
          </w:hyperlink>
        </w:p>
        <w:p>
          <w:pPr>
            <w:pStyle w:val="TOC3"/>
            <w:tabs>
              <w:tab w:val="clear" w:pos="8793"/>
              <w:tab w:val="right" w:pos="9359" w:leader="dot"/>
            </w:tabs>
            <w:rPr/>
          </w:pPr>
          <w:hyperlink w:anchor="__RefHeading___Toc4564_3877972828">
            <w:r>
              <w:rPr>
                <w:webHidden/>
                <w:rStyle w:val="IndexLink"/>
              </w:rPr>
              <w:t>1.4 Le canevas comme outil de dialogue et de révision continue</w:t>
              <w:tab/>
              <w:t>7</w:t>
            </w:r>
          </w:hyperlink>
        </w:p>
        <w:p>
          <w:pPr>
            <w:pStyle w:val="TOC2"/>
            <w:tabs>
              <w:tab w:val="clear" w:pos="9077"/>
              <w:tab w:val="right" w:pos="9359" w:leader="dot"/>
            </w:tabs>
            <w:rPr/>
          </w:pPr>
          <w:hyperlink w:anchor="__RefHeading___Toc4566_3877972828">
            <w:r>
              <w:rPr>
                <w:webHidden/>
                <w:rStyle w:val="IndexLink"/>
              </w:rPr>
              <w:t>2. La proposition de valeur agricole : différencier son offre</w:t>
              <w:tab/>
              <w:t>7</w:t>
            </w:r>
          </w:hyperlink>
        </w:p>
        <w:p>
          <w:pPr>
            <w:pStyle w:val="TOC3"/>
            <w:tabs>
              <w:tab w:val="clear" w:pos="8793"/>
              <w:tab w:val="right" w:pos="9359" w:leader="dot"/>
            </w:tabs>
            <w:rPr/>
          </w:pPr>
          <w:hyperlink w:anchor="__RefHeading___Toc4568_3877972828">
            <w:r>
              <w:rPr>
                <w:webHidden/>
                <w:rStyle w:val="IndexLink"/>
              </w:rPr>
              <w:t>2.1 Qu’est-ce qu’une proposition de valeur en agriculture ?</w:t>
              <w:tab/>
              <w:t>7</w:t>
            </w:r>
          </w:hyperlink>
        </w:p>
        <w:p>
          <w:pPr>
            <w:pStyle w:val="TOC3"/>
            <w:tabs>
              <w:tab w:val="clear" w:pos="8793"/>
              <w:tab w:val="right" w:pos="9359" w:leader="dot"/>
            </w:tabs>
            <w:rPr/>
          </w:pPr>
          <w:hyperlink w:anchor="__RefHeading___Toc4570_3877972828">
            <w:r>
              <w:rPr>
                <w:webHidden/>
                <w:rStyle w:val="IndexLink"/>
              </w:rPr>
              <w:t>2.2 Identifier les besoins réels des clients</w:t>
              <w:tab/>
              <w:t>7</w:t>
            </w:r>
          </w:hyperlink>
        </w:p>
        <w:p>
          <w:pPr>
            <w:pStyle w:val="TOC3"/>
            <w:tabs>
              <w:tab w:val="clear" w:pos="8793"/>
              <w:tab w:val="right" w:pos="9359" w:leader="dot"/>
            </w:tabs>
            <w:rPr/>
          </w:pPr>
          <w:hyperlink w:anchor="__RefHeading___Toc4572_3877972828">
            <w:r>
              <w:rPr>
                <w:webHidden/>
                <w:rStyle w:val="IndexLink"/>
              </w:rPr>
              <w:t>2.3 Les leviers de différenciation en contexte agricole africain</w:t>
              <w:tab/>
              <w:t>8</w:t>
            </w:r>
          </w:hyperlink>
        </w:p>
        <w:p>
          <w:pPr>
            <w:pStyle w:val="TOC3"/>
            <w:tabs>
              <w:tab w:val="clear" w:pos="8793"/>
              <w:tab w:val="right" w:pos="9359" w:leader="dot"/>
            </w:tabs>
            <w:rPr/>
          </w:pPr>
          <w:hyperlink w:anchor="__RefHeading___Toc4574_3877972828">
            <w:r>
              <w:rPr>
                <w:webHidden/>
                <w:rStyle w:val="IndexLink"/>
              </w:rPr>
              <w:t>2.4 Formuler et tester sa proposition de valeur</w:t>
              <w:tab/>
              <w:t>9</w:t>
            </w:r>
          </w:hyperlink>
        </w:p>
        <w:p>
          <w:pPr>
            <w:pStyle w:val="TOC2"/>
            <w:tabs>
              <w:tab w:val="clear" w:pos="9077"/>
              <w:tab w:val="right" w:pos="9359" w:leader="dot"/>
            </w:tabs>
            <w:rPr/>
          </w:pPr>
          <w:hyperlink w:anchor="__RefHeading___Toc4576_3877972828">
            <w:r>
              <w:rPr>
                <w:webHidden/>
                <w:rStyle w:val="IndexLink"/>
              </w:rPr>
              <w:t>3. Segments de clientèle et canaux de distribution en contexte africain</w:t>
              <w:tab/>
              <w:t>9</w:t>
            </w:r>
          </w:hyperlink>
        </w:p>
        <w:p>
          <w:pPr>
            <w:pStyle w:val="TOC3"/>
            <w:tabs>
              <w:tab w:val="clear" w:pos="8793"/>
              <w:tab w:val="right" w:pos="9359" w:leader="dot"/>
            </w:tabs>
            <w:rPr/>
          </w:pPr>
          <w:hyperlink w:anchor="__RefHeading___Toc4578_3877972828">
            <w:r>
              <w:rPr>
                <w:webHidden/>
                <w:rStyle w:val="IndexLink"/>
              </w:rPr>
              <w:t>3.1 Cartographier ses segments de clientèle</w:t>
              <w:tab/>
              <w:t>9</w:t>
            </w:r>
          </w:hyperlink>
        </w:p>
        <w:p>
          <w:pPr>
            <w:pStyle w:val="TOC3"/>
            <w:tabs>
              <w:tab w:val="clear" w:pos="8793"/>
              <w:tab w:val="right" w:pos="9359" w:leader="dot"/>
            </w:tabs>
            <w:rPr/>
          </w:pPr>
          <w:hyperlink w:anchor="__RefHeading___Toc4580_3877972828">
            <w:r>
              <w:rPr>
                <w:webHidden/>
                <w:rStyle w:val="IndexLink"/>
              </w:rPr>
              <w:t>3.2 Les marchés locaux et la vente de proximité</w:t>
              <w:tab/>
              <w:t>9</w:t>
            </w:r>
          </w:hyperlink>
        </w:p>
        <w:p>
          <w:pPr>
            <w:pStyle w:val="TOC3"/>
            <w:tabs>
              <w:tab w:val="clear" w:pos="8793"/>
              <w:tab w:val="right" w:pos="9359" w:leader="dot"/>
            </w:tabs>
            <w:rPr/>
          </w:pPr>
          <w:hyperlink w:anchor="__RefHeading___Toc4582_3877972828">
            <w:r>
              <w:rPr>
                <w:webHidden/>
                <w:rStyle w:val="IndexLink"/>
              </w:rPr>
              <w:t>3.3 Les marchés urbains, la restauration et les coopératives</w:t>
              <w:tab/>
              <w:t>10</w:t>
            </w:r>
          </w:hyperlink>
        </w:p>
        <w:p>
          <w:pPr>
            <w:pStyle w:val="TOC3"/>
            <w:tabs>
              <w:tab w:val="clear" w:pos="8793"/>
              <w:tab w:val="right" w:pos="9359" w:leader="dot"/>
            </w:tabs>
            <w:rPr/>
          </w:pPr>
          <w:hyperlink w:anchor="__RefHeading___Toc4584_3877972828">
            <w:r>
              <w:rPr>
                <w:webHidden/>
                <w:rStyle w:val="IndexLink"/>
              </w:rPr>
              <w:t>3.4 Les canaux de distribution et le choix de la relation client</w:t>
              <w:tab/>
              <w:t>10</w:t>
            </w:r>
          </w:hyperlink>
        </w:p>
        <w:p>
          <w:pPr>
            <w:pStyle w:val="TOC2"/>
            <w:tabs>
              <w:tab w:val="clear" w:pos="9077"/>
              <w:tab w:val="right" w:pos="9359" w:leader="dot"/>
            </w:tabs>
            <w:rPr/>
          </w:pPr>
          <w:hyperlink w:anchor="__RefHeading___Toc4586_3877972828">
            <w:r>
              <w:rPr>
                <w:webHidden/>
                <w:rStyle w:val="IndexLink"/>
              </w:rPr>
              <w:t>4. Structure de coûts et modèle de revenus d’une activité agricole</w:t>
              <w:tab/>
              <w:t>11</w:t>
            </w:r>
          </w:hyperlink>
        </w:p>
        <w:p>
          <w:pPr>
            <w:pStyle w:val="TOC3"/>
            <w:tabs>
              <w:tab w:val="clear" w:pos="8793"/>
              <w:tab w:val="right" w:pos="9359" w:leader="dot"/>
            </w:tabs>
            <w:rPr/>
          </w:pPr>
          <w:hyperlink w:anchor="__RefHeading___Toc4588_3877972828">
            <w:r>
              <w:rPr>
                <w:webHidden/>
                <w:rStyle w:val="IndexLink"/>
              </w:rPr>
              <w:t>4.1 Distinguer charges fixes et charges variables</w:t>
              <w:tab/>
              <w:t>11</w:t>
            </w:r>
          </w:hyperlink>
        </w:p>
        <w:p>
          <w:pPr>
            <w:pStyle w:val="TOC3"/>
            <w:tabs>
              <w:tab w:val="clear" w:pos="8793"/>
              <w:tab w:val="right" w:pos="9359" w:leader="dot"/>
            </w:tabs>
            <w:rPr/>
          </w:pPr>
          <w:hyperlink w:anchor="__RefHeading___Toc4590_3877972828">
            <w:r>
              <w:rPr>
                <w:webHidden/>
                <w:rStyle w:val="IndexLink"/>
              </w:rPr>
              <w:t>4.2 Les postes de coûts spécifiques à l’agriculture</w:t>
              <w:tab/>
              <w:t>11</w:t>
            </w:r>
          </w:hyperlink>
        </w:p>
        <w:p>
          <w:pPr>
            <w:pStyle w:val="TOC3"/>
            <w:tabs>
              <w:tab w:val="clear" w:pos="8793"/>
              <w:tab w:val="right" w:pos="9359" w:leader="dot"/>
            </w:tabs>
            <w:rPr/>
          </w:pPr>
          <w:hyperlink w:anchor="__RefHeading___Toc4592_3877972828">
            <w:r>
              <w:rPr>
                <w:webHidden/>
                <w:rStyle w:val="IndexLink"/>
              </w:rPr>
              <w:t>4.3 Construire un modèle de revenus adapté</w:t>
              <w:tab/>
              <w:t>12</w:t>
            </w:r>
          </w:hyperlink>
        </w:p>
        <w:p>
          <w:pPr>
            <w:pStyle w:val="TOC3"/>
            <w:tabs>
              <w:tab w:val="clear" w:pos="8793"/>
              <w:tab w:val="right" w:pos="9359" w:leader="dot"/>
            </w:tabs>
            <w:rPr/>
          </w:pPr>
          <w:hyperlink w:anchor="__RefHeading___Toc4594_3877972828">
            <w:r>
              <w:rPr>
                <w:webHidden/>
                <w:rStyle w:val="IndexLink"/>
              </w:rPr>
              <w:t>4.4 Diversifier les revenus pour renforcer la résilience</w:t>
              <w:tab/>
              <w:t>13</w:t>
            </w:r>
          </w:hyperlink>
        </w:p>
        <w:p>
          <w:pPr>
            <w:pStyle w:val="TOC2"/>
            <w:tabs>
              <w:tab w:val="clear" w:pos="9077"/>
              <w:tab w:val="right" w:pos="9359" w:leader="dot"/>
            </w:tabs>
            <w:rPr/>
          </w:pPr>
          <w:hyperlink w:anchor="__RefHeading___Toc4596_3877972828">
            <w:r>
              <w:rPr>
                <w:webHidden/>
                <w:rStyle w:val="IndexLink"/>
              </w:rPr>
              <w:t>5. Partenariats clés et ressources nécessaires</w:t>
              <w:tab/>
              <w:t>13</w:t>
            </w:r>
          </w:hyperlink>
        </w:p>
        <w:p>
          <w:pPr>
            <w:pStyle w:val="TOC3"/>
            <w:tabs>
              <w:tab w:val="clear" w:pos="8793"/>
              <w:tab w:val="right" w:pos="9359" w:leader="dot"/>
            </w:tabs>
            <w:rPr/>
          </w:pPr>
          <w:hyperlink w:anchor="__RefHeading___Toc4598_3877972828">
            <w:r>
              <w:rPr>
                <w:webHidden/>
                <w:rStyle w:val="IndexLink"/>
              </w:rPr>
              <w:t>5.1 Identifier les ressources indispensables à l’activité</w:t>
              <w:tab/>
              <w:t>13</w:t>
            </w:r>
          </w:hyperlink>
        </w:p>
        <w:p>
          <w:pPr>
            <w:pStyle w:val="TOC3"/>
            <w:tabs>
              <w:tab w:val="clear" w:pos="8793"/>
              <w:tab w:val="right" w:pos="9359" w:leader="dot"/>
            </w:tabs>
            <w:rPr/>
          </w:pPr>
          <w:hyperlink w:anchor="__RefHeading___Toc4600_3877972828">
            <w:r>
              <w:rPr>
                <w:webHidden/>
                <w:rStyle w:val="IndexLink"/>
              </w:rPr>
              <w:t>5.2 Les partenaires en amont de la production</w:t>
              <w:tab/>
              <w:t>14</w:t>
            </w:r>
          </w:hyperlink>
        </w:p>
        <w:p>
          <w:pPr>
            <w:pStyle w:val="TOC3"/>
            <w:tabs>
              <w:tab w:val="clear" w:pos="8793"/>
              <w:tab w:val="right" w:pos="9359" w:leader="dot"/>
            </w:tabs>
            <w:rPr/>
          </w:pPr>
          <w:hyperlink w:anchor="__RefHeading___Toc4602_3877972828">
            <w:r>
              <w:rPr>
                <w:webHidden/>
                <w:rStyle w:val="IndexLink"/>
              </w:rPr>
              <w:t>5.3 Les partenaires en aval et l’ancrage territorial</w:t>
              <w:tab/>
              <w:t>14</w:t>
            </w:r>
          </w:hyperlink>
        </w:p>
        <w:p>
          <w:pPr>
            <w:pStyle w:val="TOC3"/>
            <w:tabs>
              <w:tab w:val="clear" w:pos="8793"/>
              <w:tab w:val="right" w:pos="9359" w:leader="dot"/>
            </w:tabs>
            <w:rPr/>
          </w:pPr>
          <w:hyperlink w:anchor="__RefHeading___Toc4604_3877972828">
            <w:r>
              <w:rPr>
                <w:webHidden/>
                <w:rStyle w:val="IndexLink"/>
              </w:rPr>
              <w:t>5.4 Arbitrer entre faire soi-même et s’appuyer sur des partenaires</w:t>
              <w:tab/>
              <w:t>15</w:t>
            </w:r>
          </w:hyperlink>
        </w:p>
        <w:p>
          <w:pPr>
            <w:pStyle w:val="TOC2"/>
            <w:tabs>
              <w:tab w:val="clear" w:pos="9077"/>
              <w:tab w:val="right" w:pos="9359" w:leader="dot"/>
            </w:tabs>
            <w:rPr/>
          </w:pPr>
          <w:hyperlink w:anchor="__RefHeading___Toc4606_3877972828">
            <w:r>
              <w:rPr>
                <w:webHidden/>
                <w:rStyle w:val="IndexLink"/>
              </w:rPr>
              <w:t>Étude de cas</w:t>
              <w:tab/>
              <w:t>15</w:t>
            </w:r>
          </w:hyperlink>
        </w:p>
        <w:p>
          <w:pPr>
            <w:pStyle w:val="TOC2"/>
            <w:tabs>
              <w:tab w:val="clear" w:pos="9077"/>
              <w:tab w:val="right" w:pos="9359" w:leader="dot"/>
            </w:tabs>
            <w:rPr/>
          </w:pPr>
          <w:hyperlink w:anchor="__RefHeading___Toc4608_3877972828">
            <w:r>
              <w:rPr>
                <w:webHidden/>
                <w:rStyle w:val="IndexLink"/>
              </w:rPr>
              <w:t>Outils pratiques</w:t>
              <w:tab/>
              <w:t>17</w:t>
            </w:r>
          </w:hyperlink>
        </w:p>
        <w:p>
          <w:pPr>
            <w:pStyle w:val="TOC2"/>
            <w:tabs>
              <w:tab w:val="clear" w:pos="9077"/>
              <w:tab w:val="right" w:pos="9359" w:leader="dot"/>
            </w:tabs>
            <w:rPr/>
          </w:pPr>
          <w:hyperlink w:anchor="__RefHeading___Toc4610_3877972828">
            <w:r>
              <w:rPr>
                <w:webHidden/>
                <w:rStyle w:val="IndexLink"/>
              </w:rPr>
              <w:t>Points clés à retenir</w:t>
              <w:tab/>
              <w:t>18</w:t>
            </w:r>
          </w:hyperlink>
        </w:p>
        <w:p>
          <w:pPr>
            <w:pStyle w:val="TOC2"/>
            <w:tabs>
              <w:tab w:val="clear" w:pos="9077"/>
              <w:tab w:val="right" w:pos="9359" w:leader="dot"/>
            </w:tabs>
            <w:rPr/>
          </w:pPr>
          <w:hyperlink w:anchor="__RefHeading___Toc4612_3877972828">
            <w:r>
              <w:rPr>
                <w:webHidden/>
                <w:rStyle w:val="IndexLink"/>
              </w:rPr>
              <w:t>Mode d’évaluation : Devoir</w:t>
              <w:tab/>
              <w:t>19</w:t>
            </w:r>
          </w:hyperlink>
        </w:p>
        <w:p>
          <w:pPr>
            <w:pStyle w:val="TOC2"/>
            <w:tabs>
              <w:tab w:val="clear" w:pos="9077"/>
              <w:tab w:val="right" w:pos="9359" w:leader="dot"/>
            </w:tabs>
            <w:rPr/>
          </w:pPr>
          <w:hyperlink w:anchor="__RefHeading___Toc4614_3877972828">
            <w:r>
              <w:rPr>
                <w:webHidden/>
                <w:rStyle w:val="IndexLink"/>
              </w:rPr>
              <w:t>Pour aller plus loin</w:t>
              <w:tab/>
              <w:t>19</w:t>
            </w:r>
          </w:hyperlink>
        </w:p>
        <w:p>
          <w:pPr>
            <w:pStyle w:val="TOC2"/>
            <w:tabs>
              <w:tab w:val="clear" w:pos="9077"/>
              <w:tab w:val="right" w:pos="9359" w:leader="dot"/>
            </w:tabs>
            <w:rPr/>
          </w:pPr>
          <w:hyperlink w:anchor="__RefHeading___Toc4616_3877972828">
            <w:r>
              <w:rPr>
                <w:webHidden/>
                <w:rStyle w:val="IndexLink"/>
              </w:rPr>
              <w:t>Glossaire</w:t>
              <w:tab/>
              <w:t>20</w:t>
            </w:r>
          </w:hyperlink>
          <w:r>
            <w:rPr>
              <w:rStyle w:val="IndexLink"/>
            </w:rPr>
            <w:fldChar w:fldCharType="end"/>
          </w:r>
        </w:p>
      </w:sdtContent>
    </w:sdt>
    <w:p>
      <w:pPr>
        <w:pStyle w:val="Normal"/>
        <w:widowControl/>
        <w:bidi w:val="0"/>
        <w:spacing w:lineRule="auto" w:line="276" w:before="0" w:after="160"/>
        <w:jc w:val="left"/>
        <w:rPr>
          <w:rFonts w:ascii="Calibri" w:hAnsi="Calibri"/>
          <w:color w:val="222222"/>
          <w:sz w:val="22"/>
        </w:rPr>
      </w:pPr>
      <w:r>
        <w:rPr>
          <w:color w:val="222222"/>
          <w:sz w:val="22"/>
        </w:rPr>
      </w:r>
      <w:r>
        <w:br w:type="page"/>
      </w:r>
    </w:p>
    <w:p>
      <w:pPr>
        <w:pStyle w:val="Heading1"/>
        <w:spacing w:before="0" w:after="200"/>
        <w:rPr/>
      </w:pPr>
      <w:bookmarkStart w:id="1" w:name="__RefHeading___Toc4548_3877972828"/>
      <w:bookmarkStart w:id="2" w:name="X0ce95903f86cf80b4ce6a70bcb539264bedf56a"/>
      <w:bookmarkEnd w:id="1"/>
      <w:r>
        <w:rPr/>
        <w:t>Module 5 — Élaboration d’un modèle d’entreprise agricole viable</w:t>
      </w:r>
    </w:p>
    <w:p>
      <w:pPr>
        <w:pStyle w:val="Heading2"/>
        <w:rPr/>
      </w:pPr>
      <w:bookmarkStart w:id="3" w:name="__RefHeading___Toc4550_3877972828"/>
      <w:bookmarkStart w:id="4" w:name="introduction"/>
      <w:bookmarkEnd w:id="3"/>
      <w:r>
        <w:rPr/>
        <w:t>Introduction</w:t>
      </w:r>
    </w:p>
    <w:p>
      <w:pPr>
        <w:pStyle w:val="FirstParagraph"/>
        <w:rPr/>
      </w:pPr>
      <w:r>
        <w:rPr/>
        <w:t>Beaucoup d’initiatives agricoles en Afrique naissent d’une bonne intuition : un terrain disponible, un savoir-faire familial, une opportunité de marché repérée au détour d’un déplacement en ville, ou encore l’envie de valoriser une ressource locale sous-exploitée. Cette intuition est précieuse, mais elle ne suffit pas à transformer une activité agricole en une entreprise durable, capable de survivre à une mauvaise saison, à la fluctuation des prix ou au départ d’un client important. C’est là qu’intervient le modèle d’entreprise, ou modèle d’affaires : la description structurée de la manière dont une organisation crée, délivre et capture de la valeur.</w:t>
      </w:r>
    </w:p>
    <w:p>
      <w:pPr>
        <w:pStyle w:val="BodyText"/>
        <w:rPr/>
      </w:pPr>
      <w:r>
        <w:rPr/>
        <w:t>Trop souvent, les porteurs de projets agricoles se lancent en pensant uniquement à la dimension technique de leur activité — comment produire, quelle variété semer, quel élevage conduire — sans avoir clarifié qui sont réellement leurs clients, pourquoi ceux-ci accepteraient de payer pour leur offre, par quels canaux ils seront atteints, ni comment les revenus couvriront effectivement l’ensemble des charges. Cette absence de vision d’ensemble explique une part importante des difficultés rencontrées par les exploitations et petites entreprises agricoles : surproduction sans débouché identifié, dépendance excessive à un seul acheteur, structure de coûts mal maîtrisée, ou encore incapacité à investir faute de revenus réguliers.</w:t>
      </w:r>
    </w:p>
    <w:p>
      <w:pPr>
        <w:pStyle w:val="BodyText"/>
        <w:rPr/>
      </w:pPr>
      <w:r>
        <w:rPr/>
        <w:t>Formaliser son modèle d’entreprise avant de se lancer, ou avant de changer d’échelle, permet de prendre du recul, de tester la cohérence de son projet sur le papier avant d’y engager du temps et des ressources, et de communiquer clairement son activité à des partenaires, des investisseurs ou des institutions financières. C’est également un outil vivant : un modèle d’entreprise n’est jamais figé, il évolue avec l’expérience du terrain, les retours des clients et les transformations du marché.</w:t>
      </w:r>
    </w:p>
    <w:p>
      <w:pPr>
        <w:pStyle w:val="BodyText"/>
        <w:rPr/>
      </w:pPr>
      <w:bookmarkStart w:id="5" w:name="X0ce95903f86cf80b4ce6a70bcb539264bedf56a"/>
      <w:r>
        <w:rPr/>
        <w:t>Ce module propose de découvrir et de s’approprier un outil devenu incontournable pour cet exercice : le Business Model Canvas (ou « canevas de modèle d’affaires »), en l’adaptant spécifiquement aux réalités des chaînes de valeur agricoles africaines. Nous verrons comment construire une proposition de valeur agricole convaincante, comment identifier ses segments de clientèle et ses canaux de distribution, comment maîtriser sa structure de coûts et diversifier ses revenus, et enfin comment s’entourer des partenariats et ressources nécessaires à la réussite du projet.</w:t>
      </w:r>
      <w:bookmarkEnd w:id="5"/>
    </w:p>
    <w:p>
      <w:pPr>
        <w:pStyle w:val="Heading2"/>
        <w:rPr/>
      </w:pPr>
      <w:bookmarkStart w:id="6" w:name="__RefHeading___Toc4552_3877972828"/>
      <w:bookmarkStart w:id="7" w:name="objectifs-pédagogiques"/>
      <w:bookmarkEnd w:id="6"/>
      <w:r>
        <w:rPr/>
        <w:t>Objectifs pédagogiques</w:t>
      </w:r>
    </w:p>
    <w:p>
      <w:pPr>
        <w:pStyle w:val="FirstParagraph"/>
        <w:rPr/>
      </w:pPr>
      <w:r>
        <w:rPr/>
        <w:t>À l’issue de ce module, l’apprenant sera capable de :</w:t>
      </w:r>
    </w:p>
    <w:p>
      <w:pPr>
        <w:pStyle w:val="Compact"/>
        <w:numPr>
          <w:ilvl w:val="0"/>
          <w:numId w:val="7"/>
        </w:numPr>
        <w:rPr/>
      </w:pPr>
      <w:r>
        <w:rPr/>
        <w:t>Expliquer l’utilité et la structure du Business Model Canvas appliqué à une activité agricole.</w:t>
      </w:r>
    </w:p>
    <w:p>
      <w:pPr>
        <w:pStyle w:val="Compact"/>
        <w:numPr>
          <w:ilvl w:val="0"/>
          <w:numId w:val="1"/>
        </w:numPr>
        <w:rPr/>
      </w:pPr>
      <w:r>
        <w:rPr/>
        <w:t>Formuler une proposition de valeur agricole claire, différenciée et adaptée à un segment de clientèle précis.</w:t>
      </w:r>
    </w:p>
    <w:p>
      <w:pPr>
        <w:pStyle w:val="Compact"/>
        <w:numPr>
          <w:ilvl w:val="0"/>
          <w:numId w:val="1"/>
        </w:numPr>
        <w:rPr/>
      </w:pPr>
      <w:r>
        <w:rPr/>
        <w:t>Identifier et caractériser les segments de clientèle et les canaux de distribution pertinents en contexte agricole africain (marchés locaux, urbains, coopératives, export).</w:t>
      </w:r>
    </w:p>
    <w:p>
      <w:pPr>
        <w:pStyle w:val="Compact"/>
        <w:numPr>
          <w:ilvl w:val="0"/>
          <w:numId w:val="1"/>
        </w:numPr>
        <w:rPr/>
      </w:pPr>
      <w:r>
        <w:rPr/>
        <w:t>Distinguer les charges fixes et variables d’une activité agricole et construire un modèle de revenus diversifié et résilient.</w:t>
      </w:r>
    </w:p>
    <w:p>
      <w:pPr>
        <w:pStyle w:val="Compact"/>
        <w:numPr>
          <w:ilvl w:val="0"/>
          <w:numId w:val="1"/>
        </w:numPr>
        <w:rPr/>
      </w:pPr>
      <w:r>
        <w:rPr/>
        <w:t>Repérer les partenariats clés et les ressources (humaines, matérielles, financières, informationnelles) nécessaires à la mise en œuvre du modèle d’affaires.</w:t>
      </w:r>
    </w:p>
    <w:p>
      <w:pPr>
        <w:pStyle w:val="Compact"/>
        <w:numPr>
          <w:ilvl w:val="0"/>
          <w:numId w:val="1"/>
        </w:numPr>
        <w:rPr/>
      </w:pPr>
      <w:bookmarkStart w:id="8" w:name="introduction"/>
      <w:r>
        <w:rPr/>
        <w:t>Élaborer, à partir d’un cas concret, un Business Model Canvas complet et cohérent pour un projet agricole.</w:t>
      </w:r>
      <w:bookmarkEnd w:id="8"/>
    </w:p>
    <w:p>
      <w:pPr>
        <w:pStyle w:val="Heading2"/>
        <w:rPr/>
      </w:pPr>
      <w:bookmarkStart w:id="9" w:name="__RefHeading___Toc4554_3877972828"/>
      <w:bookmarkStart w:id="10" w:name="plan-du-module"/>
      <w:bookmarkEnd w:id="9"/>
      <w:r>
        <w:rPr/>
        <w:t>Plan du module</w:t>
      </w:r>
    </w:p>
    <w:p>
      <w:pPr>
        <w:pStyle w:val="Compact"/>
        <w:numPr>
          <w:ilvl w:val="0"/>
          <w:numId w:val="8"/>
        </w:numPr>
        <w:rPr/>
      </w:pPr>
      <w:r>
        <w:rPr/>
        <w:t>Le Business Model Canvas : un outil de pilotage adapté à l’agriculture</w:t>
      </w:r>
    </w:p>
    <w:p>
      <w:pPr>
        <w:pStyle w:val="Compact"/>
        <w:numPr>
          <w:ilvl w:val="0"/>
          <w:numId w:val="9"/>
        </w:numPr>
        <w:rPr/>
      </w:pPr>
      <w:r>
        <w:rPr/>
        <w:t>La proposition de valeur agricole : différencier son offre</w:t>
      </w:r>
    </w:p>
    <w:p>
      <w:pPr>
        <w:pStyle w:val="Compact"/>
        <w:numPr>
          <w:ilvl w:val="0"/>
          <w:numId w:val="10"/>
        </w:numPr>
        <w:rPr/>
      </w:pPr>
      <w:r>
        <w:rPr/>
        <w:t>Segments de clientèle et canaux de distribution en contexte africain</w:t>
      </w:r>
    </w:p>
    <w:p>
      <w:pPr>
        <w:pStyle w:val="Compact"/>
        <w:numPr>
          <w:ilvl w:val="0"/>
          <w:numId w:val="11"/>
        </w:numPr>
        <w:rPr/>
      </w:pPr>
      <w:r>
        <w:rPr/>
        <w:t>Structure de coûts et modèle de revenus d’une activité agricole</w:t>
      </w:r>
    </w:p>
    <w:p>
      <w:pPr>
        <w:pStyle w:val="Compact"/>
        <w:numPr>
          <w:ilvl w:val="0"/>
          <w:numId w:val="12"/>
        </w:numPr>
        <w:rPr/>
      </w:pPr>
      <w:bookmarkStart w:id="11" w:name="objectifs-pédagogiques"/>
      <w:r>
        <w:rPr/>
        <w:t>Partenariats clés et ressources nécessaires</w:t>
      </w:r>
      <w:bookmarkEnd w:id="11"/>
    </w:p>
    <w:p>
      <w:pPr>
        <w:pStyle w:val="Heading2"/>
        <w:rPr/>
      </w:pPr>
      <w:bookmarkStart w:id="12" w:name="__RefHeading___Toc4556_3877972828"/>
      <w:bookmarkStart w:id="13" w:name="Xe699ef21229e51747054e009042b6da0a49efe4"/>
      <w:bookmarkEnd w:id="12"/>
      <w:r>
        <w:rPr/>
        <w:t>1. Le Business Model Canvas : un outil de pilotage adapté à l’agriculture</w:t>
      </w:r>
    </w:p>
    <w:p>
      <w:pPr>
        <w:pStyle w:val="Heading3"/>
        <w:rPr/>
      </w:pPr>
      <w:bookmarkStart w:id="14" w:name="__RefHeading___Toc4558_3877972828"/>
      <w:bookmarkStart w:id="15" w:name="origines-et-principes-du-canevas"/>
      <w:bookmarkEnd w:id="14"/>
      <w:r>
        <w:rPr/>
        <w:t>1.1 Origines et principes du canevas</w:t>
      </w:r>
    </w:p>
    <w:p>
      <w:pPr>
        <w:pStyle w:val="FirstParagraph"/>
        <w:rPr/>
      </w:pPr>
      <w:r>
        <w:rPr/>
        <w:t>Le Business Model Canvas a été popularisé au début des années 2000 comme un outil visuel permettant de représenter, sur une seule page, les neuf composantes essentielles d’un modèle d’affaires : les segments de clientèle, la proposition de valeur, les canaux de distribution, la relation client, les sources de revenus, les ressources clés, les activités clés, les partenaires clés et la structure de coûts. Son intérêt principal réside dans sa simplicité : plutôt que de rédiger un long plan d’affaires avant même d’avoir testé une idée, l’entrepreneur peut cartographier son projet en quelques heures, identifier les zones de fragilité, et itérer rapidement.</w:t>
      </w:r>
    </w:p>
    <w:p>
      <w:pPr>
        <w:pStyle w:val="BodyText"/>
        <w:rPr/>
      </w:pPr>
      <w:r>
        <w:rPr/>
        <w:t>Ce format s’est diffusé bien au-delà du monde des start-ups technologiques dont il est issu, notamment parce qu’il oblige à répondre à des questions fondamentales que beaucoup de porteurs de projets agricoles n’ont jamais formulées explicitement : pour qui produisons-nous, qu’est-ce que nous leur apportons de différent, comment les atteignons-nous, comment gagnons-nous de l’argent, et à quel coût ? Le canevas ne remplace pas une étude de marché approfondie ni un plan financier détaillé, mais il constitue une étape de clarification préalable indispensable, qui rendra ensuite ces exercices plus rigoureux et plus rapides.</w:t>
      </w:r>
    </w:p>
    <w:p>
      <w:pPr>
        <w:pStyle w:val="BodyText"/>
        <w:rPr/>
      </w:pPr>
      <w:bookmarkStart w:id="16" w:name="plan-du-module"/>
      <w:r>
        <w:rPr/>
        <w:t>Dans une formation dédiée aux chaînes de valeur agricoles durables, le canevas prend un relief particulier : il permet de visualiser où se situe l’entreprise agricole dans la chaîne (production primaire, transformation, distribution, ou une combinaison de ces fonctions), et donc de mieux comprendre avec qui elle doit collaborer en amont et en aval.</w:t>
      </w:r>
      <w:bookmarkEnd w:id="16"/>
    </w:p>
    <w:p>
      <w:pPr>
        <w:pStyle w:val="Heading3"/>
        <w:rPr/>
      </w:pPr>
      <w:bookmarkStart w:id="17" w:name="__RefHeading___Toc4560_3877972828"/>
      <w:bookmarkStart w:id="18" w:name="les-neuf-blocs-du-canevas"/>
      <w:bookmarkEnd w:id="17"/>
      <w:r>
        <w:rPr/>
        <w:t>1.2 Les neuf blocs du canevas</w:t>
      </w:r>
    </w:p>
    <w:p>
      <w:pPr>
        <w:pStyle w:val="FirstParagraph"/>
        <w:rPr/>
      </w:pPr>
      <w:r>
        <w:rPr/>
        <w:t>Le canevas classique se lit généralement de droite à gauche puis de haut en bas pour raconter une histoire cohérente. À droite se trouvent les blocs tournés vers le marché : les segments de clientèle (qui sont mes clients et bénéficiaires), la proposition de valeur (ce que je leur offre), les canaux (comment je les atteins et je livre mon offre) et la relation client (quel type de lien j’entretiens avec eux, ponctuel ou fidélisé). À gauche se trouvent les blocs tournés vers l’organisation interne : les ressources clés (ce dont j’ai besoin pour produire mon offre), les activités clés (ce que je dois faire), et les partenaires clés (qui m’aide et me complète). En bas se trouvent les deux blocs financiers qui synthétisent l’équilibre économique : la structure de coûts et les sources de revenus.</w:t>
      </w:r>
    </w:p>
    <w:p>
      <w:pPr>
        <w:pStyle w:val="BodyText"/>
        <w:rPr/>
      </w:pPr>
      <w:bookmarkStart w:id="19" w:name="Xe699ef21229e51747054e009042b6da0a49efe4"/>
      <w:r>
        <w:rPr/>
        <w:t>Pour une exploitation maraîchère, une unité de transformation de céréales ou un élevage avicole, ces neuf blocs se remplissent différemment selon que l’activité vise un marché de proximité, une chaîne urbaine plus longue, ou une filière d’exportation. Un aviculteur qui vend des poulets vivants sur un marché de quartier n’aura pas les mêmes canaux, ni la même relation client, qu’une coopérative de productrices de mangues séchées destinées à l’exportation vers l’Europe. Le canevas met en évidence ces différences et aide à vérifier que tous les blocs restent cohérents entre eux : une proposition de valeur haut de gamme, par exemple, suppose généralement des canaux et une relation client différents d’une offre de commodité à bas coût.</w:t>
      </w:r>
      <w:bookmarkEnd w:id="19"/>
    </w:p>
    <w:p>
      <w:pPr>
        <w:pStyle w:val="Heading3"/>
        <w:rPr/>
      </w:pPr>
      <w:bookmarkStart w:id="20" w:name="__RefHeading___Toc4562_3877972828"/>
      <w:bookmarkStart w:id="21" w:name="X3c3efc9552de70f352f982d9691ce767e4c1d29"/>
      <w:bookmarkEnd w:id="20"/>
      <w:r>
        <w:rPr/>
        <w:t>1.3 Spécificités de l’adaptation au secteur agricole</w:t>
      </w:r>
    </w:p>
    <w:p>
      <w:pPr>
        <w:pStyle w:val="FirstParagraph"/>
        <w:rPr/>
      </w:pPr>
      <w:r>
        <w:rPr/>
        <w:t>L’agriculture présente des caractéristiques qui méritent une attention particulière lorsqu’on remplit le canevas. Premièrement, la saisonnalité : la disponibilité du produit, son prix et parfois sa qualité varient fortement selon les périodes de l’année, ce qui affecte directement les blocs « revenus » et « relation client » — un client fidèle en haute saison peut se tourner vers un concurrent en période de pénurie si l’approvisionnement n’est pas anticipé. Deuxièmement, la périssabilité de nombreux produits agricoles impose de réfléchir soigneusement aux canaux de distribution et à la logistique, sous peine de pertes post-récolte importantes. Troisièmement, la dépendance aux aléas climatiques et sanitaires (sécheresse, inondation, maladies des cultures ou des animaux) introduit un niveau de risque que le canevas doit intégrer, notamment dans la réflexion sur les partenariats (assurance agricole, entraide communautaire) et sur la diversification des revenus.</w:t>
      </w:r>
    </w:p>
    <w:p>
      <w:pPr>
        <w:pStyle w:val="BodyText"/>
        <w:rPr/>
      </w:pPr>
      <w:r>
        <w:rPr/>
        <w:t>Enfin, contrairement à de nombreux modèles d’affaires purement commerciaux, une activité agricole s’inscrit souvent dans un tissu social et communautaire dense : la famille élargie, le village, la coopérative, l’association d’usagers de l’eau. Ces relations, qui peuvent apparaître comme de simples partenariats dans un canevas classique, jouent en réalité un rôle structurant qu’il convient de nommer explicitement plutôt que de le laisser implicite, car elles conditionnent souvent l’accès à la terre, à la main-d’œuvre saisonnière ou au crédit informel.</w:t>
      </w:r>
    </w:p>
    <w:p>
      <w:pPr>
        <w:pStyle w:val="BodyText"/>
        <w:rPr/>
      </w:pPr>
      <w:bookmarkStart w:id="22" w:name="origines-et-principes-du-canevas"/>
      <w:r>
        <w:rPr/>
        <w:t>Il faut également noter que, dans bien des cas, l’exploitant agricole ne détient pas une maîtrise complète sur l’ensemble des paramètres de son modèle d’affaires : le prix de vente peut être largement fixé par le marché plutôt que négocié individuellement, la disponibilité de la main-d’œuvre peut dépendre du calendrier agricole collectif du village, et l’accès à l’eau peut être régulé par un comité communautaire plutôt que décidé unilatéralement. Le canevas n’a pas vocation à nier ces contraintes structurelles, mais à aider l’entrepreneur à les identifier clairement afin de construire un modèle d’affaires réaliste, qui compose avec elles plutôt que de les ignorer.</w:t>
      </w:r>
      <w:bookmarkEnd w:id="22"/>
    </w:p>
    <w:p>
      <w:pPr>
        <w:pStyle w:val="Heading3"/>
        <w:rPr/>
      </w:pPr>
      <w:bookmarkStart w:id="23" w:name="__RefHeading___Toc4564_3877972828"/>
      <w:bookmarkStart w:id="24" w:name="Xd31ca0ed20a2f3d5d981885131e9fa8a64be0fb"/>
      <w:bookmarkEnd w:id="23"/>
      <w:r>
        <w:rPr/>
        <w:t>1.4 Le canevas comme outil de dialogue et de révision continue</w:t>
      </w:r>
    </w:p>
    <w:p>
      <w:pPr>
        <w:pStyle w:val="FirstParagraph"/>
        <w:rPr/>
      </w:pPr>
      <w:bookmarkStart w:id="25" w:name="les-neuf-blocs-du-canevas"/>
      <w:bookmarkStart w:id="26" w:name="X3c3efc9552de70f352f982d9691ce767e4c1d29"/>
      <w:r>
        <w:rPr/>
        <w:t>Un dernier point mérite d’être souligné : le canevas n’a de valeur que s’il est révisé régulièrement. Il ne s’agit pas d’un document que l’on remplit une fois puis que l’on range dans un tiroir, mais d’un support de dialogue — avec soi-même, avec ses associés, avec des conseillers agricoles, avec des partenaires financiers — que l’on reprend chaque fois que l’environnement change : arrivée d’un nouveau concurrent, ouverture d’un marché, hausse du prix des intrants, opportunité de contrat avec un acheteur institutionnel. Beaucoup d’entrepreneurs agricoles qui réussissent à consolider puis à développer leur activité sont ceux qui prennent l’habitude de reformuler périodiquement leur canevas, en confrontant les hypothèses de départ à l’expérience réelle du terrain, plutôt que de considérer leur modèle d’affaires comme acquis une fois pour toutes.</w:t>
      </w:r>
      <w:bookmarkEnd w:id="25"/>
      <w:bookmarkEnd w:id="26"/>
    </w:p>
    <w:p>
      <w:pPr>
        <w:pStyle w:val="Heading2"/>
        <w:rPr/>
      </w:pPr>
      <w:bookmarkStart w:id="27" w:name="__RefHeading___Toc4566_3877972828"/>
      <w:bookmarkStart w:id="28" w:name="Xd00be6d4ea10f5c0beadfff0dedbec99ba14863"/>
      <w:bookmarkEnd w:id="27"/>
      <w:r>
        <w:rPr/>
        <w:t>2. La proposition de valeur agricole : différencier son offre</w:t>
      </w:r>
    </w:p>
    <w:p>
      <w:pPr>
        <w:pStyle w:val="Heading3"/>
        <w:rPr/>
      </w:pPr>
      <w:bookmarkStart w:id="29" w:name="__RefHeading___Toc4568_3877972828"/>
      <w:bookmarkStart w:id="30" w:name="Xef25ba5c224c1cf520e3107278b4373e7fae954"/>
      <w:bookmarkEnd w:id="29"/>
      <w:r>
        <w:rPr/>
        <w:t>2.1 Qu’est-ce qu’une proposition de valeur en agriculture ?</w:t>
      </w:r>
    </w:p>
    <w:p>
      <w:pPr>
        <w:pStyle w:val="FirstParagraph"/>
        <w:rPr/>
      </w:pPr>
      <w:r>
        <w:rPr/>
        <w:t>La proposition de valeur répond à une question simple mais exigeante : pourquoi un client donné choisirait-il d’acheter mon produit ou service plutôt que celui d’un autre, ou plutôt que de s’en passer ? En agriculture, il est tentant de penser que la proposition de valeur se résume au produit lui-même — des tomates, du lait, du maïs — mais c’est rarement suffisant pour se différencier, surtout lorsque de nombreux producteurs proposent des produits proches, parfois considérés comme des commodités interchangeables.</w:t>
      </w:r>
    </w:p>
    <w:p>
      <w:pPr>
        <w:pStyle w:val="BodyText"/>
        <w:rPr/>
      </w:pPr>
      <w:bookmarkStart w:id="31" w:name="Xd31ca0ed20a2f3d5d981885131e9fa8a64be0fb"/>
      <w:r>
        <w:rPr/>
        <w:t>Une proposition de valeur solide combine en réalité plusieurs dimensions : la qualité intrinsèque du produit (fraîcheur, calibre, goût, valeur nutritionnelle), la fiabilité de l’approvisionnement (capacité à livrer la quantité promise, au moment promis, tout au long de l’année ou d’une saison), le prix et le rapport qualité-prix, mais aussi des dimensions moins visibles comme la traçabilité, le mode de production (biologique, agroécologique, sans intrants chimiques), l’origine géographique valorisée, ou encore le service associé (livraison à domicile, découpe, conditionnement, conseil d’usage). Un agroentrepreneur gagne à s’interroger sur laquelle de ces dimensions constitue réellement son avantage distinctif, plutôt que de chercher à exceller sur toutes à la fois, ce qui est rarement réaliste avec des ressources limitées.</w:t>
      </w:r>
      <w:bookmarkEnd w:id="31"/>
    </w:p>
    <w:p>
      <w:pPr>
        <w:pStyle w:val="Heading3"/>
        <w:rPr/>
      </w:pPr>
      <w:bookmarkStart w:id="32" w:name="__RefHeading___Toc4570_3877972828"/>
      <w:bookmarkStart w:id="33" w:name="identifier-les-besoins-réels-des-clients"/>
      <w:bookmarkEnd w:id="32"/>
      <w:r>
        <w:rPr/>
        <w:t>2.2 Identifier les besoins réels des clients</w:t>
      </w:r>
    </w:p>
    <w:p>
      <w:pPr>
        <w:pStyle w:val="FirstParagraph"/>
        <w:rPr/>
      </w:pPr>
      <w:r>
        <w:rPr/>
        <w:t>Construire une proposition de valeur pertinente suppose de comprendre finement les besoins, les contraintes et les irritants de ses clients potentiels, et pas seulement d’énumérer les qualités de son produit. Prenons l’exemple fictif de Mariama Diallo, qui envisage de produire du gombo frais destiné aux restaurants d’une ville moyenne. Si elle se contente de se dire « je vends du gombo de qualité », elle passe à côté d’informations essentielles : les restaurateurs se plaignent-ils davantage du manque de régularité des livraisons, de l’hétérogénéité des calibres, du temps perdu à négocier au marché de gros chaque matin, ou du manque de gombo déjà lavé et prêt à cuisiner ? Chacune de ces réponses oriente vers une proposition de valeur différente : livraison programmée trois fois par semaine, calibrage homogène, contrat d’approvisionnement annuel à prix fixe, ou produit prélavé et découpé.</w:t>
      </w:r>
    </w:p>
    <w:p>
      <w:pPr>
        <w:pStyle w:val="BodyText"/>
        <w:rPr/>
      </w:pPr>
      <w:r>
        <w:rPr/>
        <w:t>Cette écoute active des besoins peut se faire de manière simple et peu coûteuse : entretiens informels avec quelques clients potentiels, observation des pratiques d’achat sur les marchés, échanges avec d’autres producteurs déjà en activité, ou test à petite échelle avant un déploiement plus large. L’erreur fréquente consiste à concevoir son offre uniquement à partir de ce que l’on sait produire, sans jamais confronter cette offre à la réalité de la demande — ce qui conduit à devoir écouler sa production à prix bradé faute d’acheteurs suffisamment intéressés.</w:t>
      </w:r>
    </w:p>
    <w:p>
      <w:pPr>
        <w:pStyle w:val="BodyText"/>
        <w:rPr/>
      </w:pPr>
      <w:bookmarkStart w:id="34" w:name="Xd00be6d4ea10f5c0beadfff0dedbec99ba14863"/>
      <w:r>
        <w:rPr/>
        <w:t>Il est également utile de distinguer les besoins exprimés spontanément par les clients des besoins latents qu’ils n’articulent pas toujours clairement. Un restaurateur dira volontiers qu’il souhaite « des légumes de qualité à bon prix », mais un dialogue plus approfondi révèle souvent des irritants plus précis et plus actionnables : le temps perdu à comparer plusieurs fournisseurs chaque matin, l’incertitude de ne pas savoir à l’avance ce qui sera disponible, ou la difficulté à obtenir une facture en bonne et due forme pour sa comptabilité. Ce sont souvent ces irritants secondaires, une fois identifiés et résolus, qui permettent à un agroentrepreneur de se démarquer durablement de la concurrence, bien plus que la seule amélioration marginale de la qualité du produit lui-même.</w:t>
      </w:r>
      <w:bookmarkEnd w:id="34"/>
    </w:p>
    <w:p>
      <w:pPr>
        <w:pStyle w:val="Heading3"/>
        <w:rPr/>
      </w:pPr>
      <w:bookmarkStart w:id="35" w:name="__RefHeading___Toc4572_3877972828"/>
      <w:bookmarkStart w:id="36" w:name="Xce9c0655e018177a132ebb3bbbe2bac16d1032b"/>
      <w:bookmarkEnd w:id="35"/>
      <w:r>
        <w:rPr/>
        <w:t>2.3 Les leviers de différenciation en contexte agricole africain</w:t>
      </w:r>
    </w:p>
    <w:p>
      <w:pPr>
        <w:pStyle w:val="FirstParagraph"/>
        <w:rPr/>
      </w:pPr>
      <w:r>
        <w:rPr/>
        <w:t>Dans de nombreux marchés agricoles africains, plusieurs leviers de différenciation reviennent fréquemment et méritent d’être examinés systématiquement. La qualité et la fraîcheur constituent un premier levier évident, en particulier face à des produits importés qui ont perdu en fraîcheur pendant le transport, ou face à une offre locale hétérogène. La régularité de l’approvisionnement en est un second, souvent sous-estimé : de nombreux acheteurs institutionnels (hôtels, cantines scolaires, transformateurs) sont prêts à payer un prix légèrement supérieur à un fournisseur capable de garantir des livraisons constantes plutôt qu’à s’exposer aux ruptures fréquentes du marché informel.</w:t>
      </w:r>
    </w:p>
    <w:p>
      <w:pPr>
        <w:pStyle w:val="BodyText"/>
        <w:rPr/>
      </w:pPr>
      <w:bookmarkStart w:id="37" w:name="Xef25ba5c224c1cf520e3107278b4373e7fae954"/>
      <w:r>
        <w:rPr/>
        <w:t>Le mode de production constitue un troisième levier en plein essor : la demande urbaine pour des produits agroécologiques, sans pesticides de synthèse ou issus de filières équitables, progresse dans plusieurs villes africaines, portée par une classe moyenne urbaine sensible aux enjeux de santé et d’environnement, même si ce segment reste souvent minoritaire et à cibler avec réalisme. La transformation locale et le conditionnement adapté forment un quatrième levier : proposer du jus de fruit déjà pasteurisé et mis en bouteille, de la farine déjà moulue et emballée, ou des œufs déjà calibrés et étiquetés, permet de capter une valeur ajoutée qui échapperait sinon à d’autres maillons de la chaîne. Enfin, la proximité et l’ancrage local — pouvoir dire d’où vient le produit, connaître le visage du producteur, s’inscrire dans un circuit court — séduisent une partie croissante des consommateurs urbains soucieux de soutenir l’agriculture locale.</w:t>
      </w:r>
      <w:bookmarkEnd w:id="37"/>
    </w:p>
    <w:p>
      <w:pPr>
        <w:pStyle w:val="Heading3"/>
        <w:rPr/>
      </w:pPr>
      <w:bookmarkStart w:id="38" w:name="__RefHeading___Toc4574_3877972828"/>
      <w:bookmarkStart w:id="39" w:name="X0d962294ab707dd583f75209f2d063dafd3ae2b"/>
      <w:bookmarkEnd w:id="38"/>
      <w:r>
        <w:rPr/>
        <w:t>2.4 Formuler et tester sa proposition de valeur</w:t>
      </w:r>
    </w:p>
    <w:p>
      <w:pPr>
        <w:pStyle w:val="FirstParagraph"/>
        <w:rPr/>
      </w:pPr>
      <w:r>
        <w:rPr/>
        <w:t>Une fois ces leviers identifiés, il est utile de formuler sa proposition de valeur de manière concise, en une ou deux phrases, en explicitant le client visé, le besoin couvert, et l’élément différenciant. Un exemple fictif : « Nous fournissons aux petits restaurants du centre-ville des légumes frais, calibrés et livrés trois fois par semaine par abonnement, à un prix stable garanti sur trois mois, ce qui leur évite les déplacements quotidiens au marché de gros et les variations imprévisibles de prix. »</w:t>
      </w:r>
    </w:p>
    <w:p>
      <w:pPr>
        <w:pStyle w:val="BodyText"/>
        <w:rPr/>
      </w:pPr>
      <w:bookmarkStart w:id="40" w:name="identifier-les-besoins-réels-des-clients"/>
      <w:bookmarkStart w:id="41" w:name="Xce9c0655e018177a132ebb3bbbe2bac16d1032b"/>
      <w:r>
        <w:rPr/>
        <w:t>Cette formulation doit ensuite être testée, même modestement : proposer l’offre à quelques clients potentiels avant un lancement complet, observer leur réaction réelle (et pas seulement leurs déclarations d’intérêt, souvent plus optimistes que leur comportement d’achat effectif), ajuster le produit ou le service en fonction des retours obtenus. Une proposition de valeur n’est jamais définitive : elle se précise au fil des premières ventes, des refus essuyés et des compliments reçus, et l’agroentrepreneur doit rester attentif aux signaux du marché plutôt que de s’attacher rigidement à son idée initiale.</w:t>
      </w:r>
      <w:bookmarkEnd w:id="40"/>
      <w:bookmarkEnd w:id="41"/>
    </w:p>
    <w:p>
      <w:pPr>
        <w:pStyle w:val="Heading2"/>
        <w:rPr/>
      </w:pPr>
      <w:bookmarkStart w:id="42" w:name="__RefHeading___Toc4576_3877972828"/>
      <w:bookmarkStart w:id="43" w:name="Xff3c0e63fbd53b4c58ed68c731b39d70961daf6"/>
      <w:bookmarkEnd w:id="42"/>
      <w:r>
        <w:rPr/>
        <w:t>3. Segments de clientèle et canaux de distribution en contexte africain</w:t>
      </w:r>
    </w:p>
    <w:p>
      <w:pPr>
        <w:pStyle w:val="Heading3"/>
        <w:rPr/>
      </w:pPr>
      <w:bookmarkStart w:id="44" w:name="__RefHeading___Toc4578_3877972828"/>
      <w:bookmarkStart w:id="45" w:name="cartographier-ses-segments-de-clientèle"/>
      <w:bookmarkEnd w:id="44"/>
      <w:r>
        <w:rPr/>
        <w:t>3.1 Cartographier ses segments de clientèle</w:t>
      </w:r>
    </w:p>
    <w:p>
      <w:pPr>
        <w:pStyle w:val="FirstParagraph"/>
        <w:rPr/>
      </w:pPr>
      <w:r>
        <w:rPr/>
        <w:t>Un segment de clientèle regroupe des clients partageant des besoins, des comportements d’achat et une capacité de paiement suffisamment proches pour justifier une offre et une approche commerciale communes. En contexte agricole africain, il est utile de distinguer au moins quatre grandes familles de segments, sans que cette liste soit exhaustive : les ménages consommateurs de proximité (marché de quartier, vente directe à la ferme ou au bord de la route), les acheteurs urbains et la restauration collective ou commerciale (marchés de gros, supermarchés, restaurants, hôtels, cantines), les acheteurs institutionnels et coopératifs (coopératives de collecte, unités de transformation, programmes d’achat public ou humanitaire), et enfin les marchés d’exportation (négociants régionaux, exportateurs vers d’autres pays africains ou vers l’international).</w:t>
      </w:r>
    </w:p>
    <w:p>
      <w:pPr>
        <w:pStyle w:val="BodyText"/>
        <w:rPr/>
      </w:pPr>
      <w:bookmarkStart w:id="46" w:name="X0d962294ab707dd583f75209f2d063dafd3ae2b"/>
      <w:r>
        <w:rPr/>
        <w:t>Chacun de ces segments présente des exigences très différentes en matière de volume, de régularité, de qualité, de prix et de délai de paiement. Un ménage du quartier achète en petite quantité, au comptant, avec une sensibilité au prix souvent élevée ; un supermarché urbain exige un volume plus important, un calibrage homogène, un emballage soigné, et paie parfois à trente ou soixante jours ; un exportateur impose des normes de qualité et de traçabilité strictes, des volumes importants et des délais de livraison précis, en contrepartie de prix potentiellement plus rémunérateurs mais aussi de contraintes plus lourdes. L’agroentrepreneur gagne à choisir consciemment un ou deux segments prioritaires plutôt que de disperser ses efforts sur tous les segments à la fois, en particulier au démarrage de l’activité.</w:t>
      </w:r>
      <w:bookmarkEnd w:id="46"/>
    </w:p>
    <w:p>
      <w:pPr>
        <w:pStyle w:val="Heading3"/>
        <w:rPr/>
      </w:pPr>
      <w:bookmarkStart w:id="47" w:name="__RefHeading___Toc4580_3877972828"/>
      <w:bookmarkStart w:id="48" w:name="X4582951c50ca3fbc2ccc016985e281d8f833bc9"/>
      <w:bookmarkEnd w:id="47"/>
      <w:r>
        <w:rPr/>
        <w:t>3.2 Les marchés locaux et la vente de proximité</w:t>
      </w:r>
    </w:p>
    <w:p>
      <w:pPr>
        <w:pStyle w:val="FirstParagraph"/>
        <w:rPr/>
      </w:pPr>
      <w:r>
        <w:rPr/>
        <w:t>La vente sur les marchés locaux et la vente directe restent, pour une grande partie des agroentrepreneurs africains, le débouché le plus accessible et le plus immédiat. Elle présente l’avantage de générer des liquidités rapides, sans intermédiaire prélevant une marge, et de permettre un contact direct avec le consommateur final, source précieuse d’informations sur ses préférences. Elle présente en revanche des limites : volumes écoulés souvent modestes par transaction, temps consacré à la vente elle-même, exposition aux variations de prix journalières du marché, et difficulté à construire une clientèle fidèle si le producteur n’est pas présent régulièrement au même endroit.</w:t>
      </w:r>
    </w:p>
    <w:p>
      <w:pPr>
        <w:pStyle w:val="BodyText"/>
        <w:rPr/>
      </w:pPr>
      <w:bookmarkStart w:id="49" w:name="Xff3c0e63fbd53b4c58ed68c731b39d70961daf6"/>
      <w:r>
        <w:rPr/>
        <w:t>Prenons l’exemple fictif de la coopérative Terre Fertile, qui regroupe une douzaine de maraîchers dans une zone périurbaine. En vendant individuellement sur le marché de leur village, chacun des membres écoulait difficilement plus d’un tiers de sa récolte de légumes-feuilles avant qu’elle ne se dégrade. En mutualisant un point de vente hebdomadaire sur le grand marché de la ville voisine, avec un calendrier de présence fixe annoncé à l’avance, la coopérative a pu fidéliser une clientèle de ménages et de petits restaurateurs, réduire ses pertes post-récolte et mieux répartir les tâches de vente entre ses membres. Cet exemple illustre l’intérêt de structurer même la vente de proximité, plutôt que de la considérer comme une activité résiduelle et improvisée.</w:t>
      </w:r>
      <w:bookmarkEnd w:id="49"/>
    </w:p>
    <w:p>
      <w:pPr>
        <w:pStyle w:val="Heading3"/>
        <w:rPr/>
      </w:pPr>
      <w:bookmarkStart w:id="50" w:name="__RefHeading___Toc4582_3877972828"/>
      <w:bookmarkStart w:id="51" w:name="X68506658ba94dc225d1ab5485096d57133409b8"/>
      <w:bookmarkEnd w:id="50"/>
      <w:r>
        <w:rPr/>
        <w:t>3.3 Les marchés urbains, la restauration et les coopératives</w:t>
      </w:r>
    </w:p>
    <w:p>
      <w:pPr>
        <w:pStyle w:val="FirstParagraph"/>
        <w:rPr/>
      </w:pPr>
      <w:r>
        <w:rPr/>
        <w:t>Au-delà de la vente directe, les marchés urbains plus structurés offrent des volumes plus importants mais exigent davantage d’organisation logistique et de constance dans la qualité. Fournir un marché de gros suppose de pouvoir livrer des quantités suffisantes à intervalles réguliers, souvent en horaires contraints (livraison très matinale, par exemple). Fournir des restaurants, des hôtels ou des cantines suppose de comprendre leurs cycles d’approvisionnement (commandes hebdomadaires, contrats saisonniers), leurs exigences de calibrage et parfois de découpe ou de transformation partielle, ainsi que leurs modalités de paiement, qui peuvent être différées.</w:t>
      </w:r>
    </w:p>
    <w:p>
      <w:pPr>
        <w:pStyle w:val="BodyText"/>
        <w:rPr/>
      </w:pPr>
      <w:bookmarkStart w:id="52" w:name="cartographier-ses-segments-de-clientèle"/>
      <w:r>
        <w:rPr/>
        <w:t>Les coopératives et groupements de producteurs jouent, dans de nombreuses filières africaines, un rôle d’intermédiaire précieux entre les petits producteurs individuels et ces marchés plus exigeants : elles permettent de mutualiser la collecte, d’atteindre les volumes requis, de négocier collectivement les prix, et parfois d’accéder à des équipements de tri, de stockage ou de transformation hors de portée d’un producteur isolé. Adhérer à une coopérative, ou en constituer une avec d’autres producteurs voisins, constitue souvent une étape déterminante pour franchir un cap dans l’accès à ces segments de clientèle plus rémunérateurs, à condition que la gouvernance de la coopérative soit suffisamment transparente et équitable pour que chaque membre y trouve un bénéfice réel.</w:t>
      </w:r>
      <w:bookmarkEnd w:id="52"/>
    </w:p>
    <w:p>
      <w:pPr>
        <w:pStyle w:val="Heading3"/>
        <w:rPr/>
      </w:pPr>
      <w:bookmarkStart w:id="53" w:name="__RefHeading___Toc4584_3877972828"/>
      <w:bookmarkStart w:id="54" w:name="X19307d40cd889fdfa91314976d60fc4a2c5acaf"/>
      <w:bookmarkEnd w:id="53"/>
      <w:r>
        <w:rPr/>
        <w:t>3.4 Les canaux de distribution et le choix de la relation client</w:t>
      </w:r>
    </w:p>
    <w:p>
      <w:pPr>
        <w:pStyle w:val="FirstParagraph"/>
        <w:rPr/>
      </w:pPr>
      <w:r>
        <w:rPr/>
        <w:t>Le canal de distribution désigne la manière dont le produit ou le service parvient effectivement au client : vente directe sur l’exploitation, marché physique, livraison à domicile ou en entreprise, point de collecte coopératif, boutique ou dépôt-vente, plateforme numérique ou application mobile de mise en relation entre producteurs et acheteurs, vente en gros à un négociant qui se charge lui-même de la distribution finale. Chaque canal a un coût (transport, emballage, commissions, temps) et un niveau de contrôle différent sur la relation avec le client final : vendre à un négociant est souvent plus simple logistiquement mais laisse peu de contrôle sur le prix final et coupe le contact avec le consommateur ; vendre en direct est plus exigeant en temps et en organisation mais permet de capter une marge plus importante et de mieux connaître sa clientèle.</w:t>
      </w:r>
    </w:p>
    <w:p>
      <w:pPr>
        <w:pStyle w:val="BodyText"/>
        <w:rPr/>
      </w:pPr>
      <w:bookmarkStart w:id="55" w:name="X4582951c50ca3fbc2ccc016985e281d8f833bc9"/>
      <w:bookmarkStart w:id="56" w:name="X68506658ba94dc225d1ab5485096d57133409b8"/>
      <w:r>
        <w:rPr/>
        <w:t>Le développement des outils numériques transforme progressivement ce paysage dans plusieurs pays africains : applications de commande de produits frais, groupes de vente sur les réseaux sociaux, plateformes de mise en relation entre coopératives et acheteurs institutionnels. Sans que ces outils soient accessibles ou pertinents pour tous les agroentrepreneurs, il est utile de rester attentif à ces évolutions, en particulier pour les segments de clientèle urbains plus connectés. Enfin, la relation client mérite d’être pensée explicitement dans le canevas : s’agit-il d’une relation ponctuelle et anonyme (vente au marché), d’une relation personnalisée et fidélisée (abonnement, livraison régulière à des clients identifiés), ou d’une relation contractuelle formalisée (contrat d’approvisionnement avec un acheteur institutionnel) ? Ce choix a des implications directes sur les efforts commerciaux à consacrer et sur la stabilité des revenus attendus.</w:t>
      </w:r>
      <w:bookmarkEnd w:id="55"/>
      <w:bookmarkEnd w:id="56"/>
    </w:p>
    <w:p>
      <w:pPr>
        <w:pStyle w:val="Heading2"/>
        <w:rPr/>
      </w:pPr>
      <w:bookmarkStart w:id="57" w:name="__RefHeading___Toc4586_3877972828"/>
      <w:bookmarkStart w:id="58" w:name="Xb3075f926046edaa4bca95495ef0adc887bc739"/>
      <w:bookmarkEnd w:id="57"/>
      <w:r>
        <w:rPr/>
        <w:t>4. Structure de coûts et modèle de revenus d’une activité agricole</w:t>
      </w:r>
    </w:p>
    <w:p>
      <w:pPr>
        <w:pStyle w:val="Heading3"/>
        <w:rPr/>
      </w:pPr>
      <w:bookmarkStart w:id="59" w:name="__RefHeading___Toc4588_3877972828"/>
      <w:bookmarkStart w:id="60" w:name="X3f51acfbc601791fcd83b5a17f03c9788809803"/>
      <w:bookmarkEnd w:id="59"/>
      <w:r>
        <w:rPr/>
        <w:t>4.1 Distinguer charges fixes et charges variables</w:t>
      </w:r>
    </w:p>
    <w:p>
      <w:pPr>
        <w:pStyle w:val="FirstParagraph"/>
        <w:rPr/>
      </w:pPr>
      <w:r>
        <w:rPr/>
        <w:t>La maîtrise économique d’une activité agricole commence par une distinction claire entre charges fixes et charges variables. Les charges fixes sont celles que l’entreprise supporte indépendamment du niveau de production : location ou amortissement de la terre et des bâtiments, remboursement d’emprunts, salaires du personnel permanent, assurances, certaines redevances administratives. Les charges variables, elles, évoluent avec le volume produit : semences, engrais, aliments pour bétail, produits phytosanitaires ou vétérinaires, main-d’œuvre saisonnière, emballages, carburant pour l’irrigation ou le transport lié à la production.</w:t>
      </w:r>
    </w:p>
    <w:p>
      <w:pPr>
        <w:pStyle w:val="BodyText"/>
        <w:rPr/>
      </w:pPr>
      <w:bookmarkStart w:id="61" w:name="X19307d40cd889fdfa91314976d60fc4a2c5acaf"/>
      <w:r>
        <w:rPr/>
        <w:t>Cette distinction est essentielle pour comprendre le seuil de rentabilité de l’activité, c’est-à-dire le volume de production et de vente à partir duquel les revenus couvrent l’ensemble des charges. Beaucoup d’agroentrepreneurs sous-estiment leurs charges fixes réelles, en particulier lorsqu’elles ne correspondent pas à une sortie de trésorerie immédiate (par exemple l’usure d’un équipement, ou la valeur du temps de travail familial non rémunéré), ce qui les conduit à sous-évaluer le prix de revient réel de leur production et, potentiellement, à vendre à perte sans s’en rendre compte. Un exercice simple mais souvent négligé consiste à lister, pour une saison ou une campagne donnée, l’ensemble des charges fixes et variables réellement engagées, y compris celles qui ne sont pas payées en espèces, afin d’obtenir une image fidèle du coût de production.</w:t>
      </w:r>
      <w:bookmarkEnd w:id="61"/>
    </w:p>
    <w:p>
      <w:pPr>
        <w:pStyle w:val="Heading3"/>
        <w:rPr/>
      </w:pPr>
      <w:bookmarkStart w:id="62" w:name="__RefHeading___Toc4590_3877972828"/>
      <w:bookmarkStart w:id="63" w:name="X76c6b446588554e488633b5b773baee12a29d8d"/>
      <w:bookmarkEnd w:id="62"/>
      <w:r>
        <w:rPr/>
        <w:t>4.2 Les postes de coûts spécifiques à l’agriculture</w:t>
      </w:r>
    </w:p>
    <w:p>
      <w:pPr>
        <w:pStyle w:val="FirstParagraph"/>
        <w:rPr/>
      </w:pPr>
      <w:r>
        <w:rPr/>
        <w:t>Au-delà de la distinction fixe/variable, certains postes de coûts méritent une attention particulière en agriculture. Les coûts liés aux intrants (semences, engrais, aliments, produits de traitement) représentent souvent une part importante et volatile du budget, sujette aux fluctuations de prix sur les marchés régionaux ou internationaux. Les coûts de main-d’œuvre, notamment saisonnière lors des pics de récolte ou de plantation, doivent être anticipés et budgétés, y compris lorsqu’il s’agit d’entraide familiale ou communautaire dont la valeur économique est réelle même en l’absence de rémunération monétaire directe. Les coûts logistiques (transport, stockage, conservation) prennent une importance particulière pour les produits périssables, et sont souvent sous-estimés dans les prévisions initiales alors qu’ils peuvent représenter une part significative du prix de revient final, en particulier lorsque les infrastructures routières ou de stockage sont limitées.</w:t>
      </w:r>
    </w:p>
    <w:p>
      <w:pPr>
        <w:pStyle w:val="BodyText"/>
        <w:rPr/>
      </w:pPr>
      <w:r>
        <w:rPr/>
        <w:t>Il faut également compter les pertes post-récolte, qui constituent un coût indirect souvent mal quantifié : une part de la production perdue avant la vente représente un coût réel qu’il convient d’intégrer dans le calcul du prix de revient de ce qui est effectivement vendu. Enfin, les coûts liés à la gestion du risque — cotisations à une mutuelle ou une assurance agricole lorsqu’elle existe, constitution d’une réserve de trésorerie, diversification des cultures pour limiter l’exposition à un seul aléa climatique ou sanitaire — doivent être envisagés comme des charges légitimes plutôt que comme des dépenses superflues, tant les aléas peuvent compromettre en une seule saison plusieurs années d’efforts.</w:t>
      </w:r>
    </w:p>
    <w:p>
      <w:pPr>
        <w:pStyle w:val="BodyText"/>
        <w:rPr/>
      </w:pPr>
      <w:bookmarkStart w:id="64" w:name="Xb3075f926046edaa4bca95495ef0adc887bc739"/>
      <w:r>
        <w:rPr/>
        <w:t>Un autre poste souvent négligé est celui du coût du temps de gestion et d’administration de l’activité : tenue d’un cahier de comptes, déplacements pour rencontrer des acheteurs ou des fournisseurs, démarches auprès d’une institution financière ou d’un service administratif. Ce temps a un coût d’opportunité réel, même lorsqu’il n’est associé à aucune dépense monétaire directe, car il est prélevé sur le temps que l’entrepreneur pourrait consacrer à la production elle-même ou à sa vie familiale. Reconnaître ce coût, plutôt que de le considérer comme gratuit, encourage à investir progressivement dans des outils ou des appuis (un carnet de suivi simple, l’aide ponctuelle d’un proche pour la tenue des comptes) qui permettent de gagner en efficacité sur cette dimension trop souvent invisible de la gestion d’une activité agricole.</w:t>
      </w:r>
      <w:bookmarkEnd w:id="64"/>
    </w:p>
    <w:p>
      <w:pPr>
        <w:pStyle w:val="Heading3"/>
        <w:rPr/>
      </w:pPr>
      <w:bookmarkStart w:id="65" w:name="__RefHeading___Toc4592_3877972828"/>
      <w:bookmarkStart w:id="66" w:name="construire-un-modèle-de-revenus-adapté"/>
      <w:bookmarkEnd w:id="65"/>
      <w:r>
        <w:rPr/>
        <w:t>4.3 Construire un modèle de revenus adapté</w:t>
      </w:r>
    </w:p>
    <w:p>
      <w:pPr>
        <w:pStyle w:val="FirstParagraph"/>
        <w:rPr/>
      </w:pPr>
      <w:r>
        <w:rPr/>
        <w:t>Le modèle de revenus décrit comment l’entreprise transforme sa proposition de valeur en flux financiers effectifs : vente directe au comptant, vente à crédit ou différée, contrats d’approvisionnement à prix fixe, abonnement pour une livraison régulière, vente de services complémentaires (location de matériel, prestations de conseil, transformation à façon pour d’autres producteurs), ou encore combinaison de plusieurs de ces mécanismes. Le choix du modèle de revenus doit être cohérent avec les segments de clientèle visés : un ménage de proximité paiera le plus souvent au comptant et en petite quantité, tandis qu’un acheteur institutionnel pourra accepter un contrat annuel avec un prix négocié à l’avance, offrant davantage de visibilité mais aussi davantage de contraintes en cas de hausse des coûts de production.</w:t>
      </w:r>
    </w:p>
    <w:p>
      <w:pPr>
        <w:pStyle w:val="BodyText"/>
        <w:rPr/>
      </w:pPr>
      <w:bookmarkStart w:id="67" w:name="X3f51acfbc601791fcd83b5a17f03c9788809803"/>
      <w:r>
        <w:rPr/>
        <w:t>Un exemple fictif permet d’illustrer cet arbitrage : Ibrahim Coulibaly, producteur de miel dans une zone rurale, vendait initialement l’ensemble de sa production en vrac à un collecteur de passage, à un prix fixé unilatéralement par ce dernier selon l’offre du moment. En diversifiant son modèle de revenus — vente directe en pots étiquetés sur le marché local à un prix plus élevé, contrat de fourniture régulière avec une petite épicerie fine urbaine, et maintien d’une vente résiduelle en vrac pour écouler les surplus — il a réduit sa dépendance à un acheteur unique et amélioré son revenu moyen par kilogramme vendu, tout en conservant une porte de sortie pour les volumes qu’il ne parvient pas à écouler par les canaux les plus rémunérateurs.</w:t>
      </w:r>
      <w:bookmarkEnd w:id="67"/>
    </w:p>
    <w:p>
      <w:pPr>
        <w:pStyle w:val="Heading3"/>
        <w:rPr/>
      </w:pPr>
      <w:bookmarkStart w:id="68" w:name="__RefHeading___Toc4594_3877972828"/>
      <w:bookmarkStart w:id="69" w:name="X780e0318dfde26fee7968fc504915b946b28ae9"/>
      <w:bookmarkEnd w:id="68"/>
      <w:r>
        <w:rPr/>
        <w:t>4.4 Diversifier les revenus pour renforcer la résilience</w:t>
      </w:r>
    </w:p>
    <w:p>
      <w:pPr>
        <w:pStyle w:val="FirstParagraph"/>
        <w:rPr/>
      </w:pPr>
      <w:r>
        <w:rPr/>
        <w:t>La diversification des revenus constitue un principe de gestion particulièrement pertinent en agriculture, compte tenu de l’exposition de l’activité aux aléas climatiques, sanitaires et de marché. Cette diversification peut prendre plusieurs formes : diversification des produits (associer plusieurs cultures ou une culture et un élevage, pour répartir le risque et étaler les périodes de revenus dans l’année), diversification des débouchés (ne pas dépendre d’un seul client ou d’un seul canal de vente), diversification des activités le long de la chaîne de valeur (ajouter une activité de transformation ou de service à la seule production primaire, par exemple transformer une partie de sa récolte de fruits en confiture ou en jus pour capter une valeur ajoutée supplémentaire et lisser les revenus sur une période plus longue que la seule saison de récolte fraîche).</w:t>
      </w:r>
    </w:p>
    <w:p>
      <w:pPr>
        <w:pStyle w:val="BodyText"/>
        <w:rPr/>
      </w:pPr>
      <w:bookmarkStart w:id="70" w:name="X76c6b446588554e488633b5b773baee12a29d8d"/>
      <w:bookmarkStart w:id="71" w:name="construire-un-modèle-de-revenus-adapté"/>
      <w:r>
        <w:rPr/>
        <w:t>Cette diversification ne doit cependant pas être poursuivie sans discernement : disperser ses efforts sur trop d’activités différentes, sans maîtriser suffisamment chacune d’entre elles, peut au contraire fragiliser l’entreprise en diluant les ressources et l’attention du porteur de projet. L’enjeu est de trouver un équilibre raisonné entre concentration (pour développer une véritable expertise et une réputation sur une offre) et diversification (pour limiter l’exposition à un risque unique), en tenant compte des ressources réellement disponibles — temps, main-d’œuvre, capital, compétences — et en avançant progressivement, une nouvelle source de revenus à la fois, plutôt qu’en changeant plusieurs paramètres du modèle d’affaires simultanément.</w:t>
      </w:r>
      <w:bookmarkEnd w:id="70"/>
      <w:bookmarkEnd w:id="71"/>
    </w:p>
    <w:p>
      <w:pPr>
        <w:pStyle w:val="Heading2"/>
        <w:rPr/>
      </w:pPr>
      <w:bookmarkStart w:id="72" w:name="__RefHeading___Toc4596_3877972828"/>
      <w:bookmarkStart w:id="73" w:name="X421d544b2d14ffeaa57f7c473910d0151d85a52"/>
      <w:bookmarkEnd w:id="72"/>
      <w:r>
        <w:rPr/>
        <w:t>5. Partenariats clés et ressources nécessaires</w:t>
      </w:r>
    </w:p>
    <w:p>
      <w:pPr>
        <w:pStyle w:val="Heading3"/>
        <w:rPr/>
      </w:pPr>
      <w:bookmarkStart w:id="74" w:name="__RefHeading___Toc4598_3877972828"/>
      <w:bookmarkStart w:id="75" w:name="Xe088dbd6fd7aaa7e65d4f8e53fcfa59490ba9d9"/>
      <w:bookmarkEnd w:id="74"/>
      <w:r>
        <w:rPr/>
        <w:t>5.1 Identifier les ressources indispensables à l’activité</w:t>
      </w:r>
    </w:p>
    <w:p>
      <w:pPr>
        <w:pStyle w:val="FirstParagraph"/>
        <w:rPr/>
      </w:pPr>
      <w:r>
        <w:rPr/>
        <w:t>Toute activité agricole repose sur un ensemble de ressources qu’il convient d’identifier précisément pour évaluer la faisabilité du modèle d’affaires. Les ressources physiques comprennent la terre (en propriété, en location ou en usage coutumier), l’eau et les infrastructures d’irrigation, les bâtiments et équipements (serres, poulaillers, matériel de transformation, véhicules de transport), ainsi que les intrants de production. Les ressources humaines comprennent la main-d’œuvre familiale, les employés permanents ou saisonniers, mais aussi les compétences techniques et de gestion détenues par le porteur de projet ou son équipe, qui conditionnent souvent davantage la réussite de l’activité que les seuls moyens matériels.</w:t>
      </w:r>
    </w:p>
    <w:p>
      <w:pPr>
        <w:pStyle w:val="BodyText"/>
        <w:rPr/>
      </w:pPr>
      <w:r>
        <w:rPr/>
        <w:t>Les ressources financières comprennent l’épargne personnelle, les financements formels (crédit bancaire, microfinance, subventions) et informels (tontines, entraide familiale), ainsi que le fonds de roulement nécessaire pour couvrir les charges avant l’encaissement des ventes — un point souvent sous-estimé, en particulier lorsque le cycle de production est long (plusieurs mois entre le semis et la récolte, ou entre l’achat d’un jeune animal et sa vente à maturité) et que les clients paient à crédit. Enfin, les ressources informationnelles et relationnelles — connaissance du marché, réseau de contacts, réputation déjà construite dans la communauté — constituent des actifs immatériels précieux, parfois plus déterminants pour l’accès à un débouché rémunérateur que la seule qualité technique du produit.</w:t>
      </w:r>
    </w:p>
    <w:p>
      <w:pPr>
        <w:pStyle w:val="BodyText"/>
        <w:rPr/>
      </w:pPr>
      <w:bookmarkStart w:id="76" w:name="X780e0318dfde26fee7968fc504915b946b28ae9"/>
      <w:r>
        <w:rPr/>
        <w:t>Un exercice utile consiste à dresser, pour chacune de ces catégories de ressources, un inventaire honnête de ce que l’on possède déjà, de ce que l’on peut mobiliser rapidement auprès de son entourage ou de partenaires, et de ce qu’il faudra acquérir ou développer progressivement. Cet inventaire évite de démarrer une activité sur la base d’hypothèses trop optimistes concernant, par exemple, la disponibilité future d’un financement encore incertain, ou la capacité d’un membre de la famille à consacrer un temps de travail qui n’a pas été explicitement négocié avec lui. Anticiper ces besoins en ressources dès la phase de construction du modèle d’affaires permet d’échelonner les investissements de manière réaliste, plutôt que de découvrir un manque critique une fois l’activité déjà engagée.</w:t>
      </w:r>
      <w:bookmarkEnd w:id="76"/>
    </w:p>
    <w:p>
      <w:pPr>
        <w:pStyle w:val="Heading3"/>
        <w:rPr/>
      </w:pPr>
      <w:bookmarkStart w:id="77" w:name="__RefHeading___Toc4600_3877972828"/>
      <w:bookmarkStart w:id="78" w:name="X0fef0ddb89958cfe188582b269d6394b06988e1"/>
      <w:bookmarkEnd w:id="77"/>
      <w:r>
        <w:rPr/>
        <w:t>5.2 Les partenaires en amont de la production</w:t>
      </w:r>
    </w:p>
    <w:p>
      <w:pPr>
        <w:pStyle w:val="FirstParagraph"/>
        <w:rPr/>
      </w:pPr>
      <w:r>
        <w:rPr/>
        <w:t>En amont de l’activité, plusieurs types de partenaires peuvent apporter un appui déterminant. Les fournisseurs d’intrants (semences améliorées, aliments pour bétail, matériel agricole) constituent un premier cercle de partenaires dont la fiabilité et la proximité géographique conditionnent directement la régularité de la production. Les structures d’appui technique — services de vulgarisation agricole publics, organisations non gouvernementales, coopératives disposant de techniciens, projets de développement — peuvent fournir des conseils, des formations et parfois un accompagnement dans l’adoption de nouvelles pratiques, agroécologiques par exemple.</w:t>
      </w:r>
    </w:p>
    <w:p>
      <w:pPr>
        <w:pStyle w:val="BodyText"/>
        <w:rPr/>
      </w:pPr>
      <w:bookmarkStart w:id="79" w:name="X421d544b2d14ffeaa57f7c473910d0151d85a52"/>
      <w:r>
        <w:rPr/>
        <w:t>Les institutions financières (banques agricoles, institutions de microfinance, coopératives d’épargne et de crédit) et les dispositifs de garantie ou de subvention publics ou associatifs jouent un rôle souvent décisif pour financer les investissements initiaux ou le fonds de roulement, en particulier pour des entrepreneurs ne disposant pas de garanties classiques à offrir. Enfin, dans certaines filières, des mécanismes d’assurance agricole indicielle, encore émergents dans de nombreux pays, commencent à offrir une protection partielle contre les aléas climatiques majeurs (sécheresse, inondation), et méritent d’être explorés lorsqu’ils sont disponibles localement, sans que leur absence ne doive être un frein : d’autres formes de mutualisation du risque, comme les tontines ou les caisses de solidarité villageoises, jouent un rôle comparable dans de nombreux contextes.</w:t>
      </w:r>
      <w:bookmarkEnd w:id="79"/>
    </w:p>
    <w:p>
      <w:pPr>
        <w:pStyle w:val="Heading3"/>
        <w:rPr/>
      </w:pPr>
      <w:bookmarkStart w:id="80" w:name="__RefHeading___Toc4602_3877972828"/>
      <w:bookmarkStart w:id="81" w:name="X016d34c898aa2fd61a2ffa7d40ff9925c14c49f"/>
      <w:bookmarkEnd w:id="80"/>
      <w:r>
        <w:rPr/>
        <w:t>5.3 Les partenaires en aval et l’ancrage territorial</w:t>
      </w:r>
    </w:p>
    <w:p>
      <w:pPr>
        <w:pStyle w:val="FirstParagraph"/>
        <w:rPr/>
      </w:pPr>
      <w:r>
        <w:rPr/>
        <w:t>En aval de la production, les partenariats avec les acheteurs, les transformateurs, les négociants ou les plateformes de distribution méritent d’être cultivés dans la durée plutôt que gérés au coup par coup à chaque transaction. Un partenariat commercial stable, même informel, avec un acheteur régulier, apporte une visibilité précieuse sur les débouchés et permet parfois de négocier des conditions plus favorables (prix, délais de paiement, prévisibilité des volumes) qu’une relation purement transactionnelle et ponctuelle.</w:t>
      </w:r>
    </w:p>
    <w:p>
      <w:pPr>
        <w:pStyle w:val="BodyText"/>
        <w:rPr/>
      </w:pPr>
      <w:bookmarkStart w:id="82" w:name="Xe088dbd6fd7aaa7e65d4f8e53fcfa59490ba9d9"/>
      <w:r>
        <w:rPr/>
        <w:t>L’appartenance à une coopérative, un groupement ou une association professionnelle constitue également une ressource stratégique : elle permet de mutualiser certains équipements coûteux (matériel de transformation, véhicule de transport, chambre froide), de peser collectivement dans les négociations commerciales, d’accéder à des formations ou à des marchés autrement hors de portée d’un producteur isolé, et de bénéficier d’un réseau d’entraide en cas de difficulté ponctuelle. Enfin, les autorités locales et les collectivités territoriales peuvent, selon les contextes, faciliter l’accès au foncier, à des infrastructures publiques (marchés aménagés, routes de désenclavement, points d’eau), ou à des programmes d’appui à l’entrepreneuriat agricole ; entretenir un dialogue constructif avec ces acteurs fait partie intégrante de la construction d’un modèle d’affaires ancré dans son territoire.</w:t>
      </w:r>
      <w:bookmarkEnd w:id="82"/>
    </w:p>
    <w:p>
      <w:pPr>
        <w:pStyle w:val="Heading3"/>
        <w:rPr/>
      </w:pPr>
      <w:bookmarkStart w:id="83" w:name="__RefHeading___Toc4604_3877972828"/>
      <w:bookmarkStart w:id="84" w:name="Xde342f7c13b617f698c7311f9d1e0ff41723e18"/>
      <w:bookmarkEnd w:id="83"/>
      <w:r>
        <w:rPr/>
        <w:t>5.4 Arbitrer entre faire soi-même et s’appuyer sur des partenaires</w:t>
      </w:r>
    </w:p>
    <w:p>
      <w:pPr>
        <w:pStyle w:val="FirstParagraph"/>
        <w:rPr/>
      </w:pPr>
      <w:r>
        <w:rPr/>
        <w:t>Un dernier arbitrage structurant concerne la frontière entre ce que l’entreprise réalise elle-même et ce qu’elle confie à des partenaires. Une petite exploitation ne peut généralement pas maîtriser en interne l’ensemble des maillons de la chaîne — production, transformation, transport, commercialisation, gestion administrative et financière — sans risquer de disperser ses ressources limitées et de perdre en qualité sur chacune de ces fonctions. Identifier ses activités clés, c’est-à-dire celles où l’entreprise doit exceller pour que sa proposition de valeur tienne ses promesses, et confier les autres fonctions à des partenaires compétents (transporteur, comptable, technicien de maintenance, plateforme de commercialisation) permet souvent de gagner en efficacité et en qualité globale.</w:t>
      </w:r>
    </w:p>
    <w:p>
      <w:pPr>
        <w:pStyle w:val="BodyText"/>
        <w:rPr/>
      </w:pPr>
      <w:bookmarkStart w:id="85" w:name="X0fef0ddb89958cfe188582b269d6394b06988e1"/>
      <w:bookmarkStart w:id="86" w:name="X016d34c898aa2fd61a2ffa7d40ff9925c14c49f"/>
      <w:r>
        <w:rPr/>
        <w:t>Cet arbitrage n’est pas figé : au fur et à mesure que l’entreprise se développe, elle peut choisir d’internaliser certaines fonctions auparavant externalisées (par exemple acquérir son propre véhicule de transport plutôt que de recourir systématiquement à un transporteur tiers), ou au contraire externaliser des activités qu’elle assumait initialement elle-même par nécessité, faute de moyens, mais qui seraient mieux réalisées par un partenaire spécialisé une fois que les revenus le permettent. Le canevas invite précisément à formaliser ce choix, en explicitant dans les blocs « activités clés », « ressources clés » et « partenaires clés » ce qui relève du cœur de métier de l’entreprise et ce qui relève de la coopération avec d’autres acteurs de la chaîne de valeur.</w:t>
      </w:r>
      <w:bookmarkEnd w:id="85"/>
      <w:bookmarkEnd w:id="86"/>
    </w:p>
    <w:p>
      <w:pPr>
        <w:pStyle w:val="Normal"/>
        <w:jc w:val="center"/>
        <w:rPr/>
      </w:pPr>
      <w:bookmarkStart w:id="87" w:name="étude-de-cas"/>
      <w:r>
        <w:rPr/>
        <w:drawing>
          <wp:inline distT="0" distB="0" distL="0" distR="0">
            <wp:extent cx="3657600" cy="24384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3657600" cy="2438400"/>
                    </a:xfrm>
                    <a:prstGeom prst="rect">
                      <a:avLst/>
                    </a:prstGeom>
                  </pic:spPr>
                </pic:pic>
              </a:graphicData>
            </a:graphic>
          </wp:inline>
        </w:drawing>
      </w:r>
    </w:p>
    <w:p>
      <w:pPr>
        <w:pStyle w:val="Normal"/>
        <w:spacing w:before="0" w:after="320"/>
        <w:jc w:val="center"/>
        <w:rPr/>
      </w:pPr>
      <w:r>
        <w:rPr>
          <w:i/>
          <w:color w:val="666666"/>
          <w:sz w:val="19"/>
        </w:rPr>
        <w:t>Illustration — Analyser et structurer son modèle d'affaires agricole</w:t>
      </w:r>
    </w:p>
    <w:p>
      <w:pPr>
        <w:pStyle w:val="Heading2"/>
        <w:rPr/>
      </w:pPr>
      <w:bookmarkStart w:id="88" w:name="__RefHeading___Toc4606_3877972828"/>
      <w:bookmarkEnd w:id="88"/>
      <w:r>
        <w:rPr/>
        <w:t>Étude de cas</w:t>
      </w:r>
    </w:p>
    <w:p>
      <w:pPr>
        <w:pStyle w:val="FirstParagraph"/>
        <w:rPr/>
      </w:pPr>
      <w:r>
        <w:rPr/>
        <w:t>Fatoumata Sanogo dirige, dans une zone périurbaine d’Afrique de l’Ouest, une petite exploitation qu’elle a rebaptisée « Ferme Bio-Nianga » après avoir décidé, trois ans plus tôt, de convertir progressivement sa production de légumes vers des pratiques agroécologiques sans intrants chimiques de synthèse. Elle cultive sur environ un hectare des légumes-feuilles, des tomates, des aubergines et du gombo, en rotation, avec l’appui ponctuel de deux ouvriers saisonniers lors des périodes de récolte intensive.</w:t>
      </w:r>
    </w:p>
    <w:p>
      <w:pPr>
        <w:pStyle w:val="BodyText"/>
        <w:rPr/>
      </w:pPr>
      <w:r>
        <w:rPr/>
        <w:t>Au départ, Fatoumata vendait l’essentiel de sa production, mélangée sans distinction particulière, sur le marché de son quartier, au même prix que les autres maraîchers utilisant des pratiques conventionnelles. Elle peinait à valoriser l’effort supplémentaire que représentait la conversion à l’agroécologie — plus de travail manuel de désherbage, rendements initialement plus irréguliers, absence de reconnaissance de la part des acheteurs habituels du marché — et son revenu stagnait malgré l’investissement consenti.</w:t>
      </w:r>
    </w:p>
    <w:p>
      <w:pPr>
        <w:pStyle w:val="BodyText"/>
        <w:rPr/>
      </w:pPr>
      <w:r>
        <w:rPr/>
        <w:t>En participant à une formation en entrepreneuriat agricole, Fatoumata a entrepris de reconstruire son modèle d’affaires à l’aide du Business Model Canvas. Elle a d’abord identifié que son véritable segment de clientèle prioritaire n’était pas l’ensemble des ménages du marché de quartier, peu sensibles au mode de production et très attentifs au prix, mais plutôt un segment plus restreint et moins exploré localement : les ménages urbains aisés et quelques restaurants soucieux de leur image, sensibles à l’argument de la production sans pesticides et de la fraîcheur. Elle a également identifié un second segment prometteur : une petite épicerie de quartier spécialisée dans les produits locaux et biologiques, en recherche de fournisseurs réguliers.</w:t>
      </w:r>
    </w:p>
    <w:p>
      <w:pPr>
        <w:pStyle w:val="BodyText"/>
        <w:rPr/>
      </w:pPr>
      <w:r>
        <w:rPr/>
        <w:t>Sur cette base, elle a reformulé sa proposition de valeur : « des légumes frais, cultivés sans pesticides de synthèse, récoltés le matin même de la livraison, avec une traçabilité simple communiquée à chaque client sur la parcelle d’origine ». Elle a choisi deux canaux principaux : une livraison hebdomadaire par abonnement à une dizaine de familles repérées via le bouche-à-oreille et un groupe de discussion en ligne dédié aux produits locaux, et un contrat de fourniture régulière avec l’épicerie de quartier repérée, tout en conservant une vente résiduelle au marché pour les surplus non absorbés par ces deux canaux plus rémunérateurs. Sur le plan des revenus, elle a instauré un prix environ 20 % supérieur au prix du marché conventionnel pour ses ventes en circuit court, justifié par le mode de production et le service de livraison, tout en maintenant une petite marge sur la vente résiduelle au marché pour ne rien perdre de sa production.</w:t>
      </w:r>
    </w:p>
    <w:p>
      <w:pPr>
        <w:pStyle w:val="BodyText"/>
        <w:rPr/>
      </w:pPr>
      <w:r>
        <w:rPr/>
        <w:t>Côté ressources et partenariats, Fatoumata s’est rapprochée d’une association régionale de producteurs agroécologiques, qui lui a apporté un appui technique sur le compostage et la lutte biologique contre les ravageurs, ainsi qu’une reconnaissance facilitant sa crédibilité auprès de nouveaux clients. Elle a également noué un partenariat avec un jeune livreur du quartier disposant d’une motocyclette, plutôt que d’investir elle-même dans un véhicule qu’elle ne pouvait pas encore financer, ce qui lui a permis d’assurer les livraisons hebdomadaires sans immobiliser un capital important dès la première année.</w:t>
      </w:r>
    </w:p>
    <w:p>
      <w:pPr>
        <w:pStyle w:val="BodyText"/>
        <w:rPr/>
      </w:pPr>
      <w:r>
        <w:rPr/>
        <w:t>Le tableau ci-dessous résume les neuf blocs du Business Model Canvas construit par Fatoumata pour la Ferme Bio-Nianga.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6"/>
        <w:gridCol w:w="7833"/>
      </w:tblGrid>
      <w:tr>
        <w:trPr>
          <w:tblHeader w:val="true"/>
        </w:trPr>
        <w:tc>
          <w:tcPr>
            <w:tcW w:w="152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Bloc du canevas</w:t>
            </w:r>
          </w:p>
        </w:tc>
        <w:tc>
          <w:tcPr>
            <w:tcW w:w="7833"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Contenu pour la Ferme Bio-Nianga</w:t>
            </w:r>
          </w:p>
        </w:tc>
      </w:tr>
      <w:tr>
        <w:trPr/>
        <w:tc>
          <w:tcPr>
            <w:tcW w:w="15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Segments de clientèle</w:t>
            </w:r>
          </w:p>
        </w:tc>
        <w:tc>
          <w:tcPr>
            <w:tcW w:w="78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Ménages urbains aisés sensibles au mode de production ; une épicerie de quartier spécialisée en produits locaux ; ménages du marché de quartier (vente résiduelle)</w:t>
            </w:r>
          </w:p>
        </w:tc>
      </w:tr>
      <w:tr>
        <w:trPr/>
        <w:tc>
          <w:tcPr>
            <w:tcW w:w="15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Proposition de valeur</w:t>
            </w:r>
          </w:p>
        </w:tc>
        <w:tc>
          <w:tcPr>
            <w:tcW w:w="78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Légumes frais sans pesticides de synthèse, récoltés le jour de la livraison, traçabilité simple, livraison à domicile par abonnement</w:t>
            </w:r>
          </w:p>
        </w:tc>
      </w:tr>
      <w:tr>
        <w:trPr/>
        <w:tc>
          <w:tcPr>
            <w:tcW w:w="15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Canaux</w:t>
            </w:r>
          </w:p>
        </w:tc>
        <w:tc>
          <w:tcPr>
            <w:tcW w:w="78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Livraison hebdomadaire directe à domicile ; contrat de fourniture avec l’épicerie ; vente au marché de quartier pour les surplus</w:t>
            </w:r>
          </w:p>
        </w:tc>
      </w:tr>
      <w:tr>
        <w:trPr/>
        <w:tc>
          <w:tcPr>
            <w:tcW w:w="15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Relation client</w:t>
            </w:r>
          </w:p>
        </w:tc>
        <w:tc>
          <w:tcPr>
            <w:tcW w:w="78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Abonnement personnalisé avec les familles ; contrat régulier avec l’épicerie ; relation ponctuelle et anonyme sur le marché</w:t>
            </w:r>
          </w:p>
        </w:tc>
      </w:tr>
      <w:tr>
        <w:trPr/>
        <w:tc>
          <w:tcPr>
            <w:tcW w:w="15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Sources de revenus</w:t>
            </w:r>
          </w:p>
        </w:tc>
        <w:tc>
          <w:tcPr>
            <w:tcW w:w="78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Vente par abonnement à prix majoré (~20 %) ; vente régulière à l’épicerie à prix négocié ; vente résiduelle au marché à prix courant</w:t>
            </w:r>
          </w:p>
        </w:tc>
      </w:tr>
      <w:tr>
        <w:trPr/>
        <w:tc>
          <w:tcPr>
            <w:tcW w:w="15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Ressources clés</w:t>
            </w:r>
          </w:p>
        </w:tc>
        <w:tc>
          <w:tcPr>
            <w:tcW w:w="78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Un hectare de terre cultivée, savoir-faire agroécologique, réputation naissante, réseau de familles abonnées</w:t>
            </w:r>
          </w:p>
        </w:tc>
      </w:tr>
      <w:tr>
        <w:trPr/>
        <w:tc>
          <w:tcPr>
            <w:tcW w:w="15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Activités clés</w:t>
            </w:r>
          </w:p>
        </w:tc>
        <w:tc>
          <w:tcPr>
            <w:tcW w:w="78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Production maraîchère agroécologique, récolte matinale, organisation des livraisons, entretien de la relation avec les clients abonnés</w:t>
            </w:r>
          </w:p>
        </w:tc>
      </w:tr>
      <w:tr>
        <w:trPr/>
        <w:tc>
          <w:tcPr>
            <w:tcW w:w="15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Partenaires clés</w:t>
            </w:r>
          </w:p>
        </w:tc>
        <w:tc>
          <w:tcPr>
            <w:tcW w:w="78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Association régionale de producteurs agroécologiques (appui technique), jeune livreur local (logistique), épicerie de quartier (débouché régulier)</w:t>
            </w:r>
          </w:p>
        </w:tc>
      </w:tr>
      <w:tr>
        <w:trPr/>
        <w:tc>
          <w:tcPr>
            <w:tcW w:w="15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Structure de coûts</w:t>
            </w:r>
          </w:p>
        </w:tc>
        <w:tc>
          <w:tcPr>
            <w:tcW w:w="7833"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Semences et compost, main-d’œuvre saisonnière, rémunération du service de livraison, temps consacré à l’animation de la relation client, pertes liées aux invendus résiduels</w:t>
            </w:r>
          </w:p>
        </w:tc>
      </w:tr>
    </w:tbl>
    <w:p>
      <w:pPr>
        <w:pStyle w:val="BodyText"/>
        <w:rPr/>
      </w:pPr>
      <w:bookmarkStart w:id="89" w:name="Xde342f7c13b617f698c7311f9d1e0ff41723e18"/>
      <w:r>
        <w:rPr/>
        <w:t>Cette reconstruction du modèle d’affaires n’a pas transformé du jour au lendemain la situation de Fatoumata, mais elle lui a permis, en quelques mois, de sécuriser une partie de ses revenus grâce à l’abonnement et au contrat avec l’épicerie, tout en gardant une porte de sortie sur le marché pour ne pas dépendre exclusivement de ces deux débouchés encore récents. Elle illustre comment un même produit — des légumes frais — peut donner lieu à des modèles d’affaires très différents selon la manière dont le segment de clientèle, la proposition de valeur, les canaux et le modèle de revenus sont pensés ensemble, de façon cohérente.</w:t>
      </w:r>
      <w:bookmarkEnd w:id="89"/>
    </w:p>
    <w:p>
      <w:pPr>
        <w:pStyle w:val="Heading2"/>
        <w:rPr/>
      </w:pPr>
      <w:bookmarkStart w:id="90" w:name="__RefHeading___Toc4608_3877972828"/>
      <w:bookmarkStart w:id="91" w:name="outils-pratiques"/>
      <w:bookmarkEnd w:id="90"/>
      <w:r>
        <w:rPr/>
        <w:t>Outils pratiques</w:t>
      </w:r>
    </w:p>
    <w:p>
      <w:pPr>
        <w:pStyle w:val="FirstParagraph"/>
        <w:rPr/>
      </w:pPr>
      <w:r>
        <w:rPr/>
        <w:t>Voici un gabarit vierge de Business Model Canvas adapté à une activité agricole, à utiliser pour formaliser votre propre modèle d’affaires ou celui d’un projet que vous souhaitez lancer. Recopiez ce tableau et complétez chaque bloc avec vos propres éléments, de préférence en plusieurs passages successifs plutôt qu’en une seule fois.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99"/>
        <w:gridCol w:w="6847"/>
        <w:gridCol w:w="1114"/>
      </w:tblGrid>
      <w:tr>
        <w:trPr>
          <w:tblHeader w:val="true"/>
        </w:trPr>
        <w:tc>
          <w:tcPr>
            <w:tcW w:w="139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Bloc du canevas</w:t>
            </w:r>
          </w:p>
        </w:tc>
        <w:tc>
          <w:tcPr>
            <w:tcW w:w="684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Questions à se poser</w:t>
            </w:r>
          </w:p>
        </w:tc>
        <w:tc>
          <w:tcPr>
            <w:tcW w:w="1114"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Votre réponse</w:t>
            </w:r>
          </w:p>
        </w:tc>
      </w:tr>
      <w:tr>
        <w:trPr/>
        <w:tc>
          <w:tcPr>
            <w:tcW w:w="139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Segments de clientèle</w:t>
            </w:r>
          </w:p>
        </w:tc>
        <w:tc>
          <w:tcPr>
            <w:tcW w:w="68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Qui sont mes clients ? Puis-je les regrouper en catégories distinctes (ménages, restaurants, coopératives, export…) ? Lequel est prioritaire ?</w:t>
            </w:r>
          </w:p>
        </w:tc>
        <w:tc>
          <w:tcPr>
            <w:tcW w:w="111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39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Proposition de valeur</w:t>
            </w:r>
          </w:p>
        </w:tc>
        <w:tc>
          <w:tcPr>
            <w:tcW w:w="68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Quel problème je résous ou quel besoin je satisfais pour chaque segment ? Qu’est-ce qui différencie mon offre (qualité, régularité, prix, mode de production, service) ?</w:t>
            </w:r>
          </w:p>
        </w:tc>
        <w:tc>
          <w:tcPr>
            <w:tcW w:w="111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39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Canaux</w:t>
            </w:r>
          </w:p>
        </w:tc>
        <w:tc>
          <w:tcPr>
            <w:tcW w:w="68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Comment mes clients découvrent-ils mon offre ? Comment la reçoivent-ils (livraison, marché, point de vente, plateforme) ?</w:t>
            </w:r>
          </w:p>
        </w:tc>
        <w:tc>
          <w:tcPr>
            <w:tcW w:w="111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39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Relation client</w:t>
            </w:r>
          </w:p>
        </w:tc>
        <w:tc>
          <w:tcPr>
            <w:tcW w:w="68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Quel type de lien ai-je avec chaque segment (ponctuel, fidélisé, contractuel) ? Comment je le construis et l’entretiens ?</w:t>
            </w:r>
          </w:p>
        </w:tc>
        <w:tc>
          <w:tcPr>
            <w:tcW w:w="111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39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Sources de revenus</w:t>
            </w:r>
          </w:p>
        </w:tc>
        <w:tc>
          <w:tcPr>
            <w:tcW w:w="68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Comment chaque segment me paie-t-il (comptant, crédit, abonnement, contrat) ? Quel prix pour quelle offre ? Quelles sources de revenus additionnelles ou de diversification ?</w:t>
            </w:r>
          </w:p>
        </w:tc>
        <w:tc>
          <w:tcPr>
            <w:tcW w:w="111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39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Ressources clés</w:t>
            </w:r>
          </w:p>
        </w:tc>
        <w:tc>
          <w:tcPr>
            <w:tcW w:w="68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De quelles ressources ai-je besoin (terre, eau, équipements, main-d’œuvre, compétences, capital, réputation) ? Lesquelles ai-je déjà, lesquelles me manquent ?</w:t>
            </w:r>
          </w:p>
        </w:tc>
        <w:tc>
          <w:tcPr>
            <w:tcW w:w="111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39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Activités clés</w:t>
            </w:r>
          </w:p>
        </w:tc>
        <w:tc>
          <w:tcPr>
            <w:tcW w:w="68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Quelles activités dois-je impérativement bien maîtriser pour tenir ma proposition de valeur (production, transformation, logistique, vente, gestion) ?</w:t>
            </w:r>
          </w:p>
        </w:tc>
        <w:tc>
          <w:tcPr>
            <w:tcW w:w="111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39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Partenaires clés</w:t>
            </w:r>
          </w:p>
        </w:tc>
        <w:tc>
          <w:tcPr>
            <w:tcW w:w="68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Qui peut m’aider en amont (fournisseurs, appui technique, financement) et en aval (acheteurs, transformateurs, coopérative, transporteurs) ? Que m’apporte chaque partenaire ?</w:t>
            </w:r>
          </w:p>
        </w:tc>
        <w:tc>
          <w:tcPr>
            <w:tcW w:w="111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39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Structure de coûts</w:t>
            </w:r>
          </w:p>
        </w:tc>
        <w:tc>
          <w:tcPr>
            <w:tcW w:w="684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Quelles sont mes charges fixes ? Mes charges variables ? Quel est mon principal poste de coût ? Où puis-je réduire un coût sans dégrader ma proposition de valeur ?</w:t>
            </w:r>
          </w:p>
        </w:tc>
        <w:tc>
          <w:tcPr>
            <w:tcW w:w="1114"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bl>
    <w:p>
      <w:pPr>
        <w:pStyle w:val="BodyText"/>
        <w:rPr/>
      </w:pPr>
      <w:bookmarkStart w:id="92" w:name="étude-de-cas"/>
      <w:r>
        <w:rPr/>
        <w:t>Conseil d’utilisation : remplissez d’abord les blocs de droite (client, proposition de valeur, canaux, relation client), qui orientent la réflexion sur le marché, puis les blocs de gauche (ressources, activités, partenaires), et terminez par les deux blocs financiers du bas, qui doivent rester cohérents avec l’ensemble des choix précédents. Révisez ce canevas au moins une fois par saison ou par campagne, en confrontant vos hypothèses de départ à ce que vous avez réellement observé sur le terrain.</w:t>
      </w:r>
      <w:bookmarkEnd w:id="92"/>
    </w:p>
    <w:p>
      <w:pPr>
        <w:pStyle w:val="Heading2"/>
        <w:rPr/>
      </w:pPr>
      <w:bookmarkStart w:id="93" w:name="__RefHeading___Toc4610_3877972828"/>
      <w:bookmarkStart w:id="94" w:name="points-clés-à-retenir"/>
      <w:bookmarkEnd w:id="93"/>
      <w:r>
        <w:rPr/>
        <w:t>Points clés à retenir</w:t>
      </w:r>
    </w:p>
    <w:p>
      <w:pPr>
        <w:pStyle w:val="Compact"/>
        <w:numPr>
          <w:ilvl w:val="0"/>
          <w:numId w:val="13"/>
        </w:numPr>
        <w:rPr/>
      </w:pPr>
      <w:r>
        <w:rPr/>
        <w:t>Un modèle d’entreprise formalisé permet de clarifier, avant de se lancer ou de se développer, comment l’activité crée, délivre et capture réellement de la valeur.</w:t>
      </w:r>
    </w:p>
    <w:p>
      <w:pPr>
        <w:pStyle w:val="Compact"/>
        <w:numPr>
          <w:ilvl w:val="0"/>
          <w:numId w:val="14"/>
        </w:numPr>
        <w:rPr/>
      </w:pPr>
      <w:r>
        <w:rPr/>
        <w:t>Le Business Model Canvas organise cette réflexion en neuf blocs interdépendants, qu’il convient de garder cohérents entre eux.</w:t>
      </w:r>
    </w:p>
    <w:p>
      <w:pPr>
        <w:pStyle w:val="Compact"/>
        <w:numPr>
          <w:ilvl w:val="0"/>
          <w:numId w:val="15"/>
        </w:numPr>
        <w:rPr/>
      </w:pPr>
      <w:r>
        <w:rPr/>
        <w:t>L’agriculture présente des spécificités (saisonnalité, périssabilité, aléas climatiques, ancrage communautaire) qui doivent être intégrées explicitement dans le canevas.</w:t>
      </w:r>
    </w:p>
    <w:p>
      <w:pPr>
        <w:pStyle w:val="Compact"/>
        <w:numPr>
          <w:ilvl w:val="0"/>
          <w:numId w:val="16"/>
        </w:numPr>
        <w:rPr/>
      </w:pPr>
      <w:r>
        <w:rPr/>
        <w:t>Une proposition de valeur agricole solide dépasse le seul produit : qualité, régularité, mode de production, traçabilité et service comptent souvent autant que le produit lui-même.</w:t>
      </w:r>
    </w:p>
    <w:p>
      <w:pPr>
        <w:pStyle w:val="Compact"/>
        <w:numPr>
          <w:ilvl w:val="0"/>
          <w:numId w:val="17"/>
        </w:numPr>
        <w:rPr/>
      </w:pPr>
      <w:r>
        <w:rPr/>
        <w:t>Il vaut mieux cibler consciemment un ou deux segments de clientèle prioritaires que de disperser ses efforts sur tous les débouchés possibles.</w:t>
      </w:r>
    </w:p>
    <w:p>
      <w:pPr>
        <w:pStyle w:val="Compact"/>
        <w:numPr>
          <w:ilvl w:val="0"/>
          <w:numId w:val="18"/>
        </w:numPr>
        <w:rPr/>
      </w:pPr>
      <w:r>
        <w:rPr/>
        <w:t>Le choix des canaux de distribution (vente directe, marché, coopérative, contrat institutionnel, export) détermine à la fois les coûts logistiques et le niveau de contrôle sur la relation client.</w:t>
      </w:r>
    </w:p>
    <w:p>
      <w:pPr>
        <w:pStyle w:val="Compact"/>
        <w:numPr>
          <w:ilvl w:val="0"/>
          <w:numId w:val="19"/>
        </w:numPr>
        <w:rPr/>
      </w:pPr>
      <w:r>
        <w:rPr/>
        <w:t>Distinguer charges fixes et charges variables est indispensable pour connaître son véritable prix de revient et son seuil de rentabilité.</w:t>
      </w:r>
    </w:p>
    <w:p>
      <w:pPr>
        <w:pStyle w:val="Compact"/>
        <w:numPr>
          <w:ilvl w:val="0"/>
          <w:numId w:val="20"/>
        </w:numPr>
        <w:rPr/>
      </w:pPr>
      <w:r>
        <w:rPr/>
        <w:t>Diversifier prudemment les sources de revenus renforce la résilience de l’entreprise face aux aléas climatiques, sanitaires et de marché.</w:t>
      </w:r>
    </w:p>
    <w:p>
      <w:pPr>
        <w:pStyle w:val="Compact"/>
        <w:numPr>
          <w:ilvl w:val="0"/>
          <w:numId w:val="21"/>
        </w:numPr>
        <w:rPr/>
      </w:pPr>
      <w:r>
        <w:rPr/>
        <w:t>Les partenariats clés (fournisseurs, appui technique, financeurs, coopératives, acheteurs) permettent souvent de dépasser les limites des seules ressources propres de l’entrepreneur.</w:t>
      </w:r>
    </w:p>
    <w:p>
      <w:pPr>
        <w:pStyle w:val="Compact"/>
        <w:numPr>
          <w:ilvl w:val="0"/>
          <w:numId w:val="22"/>
        </w:numPr>
        <w:rPr/>
      </w:pPr>
      <w:bookmarkStart w:id="95" w:name="outils-pratiques"/>
      <w:r>
        <w:rPr/>
        <w:t>Le modèle d’affaires n’est jamais définitif : il doit être révisé régulièrement à la lumière de l’expérience et des évolutions du marché.</w:t>
      </w:r>
      <w:bookmarkEnd w:id="95"/>
    </w:p>
    <w:p>
      <w:pPr>
        <w:pStyle w:val="Heading2"/>
        <w:rPr/>
      </w:pPr>
      <w:bookmarkStart w:id="96" w:name="__RefHeading___Toc4612_3877972828"/>
      <w:bookmarkStart w:id="97" w:name="mode-dévaluation-devoir"/>
      <w:bookmarkEnd w:id="96"/>
      <w:r>
        <w:rPr/>
        <w:t>Mode d’évaluation : Devoir</w:t>
      </w:r>
    </w:p>
    <w:p>
      <w:pPr>
        <w:pStyle w:val="FirstParagraph"/>
        <w:rPr/>
      </w:pPr>
      <w:r>
        <w:rPr>
          <w:b/>
          <w:bCs/>
        </w:rPr>
        <w:t>Consignes du devoir.</w:t>
      </w:r>
      <w:r>
        <w:rPr/>
        <w:t xml:space="preserve"> Vous êtes invité(e) à construire le Business Model Canvas complet de votre propre activité agricole, ou d’un projet agricole que vous souhaitez lancer prochainement. À l’aide du gabarit fourni dans la section « Outils pratiques », renseignez de manière argumentée les neuf blocs du canevas : segments de clientèle, proposition de valeur, canaux, relation client, sources de revenus, ressources clés, activités clés, partenaires clés et structure de coûts. Pour chaque bloc, ne vous contentez pas d’une liste de mots-clés : rédigez quelques phrases expliquant vos choix et, lorsque c’est pertinent, appuyez-vous sur des éléments concrets observés sur votre terrain (un client identifié, un partenaire déjà en contact, un coût réellement engagé lors d’une précédente campagne). Le livrable attendu se présente sous la forme d’un document d’une à trois pages, structuré selon les neuf blocs du canevas (sous forme de tableau ou de sections numérotées), accompagné d’un court paragraphe de conclusion dans lequel vous identifiez le bloc qui vous semble aujourd’hui le plus fragile dans votre modèle d’affaires et une première piste concrète pour le renforcer.</w:t>
      </w:r>
      <w:bookmarkEnd w:id="94"/>
    </w:p>
    <w:p>
      <w:pPr>
        <w:pStyle w:val="Heading2"/>
        <w:rPr/>
      </w:pPr>
      <w:bookmarkStart w:id="98" w:name="__RefHeading___Toc4614_3877972828"/>
      <w:bookmarkStart w:id="99" w:name="pour-aller-plus-loin"/>
      <w:bookmarkEnd w:id="98"/>
      <w:r>
        <w:rPr/>
        <w:t>Pour aller plus loin</w:t>
      </w:r>
    </w:p>
    <w:p>
      <w:pPr>
        <w:pStyle w:val="Compact"/>
        <w:numPr>
          <w:ilvl w:val="0"/>
          <w:numId w:val="4"/>
        </w:numPr>
        <w:rPr/>
      </w:pPr>
      <w:r>
        <w:rPr/>
        <w:t>Approfondir la lecture sur les différentes variantes et adaptations du Business Model Canvas appliquées spécifiquement aux organisations à vocation sociale ou environnementale, pour explorer comment intégrer des dimensions d’impact social ou écologique dans le modèle d’affaires.</w:t>
      </w:r>
    </w:p>
    <w:p>
      <w:pPr>
        <w:pStyle w:val="Compact"/>
        <w:numPr>
          <w:ilvl w:val="0"/>
          <w:numId w:val="4"/>
        </w:numPr>
        <w:rPr/>
      </w:pPr>
      <w:r>
        <w:rPr/>
        <w:t>Échanger avec d’autres agroentrepreneurs de sa région, dans le cadre d’un groupement, d’une coopérative ou d’un réseau professionnel, pour comparer les modèles d’affaires adoptés dans des activités similaires et en tirer des enseignements transposables.</w:t>
      </w:r>
    </w:p>
    <w:p>
      <w:pPr>
        <w:pStyle w:val="Compact"/>
        <w:numPr>
          <w:ilvl w:val="0"/>
          <w:numId w:val="4"/>
        </w:numPr>
        <w:rPr/>
      </w:pPr>
      <w:r>
        <w:rPr/>
        <w:t>Se rapprocher des structures locales d’appui à l’entrepreneuriat agricole (incubateurs, services de vulgarisation, chambres d’agriculture, organisations non gouvernementales actives sur les chaînes de valeur agricoles) pour bénéficier d’un accompagnement personnalisé dans la construction et le test de son modèle d’affaires.</w:t>
      </w:r>
    </w:p>
    <w:p>
      <w:pPr>
        <w:pStyle w:val="Compact"/>
        <w:numPr>
          <w:ilvl w:val="0"/>
          <w:numId w:val="4"/>
        </w:numPr>
        <w:rPr/>
      </w:pPr>
      <w:r>
        <w:rPr/>
        <w:t>Pratiquer régulièrement l’exercice de révision du canevas, par exemple à chaque fin de campagne agricole, en notant systématiquement les écarts entre les hypothèses de départ et la réalité constatée.</w:t>
      </w:r>
    </w:p>
    <w:p>
      <w:pPr>
        <w:pStyle w:val="Compact"/>
        <w:numPr>
          <w:ilvl w:val="0"/>
          <w:numId w:val="4"/>
        </w:numPr>
        <w:rPr/>
      </w:pPr>
      <w:bookmarkStart w:id="100" w:name="mode-dévaluation-devoir"/>
      <w:r>
        <w:rPr/>
        <w:t>Explorer les modules suivants du programme consacrés au financement, à la gestion financière et à la commercialisation, qui permettront d’approfondir chacun des blocs financiers et commerciaux du canevas abordés dans ce module.</w:t>
      </w:r>
      <w:bookmarkEnd w:id="100"/>
    </w:p>
    <w:p>
      <w:pPr>
        <w:pStyle w:val="Heading2"/>
        <w:rPr/>
      </w:pPr>
      <w:bookmarkStart w:id="101" w:name="__RefHeading___Toc4616_3877972828"/>
      <w:bookmarkStart w:id="102" w:name="glossaire"/>
      <w:bookmarkEnd w:id="101"/>
      <w:r>
        <w:rPr/>
        <w:t>Glossaire</w:t>
      </w:r>
    </w:p>
    <w:p>
      <w:pPr>
        <w:pStyle w:val="Compact"/>
        <w:numPr>
          <w:ilvl w:val="0"/>
          <w:numId w:val="23"/>
        </w:numPr>
        <w:rPr/>
      </w:pPr>
      <w:r>
        <w:rPr>
          <w:b/>
          <w:bCs/>
        </w:rPr>
        <w:t>Business Model Canvas (canevas de modèle d’affaires)</w:t>
      </w:r>
      <w:r>
        <w:rPr/>
        <w:t xml:space="preserve"> : outil visuel structurant un modèle d’entreprise en neuf blocs interdépendants, permettant de le représenter et de le questionner sur une seule page.</w:t>
      </w:r>
    </w:p>
    <w:p>
      <w:pPr>
        <w:pStyle w:val="Compact"/>
        <w:numPr>
          <w:ilvl w:val="0"/>
          <w:numId w:val="24"/>
        </w:numPr>
        <w:rPr/>
      </w:pPr>
      <w:r>
        <w:rPr>
          <w:b/>
          <w:bCs/>
        </w:rPr>
        <w:t>Proposition de valeur</w:t>
      </w:r>
      <w:r>
        <w:rPr/>
        <w:t xml:space="preserve"> : ensemble des bénéfices qu’une offre apporte à un segment de clientèle donné, et qui justifie que ce client la préfère à une autre solution ou à l’absence de solution.</w:t>
      </w:r>
    </w:p>
    <w:p>
      <w:pPr>
        <w:pStyle w:val="Compact"/>
        <w:numPr>
          <w:ilvl w:val="0"/>
          <w:numId w:val="25"/>
        </w:numPr>
        <w:rPr/>
      </w:pPr>
      <w:r>
        <w:rPr>
          <w:b/>
          <w:bCs/>
        </w:rPr>
        <w:t>Segment de clientèle</w:t>
      </w:r>
      <w:r>
        <w:rPr/>
        <w:t xml:space="preserve"> : groupe de clients partageant des besoins, des comportements d’achat et une capacité de paiement suffisamment proches pour justifier une offre commune.</w:t>
      </w:r>
    </w:p>
    <w:p>
      <w:pPr>
        <w:pStyle w:val="Compact"/>
        <w:numPr>
          <w:ilvl w:val="0"/>
          <w:numId w:val="26"/>
        </w:numPr>
        <w:rPr/>
      </w:pPr>
      <w:r>
        <w:rPr>
          <w:b/>
          <w:bCs/>
        </w:rPr>
        <w:t>Canal de distribution</w:t>
      </w:r>
      <w:r>
        <w:rPr/>
        <w:t xml:space="preserve"> : moyen par lequel une offre est communiquée, vendue et livrée à un segment de clientèle.</w:t>
      </w:r>
    </w:p>
    <w:p>
      <w:pPr>
        <w:pStyle w:val="Compact"/>
        <w:numPr>
          <w:ilvl w:val="0"/>
          <w:numId w:val="27"/>
        </w:numPr>
        <w:rPr/>
      </w:pPr>
      <w:r>
        <w:rPr>
          <w:b/>
          <w:bCs/>
        </w:rPr>
        <w:t>Relation client</w:t>
      </w:r>
      <w:r>
        <w:rPr/>
        <w:t xml:space="preserve"> : type de lien qu’une entreprise établit et entretient avec chacun de ses segments de clientèle (ponctuel, fidélisé, contractuel).</w:t>
      </w:r>
    </w:p>
    <w:p>
      <w:pPr>
        <w:pStyle w:val="Compact"/>
        <w:numPr>
          <w:ilvl w:val="0"/>
          <w:numId w:val="28"/>
        </w:numPr>
        <w:rPr/>
      </w:pPr>
      <w:r>
        <w:rPr>
          <w:b/>
          <w:bCs/>
        </w:rPr>
        <w:t>Sources de revenus</w:t>
      </w:r>
      <w:r>
        <w:rPr/>
        <w:t xml:space="preserve"> : flux financiers générés par la vente d’une offre à un segment de clientèle, selon un mécanisme de tarification donné (comptant, crédit, abonnement, contrat).</w:t>
      </w:r>
    </w:p>
    <w:p>
      <w:pPr>
        <w:pStyle w:val="Compact"/>
        <w:numPr>
          <w:ilvl w:val="0"/>
          <w:numId w:val="29"/>
        </w:numPr>
        <w:rPr/>
      </w:pPr>
      <w:r>
        <w:rPr>
          <w:b/>
          <w:bCs/>
        </w:rPr>
        <w:t>Ressources clés</w:t>
      </w:r>
      <w:r>
        <w:rPr/>
        <w:t xml:space="preserve"> : actifs matériels, humains, financiers ou informationnels indispensables au fonctionnement du modèle d’affaires.</w:t>
      </w:r>
    </w:p>
    <w:p>
      <w:pPr>
        <w:pStyle w:val="Compact"/>
        <w:numPr>
          <w:ilvl w:val="0"/>
          <w:numId w:val="30"/>
        </w:numPr>
        <w:rPr/>
      </w:pPr>
      <w:r>
        <w:rPr>
          <w:b/>
          <w:bCs/>
        </w:rPr>
        <w:t>Activités clés</w:t>
      </w:r>
      <w:r>
        <w:rPr/>
        <w:t xml:space="preserve"> : opérations essentielles qu’une entreprise doit réaliser, et généralement bien maîtriser, pour que sa proposition de valeur tienne ses promesses.</w:t>
      </w:r>
    </w:p>
    <w:p>
      <w:pPr>
        <w:pStyle w:val="Compact"/>
        <w:numPr>
          <w:ilvl w:val="0"/>
          <w:numId w:val="31"/>
        </w:numPr>
        <w:rPr/>
      </w:pPr>
      <w:r>
        <w:rPr>
          <w:b/>
          <w:bCs/>
        </w:rPr>
        <w:t>Partenaires clés</w:t>
      </w:r>
      <w:r>
        <w:rPr/>
        <w:t xml:space="preserve"> : réseau de fournisseurs, prestataires, institutions ou organisations dont la collaboration renforce ou complète les ressources et activités propres de l’entreprise.</w:t>
      </w:r>
    </w:p>
    <w:p>
      <w:pPr>
        <w:pStyle w:val="Compact"/>
        <w:numPr>
          <w:ilvl w:val="0"/>
          <w:numId w:val="32"/>
        </w:numPr>
        <w:rPr/>
      </w:pPr>
      <w:r>
        <w:rPr>
          <w:b/>
          <w:bCs/>
        </w:rPr>
        <w:t>Structure de coûts</w:t>
      </w:r>
      <w:r>
        <w:rPr/>
        <w:t xml:space="preserve"> : ensemble des charges, fixes et variables, supportées par l’entreprise pour produire et délivrer son offre.</w:t>
      </w:r>
    </w:p>
    <w:p>
      <w:pPr>
        <w:pStyle w:val="Compact"/>
        <w:numPr>
          <w:ilvl w:val="0"/>
          <w:numId w:val="33"/>
        </w:numPr>
        <w:rPr/>
      </w:pPr>
      <w:r>
        <w:rPr>
          <w:b/>
          <w:bCs/>
        </w:rPr>
        <w:t>Charge fixe</w:t>
      </w:r>
      <w:r>
        <w:rPr/>
        <w:t xml:space="preserve"> : coût qui ne varie pas directement avec le volume de production (location, salaire permanent, remboursement d’emprunt).</w:t>
      </w:r>
    </w:p>
    <w:p>
      <w:pPr>
        <w:pStyle w:val="Compact"/>
        <w:numPr>
          <w:ilvl w:val="0"/>
          <w:numId w:val="34"/>
        </w:numPr>
        <w:rPr/>
      </w:pPr>
      <w:r>
        <w:rPr>
          <w:b/>
          <w:bCs/>
        </w:rPr>
        <w:t>Charge variable</w:t>
      </w:r>
      <w:r>
        <w:rPr/>
        <w:t xml:space="preserve"> : coût qui évolue proportionnellement au volume de production (intrants, main-d’œuvre saisonnière, emballages).</w:t>
      </w:r>
    </w:p>
    <w:p>
      <w:pPr>
        <w:pStyle w:val="Compact"/>
        <w:numPr>
          <w:ilvl w:val="0"/>
          <w:numId w:val="35"/>
        </w:numPr>
        <w:spacing w:before="36" w:after="36"/>
        <w:rPr/>
      </w:pPr>
      <w:r>
        <w:rPr>
          <w:b/>
          <w:bCs/>
        </w:rPr>
        <w:t>Seuil de rentabilité</w:t>
      </w:r>
      <w:r>
        <w:rPr/>
        <w:t xml:space="preserve"> : niveau de production et de vente à partir duquel les revenus couvrent l’ensemble des charges fixes et variables engagées.</w:t>
      </w:r>
      <w:bookmarkEnd w:id="99"/>
      <w:bookmarkEnd w:id="10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1"/>
    <w:lvlOverride w:ilvl="0">
      <w:startOverride w:val="1"/>
    </w:lvlOverride>
  </w:num>
  <w:num w:numId="9">
    <w:abstractNumId w:val="1"/>
  </w:num>
  <w:num w:numId="10">
    <w:abstractNumId w:val="1"/>
  </w:num>
  <w:num w:numId="11">
    <w:abstractNumId w:val="1"/>
  </w:num>
  <w:num w:numId="12">
    <w:abstractNumId w:val="1"/>
  </w:num>
  <w:num w:numId="13">
    <w:abstractNumId w:val="1"/>
    <w:lvlOverride w:ilvl="0">
      <w:startOverride w:val="1"/>
    </w:lvlOverride>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 w:numId="35">
    <w:abstractNumId w:val="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76" w:before="0" w:after="160"/>
      <w:jc w:val="left"/>
    </w:pPr>
    <w:rPr>
      <w:rFonts w:ascii="Calibri" w:hAnsi="Calibri" w:eastAsia="Cambria" w:cs=""/>
      <w:color w:val="222222"/>
      <w:kern w:val="0"/>
      <w:sz w:val="22"/>
      <w:szCs w:val="24"/>
      <w:lang w:val="en-US" w:eastAsia="en-US" w:bidi="ar-SA"/>
    </w:rPr>
  </w:style>
  <w:style w:type="paragraph" w:styleId="Heading1">
    <w:name w:val="Heading 1"/>
    <w:basedOn w:val="Normal"/>
    <w:next w:val="BodyText"/>
    <w:uiPriority w:val="9"/>
    <w:qFormat/>
    <w:pPr>
      <w:keepNext w:val="true"/>
      <w:keepLines/>
      <w:spacing w:before="400" w:after="200"/>
      <w:outlineLvl w:val="0"/>
    </w:pPr>
    <w:rPr>
      <w:rFonts w:ascii="Calibri" w:hAnsi="Calibri" w:eastAsia="" w:cs="" w:asciiTheme="majorHAnsi" w:cstheme="majorBidi" w:eastAsiaTheme="majorEastAsia" w:hAnsiTheme="majorHAnsi"/>
      <w:b/>
      <w:bCs/>
      <w:color w:val="2E7D32"/>
      <w:sz w:val="36"/>
      <w:szCs w:val="32"/>
    </w:rPr>
  </w:style>
  <w:style w:type="paragraph" w:styleId="Heading2">
    <w:name w:val="Heading 2"/>
    <w:basedOn w:val="Normal"/>
    <w:next w:val="BodyText"/>
    <w:uiPriority w:val="9"/>
    <w:unhideWhenUsed/>
    <w:qFormat/>
    <w:pPr>
      <w:keepNext w:val="true"/>
      <w:keepLines/>
      <w:spacing w:before="320" w:after="160"/>
      <w:outlineLvl w:val="1"/>
    </w:pPr>
    <w:rPr>
      <w:rFonts w:ascii="Calibri" w:hAnsi="Calibri" w:eastAsia="" w:cs="" w:asciiTheme="majorHAnsi" w:cstheme="majorBidi" w:eastAsiaTheme="majorEastAsia" w:hAnsiTheme="majorHAnsi"/>
      <w:b/>
      <w:bCs/>
      <w:color w:val="1B5E20"/>
      <w:sz w:val="28"/>
      <w:szCs w:val="28"/>
    </w:rPr>
  </w:style>
  <w:style w:type="paragraph" w:styleId="Heading3">
    <w:name w:val="Heading 3"/>
    <w:basedOn w:val="Normal"/>
    <w:next w:val="BodyText"/>
    <w:uiPriority w:val="9"/>
    <w:unhideWhenUsed/>
    <w:qFormat/>
    <w:pPr>
      <w:keepNext w:val="true"/>
      <w:keepLines/>
      <w:spacing w:before="240" w:after="120"/>
      <w:outlineLvl w:val="2"/>
    </w:pPr>
    <w:rPr>
      <w:rFonts w:ascii="Calibri" w:hAnsi="Calibri" w:eastAsia="" w:cs="" w:asciiTheme="majorHAnsi" w:cstheme="majorBidi" w:eastAsiaTheme="majorEastAsia" w:hAnsiTheme="majorHAnsi"/>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360"/>
      <w:jc w:val="center"/>
    </w:pPr>
    <w:rPr>
      <w:rFonts w:ascii="Calibri" w:hAnsi="Calibri" w:eastAsia="" w:cs="" w:asciiTheme="majorHAnsi" w:cstheme="majorBidi" w:eastAsiaTheme="majorEastAsia" w:hAnsiTheme="majorHAnsi"/>
      <w:b/>
      <w:bCs/>
      <w:color w:val="1B5E20"/>
      <w:sz w:val="52"/>
      <w:szCs w:val="36"/>
    </w:rPr>
  </w:style>
  <w:style w:type="paragraph" w:styleId="Subtitle">
    <w:name w:val="Subtitle"/>
    <w:basedOn w:val="Title"/>
    <w:next w:val="BodyText"/>
    <w:qFormat/>
    <w:pPr>
      <w:keepNext w:val="true"/>
      <w:keepLines/>
      <w:spacing w:before="240" w:after="240"/>
      <w:jc w:val="center"/>
    </w:pPr>
    <w:rPr>
      <w:rFonts w:ascii="Calibri" w:hAnsi="Calibri"/>
      <w:i/>
      <w:color w:val="555555"/>
      <w:sz w:val="26"/>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0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20</Pages>
  <Words>8055</Words>
  <Characters>46580</Characters>
  <CharactersWithSpaces>54405</CharactersWithSpaces>
  <Paragraphs>225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2017-12-27T05:22:50Z</dcterms:created>
  <dc:creator>Author</dc:creator>
  <dc:description/>
  <dc:language>en-US</dc:language>
  <cp:lastModifiedBy/>
  <dcterms:modified xsi:type="dcterms:W3CDTF">2026-09-03T17:18:03Z</dcterms:modified>
  <cp:revision>1</cp:revision>
  <dc:subject/>
  <dc:title>Title</dc:title>
</cp:coreProperties>
</file>

<file path=docProps/custom.xml><?xml version="1.0" encoding="utf-8"?>
<Properties xmlns="http://schemas.openxmlformats.org/officeDocument/2006/custom-properties" xmlns:vt="http://schemas.openxmlformats.org/officeDocument/2006/docPropsVTypes"/>
</file>