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
    </w:p>
    <w:p>
      <w:pPr>
        <w:pStyle w:val="Normal"/>
        <w:jc w:val="center"/>
        <w:rPr/>
      </w:pPr>
      <w:r>
        <w:rPr/>
        <w:drawing>
          <wp:inline distT="0" distB="0" distL="0" distR="0">
            <wp:extent cx="1188720" cy="118872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188720" cy="1188720"/>
                    </a:xfrm>
                    <a:prstGeom prst="rect">
                      <a:avLst/>
                    </a:prstGeom>
                  </pic:spPr>
                </pic:pic>
              </a:graphicData>
            </a:graphic>
          </wp:inline>
        </w:drawing>
      </w:r>
    </w:p>
    <w:p>
      <w:pPr>
        <w:pStyle w:val="Normal"/>
        <w:spacing w:before="0" w:after="160"/>
        <w:jc w:val="center"/>
        <w:rPr/>
      </w:pPr>
      <w:r>
        <w:rPr/>
      </w:r>
    </w:p>
    <w:p>
      <w:pPr>
        <w:pStyle w:val="Normal"/>
        <w:spacing w:before="0" w:after="60"/>
        <w:jc w:val="center"/>
        <w:rPr/>
      </w:pPr>
      <w:r>
        <w:rPr>
          <w:b/>
          <w:i w:val="false"/>
          <w:color w:val="666666"/>
          <w:sz w:val="21"/>
        </w:rPr>
        <w:t>PROGRAMME DE FORMATION</w:t>
      </w:r>
    </w:p>
    <w:p>
      <w:pPr>
        <w:pStyle w:val="Normal"/>
        <w:spacing w:before="0" w:after="280"/>
        <w:jc w:val="center"/>
        <w:rPr/>
      </w:pPr>
      <w:r>
        <w:rPr>
          <w:b w:val="false"/>
          <w:i/>
          <w:color w:val="666666"/>
          <w:sz w:val="24"/>
        </w:rPr>
        <w:t>Entrepreneuriat Agricole pour le développement de chaînes de valeur agricoles durables (CVAD)</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color="auto" w:fill="1B5E20" w:val="clear"/>
          </w:tcPr>
          <w:p>
            <w:pPr>
              <w:pStyle w:val="Normal"/>
              <w:spacing w:before="80" w:after="80"/>
              <w:jc w:val="center"/>
              <w:rPr/>
            </w:pPr>
            <w:r>
              <w:rPr>
                <w:b/>
                <w:color w:val="FFFFFF"/>
                <w:sz w:val="28"/>
              </w:rPr>
              <w:t>MODULE 6</w:t>
            </w:r>
          </w:p>
        </w:tc>
      </w:tr>
    </w:tbl>
    <w:p>
      <w:pPr>
        <w:pStyle w:val="Normal"/>
        <w:spacing w:before="0" w:after="160"/>
        <w:jc w:val="center"/>
        <w:rPr/>
      </w:pPr>
      <w:r>
        <w:rPr/>
      </w:r>
    </w:p>
    <w:p>
      <w:pPr>
        <w:pStyle w:val="Normal"/>
        <w:spacing w:before="0" w:after="280"/>
        <w:jc w:val="center"/>
        <w:rPr/>
      </w:pPr>
      <w:r>
        <w:rPr>
          <w:b/>
          <w:i w:val="false"/>
          <w:color w:val="1B5E20"/>
          <w:sz w:val="42"/>
        </w:rPr>
        <w:t>Accès aux marchés, commercialisation et partenariats dans les CVAD</w:t>
      </w:r>
    </w:p>
    <w:p>
      <w:pPr>
        <w:pStyle w:val="Normal"/>
        <w:jc w:val="center"/>
        <w:rPr/>
      </w:pPr>
      <w:r>
        <w:rPr/>
        <w:drawing>
          <wp:inline distT="0" distB="0" distL="0" distR="0">
            <wp:extent cx="3931920" cy="200279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3931920" cy="2002790"/>
                    </a:xfrm>
                    <a:prstGeom prst="rect">
                      <a:avLst/>
                    </a:prstGeom>
                  </pic:spPr>
                </pic:pic>
              </a:graphicData>
            </a:graphic>
          </wp:inline>
        </w:drawing>
      </w:r>
    </w:p>
    <w:p>
      <w:pPr>
        <w:pStyle w:val="Normal"/>
        <w:spacing w:before="120" w:after="360"/>
        <w:jc w:val="center"/>
        <w:rPr/>
      </w:pPr>
      <w:r>
        <w:rPr>
          <w:b w:val="false"/>
          <w:i/>
          <w:color w:val="666666"/>
          <w:sz w:val="20"/>
        </w:rPr>
        <w:t>S'appuyer sur l'information et les outils modernes pour accéder aux marchés</w:t>
      </w:r>
    </w:p>
    <w:p>
      <w:pPr>
        <w:pStyle w:val="Normal"/>
        <w:spacing w:before="0" w:after="160"/>
        <w:jc w:val="center"/>
        <w:rPr/>
      </w:pPr>
      <w:r>
        <w:rPr>
          <w:b w:val="false"/>
          <w:i w:val="false"/>
          <w:color w:val="666666"/>
          <w:sz w:val="22"/>
        </w:rPr>
        <w:t>—</w:t>
      </w:r>
    </w:p>
    <w:p>
      <w:pPr>
        <w:pStyle w:val="Normal"/>
        <w:spacing w:before="0" w:after="40"/>
        <w:jc w:val="center"/>
        <w:rPr/>
      </w:pPr>
      <w:r>
        <w:rPr>
          <w:b/>
          <w:i w:val="false"/>
          <w:color w:val="2E7D32"/>
          <w:sz w:val="24"/>
        </w:rPr>
        <w:t>AGRO ECO CONSULTING</w:t>
      </w:r>
    </w:p>
    <w:p>
      <w:pPr>
        <w:pStyle w:val="Normal"/>
        <w:spacing w:before="0" w:after="40"/>
        <w:jc w:val="center"/>
        <w:rPr/>
      </w:pPr>
      <w:r>
        <w:rPr>
          <w:b w:val="false"/>
          <w:i/>
          <w:color w:val="666666"/>
          <w:sz w:val="20"/>
        </w:rPr>
        <w:t>Expertise Agro &amp; Environnement</w:t>
      </w:r>
    </w:p>
    <w:p>
      <w:pPr>
        <w:pStyle w:val="Normal"/>
        <w:spacing w:before="0" w:after="0"/>
        <w:jc w:val="center"/>
        <w:rPr/>
      </w:pPr>
      <w:r>
        <w:rPr>
          <w:b w:val="false"/>
          <w:i w:val="false"/>
          <w:color w:val="666666"/>
          <w:sz w:val="19"/>
        </w:rPr>
        <w:t>agroecoconsulting.com</w:t>
      </w:r>
    </w:p>
    <w:p>
      <w:pPr>
        <w:pStyle w:val="Normal"/>
        <w:rPr/>
      </w:pPr>
      <w:r>
        <w:rPr/>
      </w:r>
      <w:r>
        <w:br w:type="page"/>
      </w:r>
    </w:p>
    <w:p>
      <w:pPr>
        <w:pStyle w:val="Heading1"/>
        <w:spacing w:before="0" w:after="200"/>
        <w:jc w:val="left"/>
        <w:rPr/>
      </w:pPr>
      <w:bookmarkStart w:id="0" w:name="__RefHeading___Toc5206_3877972828"/>
      <w:bookmarkEnd w:id="0"/>
      <w:r>
        <w:rPr/>
        <w:t>Sommaire</w:t>
      </w:r>
    </w:p>
    <w:p>
      <w:pPr>
        <w:pStyle w:val="Normal"/>
        <w:jc w:val="left"/>
        <w:rPr/>
      </w:pPr>
      <w:r>
        <w:rPr>
          <w:i/>
          <w:color w:val="666666"/>
          <w:sz w:val="19"/>
        </w:rPr>
        <w:t>(Sommaire généré automatiquement à partir des titres du document. Dans Word : clic droit sur le sommaire ci-dessous puis « Mettre à jour les champs » si les numéros de page ne s'affichent pas encore.)</w:t>
      </w:r>
    </w:p>
    <w:sdt>
      <w:sdtPr>
        <w:docPartObj>
          <w:docPartGallery w:val="Table of Contents"/>
          <w:docPartUnique w:val="true"/>
        </w:docPartObj>
      </w:sdtPr>
      <w:sdtContent>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5206_3877972828">
            <w:r>
              <w:rPr>
                <w:webHidden/>
                <w:rStyle w:val="IndexLink"/>
              </w:rPr>
              <w:t>Sommaire</w:t>
              <w:tab/>
              <w:t>2</w:t>
            </w:r>
          </w:hyperlink>
        </w:p>
        <w:p>
          <w:pPr>
            <w:pStyle w:val="TOC1"/>
            <w:tabs>
              <w:tab w:val="clear" w:pos="9360"/>
              <w:tab w:val="right" w:pos="9359" w:leader="dot"/>
            </w:tabs>
            <w:rPr/>
          </w:pPr>
          <w:hyperlink w:anchor="__RefHeading___Toc5208_3877972828">
            <w:r>
              <w:rPr>
                <w:webHidden/>
                <w:rStyle w:val="IndexLink"/>
              </w:rPr>
              <w:t>Module 6 — Accès aux marchés, commercialisation et partenariats dans les CVAD</w:t>
              <w:tab/>
              <w:t>4</w:t>
            </w:r>
          </w:hyperlink>
        </w:p>
        <w:p>
          <w:pPr>
            <w:pStyle w:val="TOC2"/>
            <w:tabs>
              <w:tab w:val="clear" w:pos="9077"/>
              <w:tab w:val="right" w:pos="9359" w:leader="dot"/>
            </w:tabs>
            <w:rPr/>
          </w:pPr>
          <w:hyperlink w:anchor="__RefHeading___Toc5210_3877972828">
            <w:r>
              <w:rPr>
                <w:webHidden/>
                <w:rStyle w:val="IndexLink"/>
              </w:rPr>
              <w:t>Introduction</w:t>
              <w:tab/>
              <w:t>4</w:t>
            </w:r>
          </w:hyperlink>
        </w:p>
        <w:p>
          <w:pPr>
            <w:pStyle w:val="TOC2"/>
            <w:tabs>
              <w:tab w:val="clear" w:pos="9077"/>
              <w:tab w:val="right" w:pos="9359" w:leader="dot"/>
            </w:tabs>
            <w:rPr/>
          </w:pPr>
          <w:hyperlink w:anchor="__RefHeading___Toc5212_3877972828">
            <w:r>
              <w:rPr>
                <w:webHidden/>
                <w:rStyle w:val="IndexLink"/>
              </w:rPr>
              <w:t>Objectifs pédagogiques</w:t>
              <w:tab/>
              <w:t>5</w:t>
            </w:r>
          </w:hyperlink>
        </w:p>
        <w:p>
          <w:pPr>
            <w:pStyle w:val="TOC2"/>
            <w:tabs>
              <w:tab w:val="clear" w:pos="9077"/>
              <w:tab w:val="right" w:pos="9359" w:leader="dot"/>
            </w:tabs>
            <w:rPr/>
          </w:pPr>
          <w:hyperlink w:anchor="__RefHeading___Toc5214_3877972828">
            <w:r>
              <w:rPr>
                <w:webHidden/>
                <w:rStyle w:val="IndexLink"/>
              </w:rPr>
              <w:t>Plan du module</w:t>
              <w:tab/>
              <w:t>5</w:t>
            </w:r>
          </w:hyperlink>
        </w:p>
        <w:p>
          <w:pPr>
            <w:pStyle w:val="TOC2"/>
            <w:tabs>
              <w:tab w:val="clear" w:pos="9077"/>
              <w:tab w:val="right" w:pos="9359" w:leader="dot"/>
            </w:tabs>
            <w:rPr/>
          </w:pPr>
          <w:hyperlink w:anchor="__RefHeading___Toc5216_3877972828">
            <w:r>
              <w:rPr>
                <w:webHidden/>
                <w:rStyle w:val="IndexLink"/>
              </w:rPr>
              <w:t>1. Comprendre et segmenter les marchés agricoles</w:t>
              <w:tab/>
              <w:t>5</w:t>
            </w:r>
          </w:hyperlink>
        </w:p>
        <w:p>
          <w:pPr>
            <w:pStyle w:val="TOC3"/>
            <w:tabs>
              <w:tab w:val="clear" w:pos="8793"/>
              <w:tab w:val="right" w:pos="9359" w:leader="dot"/>
            </w:tabs>
            <w:rPr/>
          </w:pPr>
          <w:hyperlink w:anchor="__RefHeading___Toc5218_3877972828">
            <w:r>
              <w:rPr>
                <w:webHidden/>
                <w:rStyle w:val="IndexLink"/>
              </w:rPr>
              <w:t>1.1 Pourquoi segmenter avant de vendre</w:t>
              <w:tab/>
              <w:t>5</w:t>
            </w:r>
          </w:hyperlink>
        </w:p>
        <w:p>
          <w:pPr>
            <w:pStyle w:val="TOC3"/>
            <w:tabs>
              <w:tab w:val="clear" w:pos="8793"/>
              <w:tab w:val="right" w:pos="9359" w:leader="dot"/>
            </w:tabs>
            <w:rPr/>
          </w:pPr>
          <w:hyperlink w:anchor="__RefHeading___Toc5220_3877972828">
            <w:r>
              <w:rPr>
                <w:webHidden/>
                <w:rStyle w:val="IndexLink"/>
              </w:rPr>
              <w:t>1.2 Les marchés locaux et de proximité</w:t>
              <w:tab/>
              <w:t>6</w:t>
            </w:r>
          </w:hyperlink>
        </w:p>
        <w:p>
          <w:pPr>
            <w:pStyle w:val="TOC3"/>
            <w:tabs>
              <w:tab w:val="clear" w:pos="8793"/>
              <w:tab w:val="right" w:pos="9359" w:leader="dot"/>
            </w:tabs>
            <w:rPr/>
          </w:pPr>
          <w:hyperlink w:anchor="__RefHeading___Toc5222_3877972828">
            <w:r>
              <w:rPr>
                <w:webHidden/>
                <w:rStyle w:val="IndexLink"/>
              </w:rPr>
              <w:t>1.3 Les marchés urbains et la restauration collective</w:t>
              <w:tab/>
              <w:t>7</w:t>
            </w:r>
          </w:hyperlink>
        </w:p>
        <w:p>
          <w:pPr>
            <w:pStyle w:val="TOC3"/>
            <w:tabs>
              <w:tab w:val="clear" w:pos="8793"/>
              <w:tab w:val="right" w:pos="9359" w:leader="dot"/>
            </w:tabs>
            <w:rPr/>
          </w:pPr>
          <w:hyperlink w:anchor="__RefHeading___Toc5224_3877972828">
            <w:r>
              <w:rPr>
                <w:webHidden/>
                <w:rStyle w:val="IndexLink"/>
              </w:rPr>
              <w:t>1.4 Les marchés institutionnels et l’exportation</w:t>
              <w:tab/>
              <w:t>7</w:t>
            </w:r>
          </w:hyperlink>
        </w:p>
        <w:p>
          <w:pPr>
            <w:pStyle w:val="TOC2"/>
            <w:tabs>
              <w:tab w:val="clear" w:pos="9077"/>
              <w:tab w:val="right" w:pos="9359" w:leader="dot"/>
            </w:tabs>
            <w:rPr/>
          </w:pPr>
          <w:hyperlink w:anchor="__RefHeading___Toc5226_3877972828">
            <w:r>
              <w:rPr>
                <w:webHidden/>
                <w:rStyle w:val="IndexLink"/>
              </w:rPr>
              <w:t>2. Bâtir une stratégie de commercialisation gagnante</w:t>
              <w:tab/>
              <w:t>8</w:t>
            </w:r>
          </w:hyperlink>
        </w:p>
        <w:p>
          <w:pPr>
            <w:pStyle w:val="TOC3"/>
            <w:tabs>
              <w:tab w:val="clear" w:pos="8793"/>
              <w:tab w:val="right" w:pos="9359" w:leader="dot"/>
            </w:tabs>
            <w:rPr/>
          </w:pPr>
          <w:hyperlink w:anchor="__RefHeading___Toc5228_3877972828">
            <w:r>
              <w:rPr>
                <w:webHidden/>
                <w:rStyle w:val="IndexLink"/>
              </w:rPr>
              <w:t>2.1 Fixer un prix rémunérateur et compétitif</w:t>
              <w:tab/>
              <w:t>8</w:t>
            </w:r>
          </w:hyperlink>
        </w:p>
        <w:p>
          <w:pPr>
            <w:pStyle w:val="TOC3"/>
            <w:tabs>
              <w:tab w:val="clear" w:pos="8793"/>
              <w:tab w:val="right" w:pos="9359" w:leader="dot"/>
            </w:tabs>
            <w:rPr/>
          </w:pPr>
          <w:hyperlink w:anchor="__RefHeading___Toc5230_3877972828">
            <w:r>
              <w:rPr>
                <w:webHidden/>
                <w:rStyle w:val="IndexLink"/>
              </w:rPr>
              <w:t>2.2 Différenciation, qualité et marque</w:t>
              <w:tab/>
              <w:t>8</w:t>
            </w:r>
          </w:hyperlink>
        </w:p>
        <w:p>
          <w:pPr>
            <w:pStyle w:val="TOC3"/>
            <w:tabs>
              <w:tab w:val="clear" w:pos="8793"/>
              <w:tab w:val="right" w:pos="9359" w:leader="dot"/>
            </w:tabs>
            <w:rPr/>
          </w:pPr>
          <w:hyperlink w:anchor="__RefHeading___Toc5232_3877972828">
            <w:r>
              <w:rPr>
                <w:webHidden/>
                <w:rStyle w:val="IndexLink"/>
              </w:rPr>
              <w:t>2.3 La vente groupée et le rôle des coopératives</w:t>
              <w:tab/>
              <w:t>9</w:t>
            </w:r>
          </w:hyperlink>
        </w:p>
        <w:p>
          <w:pPr>
            <w:pStyle w:val="TOC3"/>
            <w:tabs>
              <w:tab w:val="clear" w:pos="8793"/>
              <w:tab w:val="right" w:pos="9359" w:leader="dot"/>
            </w:tabs>
            <w:rPr/>
          </w:pPr>
          <w:hyperlink w:anchor="__RefHeading___Toc5234_3877972828">
            <w:r>
              <w:rPr>
                <w:webHidden/>
                <w:rStyle w:val="IndexLink"/>
              </w:rPr>
              <w:t>2.4 Adapter l’offre à la demande</w:t>
              <w:tab/>
              <w:t>9</w:t>
            </w:r>
          </w:hyperlink>
        </w:p>
        <w:p>
          <w:pPr>
            <w:pStyle w:val="TOC2"/>
            <w:tabs>
              <w:tab w:val="clear" w:pos="9077"/>
              <w:tab w:val="right" w:pos="9359" w:leader="dot"/>
            </w:tabs>
            <w:rPr/>
          </w:pPr>
          <w:hyperlink w:anchor="__RefHeading___Toc5236_3877972828">
            <w:r>
              <w:rPr>
                <w:webHidden/>
                <w:rStyle w:val="IndexLink"/>
              </w:rPr>
              <w:t>3. Organiser les canaux de distribution et la logistique</w:t>
              <w:tab/>
              <w:t>10</w:t>
            </w:r>
          </w:hyperlink>
        </w:p>
        <w:p>
          <w:pPr>
            <w:pStyle w:val="TOC3"/>
            <w:tabs>
              <w:tab w:val="clear" w:pos="8793"/>
              <w:tab w:val="right" w:pos="9359" w:leader="dot"/>
            </w:tabs>
            <w:rPr/>
          </w:pPr>
          <w:hyperlink w:anchor="__RefHeading___Toc5238_3877972828">
            <w:r>
              <w:rPr>
                <w:webHidden/>
                <w:rStyle w:val="IndexLink"/>
              </w:rPr>
              <w:t>3.1 Circuits courts et circuits longs</w:t>
              <w:tab/>
              <w:t>10</w:t>
            </w:r>
          </w:hyperlink>
        </w:p>
        <w:p>
          <w:pPr>
            <w:pStyle w:val="TOC3"/>
            <w:tabs>
              <w:tab w:val="clear" w:pos="8793"/>
              <w:tab w:val="right" w:pos="9359" w:leader="dot"/>
            </w:tabs>
            <w:rPr/>
          </w:pPr>
          <w:hyperlink w:anchor="__RefHeading___Toc5240_3877972828">
            <w:r>
              <w:rPr>
                <w:webHidden/>
                <w:rStyle w:val="IndexLink"/>
              </w:rPr>
              <w:t>3.2 Stockage et réduction des pertes post-récolte</w:t>
              <w:tab/>
              <w:t>10</w:t>
            </w:r>
          </w:hyperlink>
        </w:p>
        <w:p>
          <w:pPr>
            <w:pStyle w:val="TOC3"/>
            <w:tabs>
              <w:tab w:val="clear" w:pos="8793"/>
              <w:tab w:val="right" w:pos="9359" w:leader="dot"/>
            </w:tabs>
            <w:rPr/>
          </w:pPr>
          <w:hyperlink w:anchor="__RefHeading___Toc5242_3877972828">
            <w:r>
              <w:rPr>
                <w:webHidden/>
                <w:rStyle w:val="IndexLink"/>
              </w:rPr>
              <w:t>3.3 Transport et organisation logistique</w:t>
              <w:tab/>
              <w:t>11</w:t>
            </w:r>
          </w:hyperlink>
        </w:p>
        <w:p>
          <w:pPr>
            <w:pStyle w:val="TOC3"/>
            <w:tabs>
              <w:tab w:val="clear" w:pos="8793"/>
              <w:tab w:val="right" w:pos="9359" w:leader="dot"/>
            </w:tabs>
            <w:rPr/>
          </w:pPr>
          <w:hyperlink w:anchor="__RefHeading___Toc5244_3877972828">
            <w:r>
              <w:rPr>
                <w:webHidden/>
                <w:rStyle w:val="IndexLink"/>
              </w:rPr>
              <w:t>3.4 Emballage et conditionnement</w:t>
              <w:tab/>
              <w:t>11</w:t>
            </w:r>
          </w:hyperlink>
        </w:p>
        <w:p>
          <w:pPr>
            <w:pStyle w:val="TOC2"/>
            <w:tabs>
              <w:tab w:val="clear" w:pos="9077"/>
              <w:tab w:val="right" w:pos="9359" w:leader="dot"/>
            </w:tabs>
            <w:rPr/>
          </w:pPr>
          <w:hyperlink w:anchor="__RefHeading___Toc5246_3877972828">
            <w:r>
              <w:rPr>
                <w:webHidden/>
                <w:rStyle w:val="IndexLink"/>
              </w:rPr>
              <w:t>4. Construire des partenariats durables dans la chaîne de valeur</w:t>
              <w:tab/>
              <w:t>12</w:t>
            </w:r>
          </w:hyperlink>
        </w:p>
        <w:p>
          <w:pPr>
            <w:pStyle w:val="TOC3"/>
            <w:tabs>
              <w:tab w:val="clear" w:pos="8793"/>
              <w:tab w:val="right" w:pos="9359" w:leader="dot"/>
            </w:tabs>
            <w:rPr/>
          </w:pPr>
          <w:hyperlink w:anchor="__RefHeading___Toc5248_3877972828">
            <w:r>
              <w:rPr>
                <w:webHidden/>
                <w:rStyle w:val="IndexLink"/>
              </w:rPr>
              <w:t>4.1 Partenariats avec les fournisseurs d’intrants et de services</w:t>
              <w:tab/>
              <w:t>12</w:t>
            </w:r>
          </w:hyperlink>
        </w:p>
        <w:p>
          <w:pPr>
            <w:pStyle w:val="TOC3"/>
            <w:tabs>
              <w:tab w:val="clear" w:pos="8793"/>
              <w:tab w:val="right" w:pos="9359" w:leader="dot"/>
            </w:tabs>
            <w:rPr/>
          </w:pPr>
          <w:hyperlink w:anchor="__RefHeading___Toc5250_3877972828">
            <w:r>
              <w:rPr>
                <w:webHidden/>
                <w:rStyle w:val="IndexLink"/>
              </w:rPr>
              <w:t>4.2 Partenariats avec les acheteurs : de la transaction ponctuelle à la relation durable</w:t>
              <w:tab/>
              <w:t>12</w:t>
            </w:r>
          </w:hyperlink>
        </w:p>
        <w:p>
          <w:pPr>
            <w:pStyle w:val="TOC3"/>
            <w:tabs>
              <w:tab w:val="clear" w:pos="8793"/>
              <w:tab w:val="right" w:pos="9359" w:leader="dot"/>
            </w:tabs>
            <w:rPr/>
          </w:pPr>
          <w:hyperlink w:anchor="__RefHeading___Toc5252_3877972828">
            <w:r>
              <w:rPr>
                <w:webHidden/>
                <w:rStyle w:val="IndexLink"/>
              </w:rPr>
              <w:t>4.3 Les contrats comme outils de sécurisation, pas seulement de contrainte</w:t>
              <w:tab/>
              <w:t>13</w:t>
            </w:r>
          </w:hyperlink>
        </w:p>
        <w:p>
          <w:pPr>
            <w:pStyle w:val="TOC3"/>
            <w:tabs>
              <w:tab w:val="clear" w:pos="8793"/>
              <w:tab w:val="right" w:pos="9359" w:leader="dot"/>
            </w:tabs>
            <w:rPr/>
          </w:pPr>
          <w:hyperlink w:anchor="__RefHeading___Toc5254_3877972828">
            <w:r>
              <w:rPr>
                <w:webHidden/>
                <w:rStyle w:val="IndexLink"/>
              </w:rPr>
              <w:t>4.4 Le rôle des institutions d’appui et des partenariats multi-acteurs</w:t>
              <w:tab/>
              <w:t>13</w:t>
            </w:r>
          </w:hyperlink>
        </w:p>
        <w:p>
          <w:pPr>
            <w:pStyle w:val="TOC2"/>
            <w:tabs>
              <w:tab w:val="clear" w:pos="9077"/>
              <w:tab w:val="right" w:pos="9359" w:leader="dot"/>
            </w:tabs>
            <w:rPr/>
          </w:pPr>
          <w:hyperlink w:anchor="__RefHeading___Toc5256_3877972828">
            <w:r>
              <w:rPr>
                <w:webHidden/>
                <w:rStyle w:val="IndexLink"/>
              </w:rPr>
              <w:t>5. Le numérique et le marketing digital au service de l’accès aux marchés</w:t>
              <w:tab/>
              <w:t>14</w:t>
            </w:r>
          </w:hyperlink>
        </w:p>
        <w:p>
          <w:pPr>
            <w:pStyle w:val="TOC3"/>
            <w:tabs>
              <w:tab w:val="clear" w:pos="8793"/>
              <w:tab w:val="right" w:pos="9359" w:leader="dot"/>
            </w:tabs>
            <w:rPr/>
          </w:pPr>
          <w:hyperlink w:anchor="__RefHeading___Toc5258_3877972828">
            <w:r>
              <w:rPr>
                <w:webHidden/>
                <w:rStyle w:val="IndexLink"/>
              </w:rPr>
              <w:t>5.1 L’information de marché par le numérique</w:t>
              <w:tab/>
              <w:t>14</w:t>
            </w:r>
          </w:hyperlink>
        </w:p>
        <w:p>
          <w:pPr>
            <w:pStyle w:val="TOC3"/>
            <w:tabs>
              <w:tab w:val="clear" w:pos="8793"/>
              <w:tab w:val="right" w:pos="9359" w:leader="dot"/>
            </w:tabs>
            <w:rPr/>
          </w:pPr>
          <w:hyperlink w:anchor="__RefHeading___Toc5260_3877972828">
            <w:r>
              <w:rPr>
                <w:webHidden/>
                <w:rStyle w:val="IndexLink"/>
              </w:rPr>
              <w:t>5.2 Vente en ligne et plateformes numériques de mise en relation</w:t>
              <w:tab/>
              <w:t>14</w:t>
            </w:r>
          </w:hyperlink>
        </w:p>
        <w:p>
          <w:pPr>
            <w:pStyle w:val="TOC3"/>
            <w:tabs>
              <w:tab w:val="clear" w:pos="8793"/>
              <w:tab w:val="right" w:pos="9359" w:leader="dot"/>
            </w:tabs>
            <w:rPr/>
          </w:pPr>
          <w:hyperlink w:anchor="__RefHeading___Toc5262_3877972828">
            <w:r>
              <w:rPr>
                <w:webHidden/>
                <w:rStyle w:val="IndexLink"/>
              </w:rPr>
              <w:t>5.3 Réseaux sociaux, image de marque et relation client</w:t>
              <w:tab/>
              <w:t>15</w:t>
            </w:r>
          </w:hyperlink>
        </w:p>
        <w:p>
          <w:pPr>
            <w:pStyle w:val="TOC3"/>
            <w:tabs>
              <w:tab w:val="clear" w:pos="8793"/>
              <w:tab w:val="right" w:pos="9359" w:leader="dot"/>
            </w:tabs>
            <w:rPr/>
          </w:pPr>
          <w:hyperlink w:anchor="__RefHeading___Toc5264_3877972828">
            <w:r>
              <w:rPr>
                <w:webHidden/>
                <w:rStyle w:val="IndexLink"/>
              </w:rPr>
              <w:t>5.4 Paiement mobile et inclusion financière</w:t>
              <w:tab/>
              <w:t>15</w:t>
            </w:r>
          </w:hyperlink>
        </w:p>
        <w:p>
          <w:pPr>
            <w:pStyle w:val="TOC2"/>
            <w:tabs>
              <w:tab w:val="clear" w:pos="9077"/>
              <w:tab w:val="right" w:pos="9359" w:leader="dot"/>
            </w:tabs>
            <w:rPr/>
          </w:pPr>
          <w:hyperlink w:anchor="__RefHeading___Toc5266_3877972828">
            <w:r>
              <w:rPr>
                <w:webHidden/>
                <w:rStyle w:val="IndexLink"/>
              </w:rPr>
              <w:t>Étude de cas</w:t>
              <w:tab/>
              <w:t>15</w:t>
            </w:r>
          </w:hyperlink>
        </w:p>
        <w:p>
          <w:pPr>
            <w:pStyle w:val="TOC3"/>
            <w:tabs>
              <w:tab w:val="clear" w:pos="8793"/>
              <w:tab w:val="right" w:pos="9359" w:leader="dot"/>
            </w:tabs>
            <w:rPr/>
          </w:pPr>
          <w:hyperlink w:anchor="__RefHeading___Toc5268_3877972828">
            <w:r>
              <w:rPr>
                <w:webHidden/>
                <w:rStyle w:val="IndexLink"/>
              </w:rPr>
              <w:t>Le groupement « Terre Fertile » et sa transformation commerciale</w:t>
              <w:tab/>
              <w:t>15</w:t>
            </w:r>
          </w:hyperlink>
        </w:p>
        <w:p>
          <w:pPr>
            <w:pStyle w:val="TOC2"/>
            <w:tabs>
              <w:tab w:val="clear" w:pos="9077"/>
              <w:tab w:val="right" w:pos="9359" w:leader="dot"/>
            </w:tabs>
            <w:rPr/>
          </w:pPr>
          <w:hyperlink w:anchor="__RefHeading___Toc5270_3877972828">
            <w:r>
              <w:rPr>
                <w:webHidden/>
                <w:rStyle w:val="IndexLink"/>
              </w:rPr>
              <w:t>Outils pratiques</w:t>
              <w:tab/>
              <w:t>17</w:t>
            </w:r>
          </w:hyperlink>
        </w:p>
        <w:p>
          <w:pPr>
            <w:pStyle w:val="TOC3"/>
            <w:tabs>
              <w:tab w:val="clear" w:pos="8793"/>
              <w:tab w:val="right" w:pos="9359" w:leader="dot"/>
            </w:tabs>
            <w:rPr/>
          </w:pPr>
          <w:hyperlink w:anchor="__RefHeading___Toc5272_3877972828">
            <w:r>
              <w:rPr>
                <w:webHidden/>
                <w:rStyle w:val="IndexLink"/>
              </w:rPr>
              <w:t>Grille simple d’analyse de marché</w:t>
              <w:tab/>
              <w:t>17</w:t>
            </w:r>
          </w:hyperlink>
        </w:p>
        <w:p>
          <w:pPr>
            <w:pStyle w:val="TOC3"/>
            <w:tabs>
              <w:tab w:val="clear" w:pos="8793"/>
              <w:tab w:val="right" w:pos="9359" w:leader="dot"/>
            </w:tabs>
            <w:rPr/>
          </w:pPr>
          <w:hyperlink w:anchor="__RefHeading___Toc5274_3877972828">
            <w:r>
              <w:rPr>
                <w:webHidden/>
                <w:rStyle w:val="IndexLink"/>
              </w:rPr>
              <w:t>Checklist de préparation à la négociation d’un partenariat commercial</w:t>
              <w:tab/>
              <w:t>18</w:t>
            </w:r>
          </w:hyperlink>
        </w:p>
        <w:p>
          <w:pPr>
            <w:pStyle w:val="TOC2"/>
            <w:tabs>
              <w:tab w:val="clear" w:pos="9077"/>
              <w:tab w:val="right" w:pos="9359" w:leader="dot"/>
            </w:tabs>
            <w:rPr/>
          </w:pPr>
          <w:hyperlink w:anchor="__RefHeading___Toc5276_3877972828">
            <w:r>
              <w:rPr>
                <w:webHidden/>
                <w:rStyle w:val="IndexLink"/>
              </w:rPr>
              <w:t>Points clés à retenir</w:t>
              <w:tab/>
              <w:t>18</w:t>
            </w:r>
          </w:hyperlink>
        </w:p>
        <w:p>
          <w:pPr>
            <w:pStyle w:val="TOC2"/>
            <w:tabs>
              <w:tab w:val="clear" w:pos="9077"/>
              <w:tab w:val="right" w:pos="9359" w:leader="dot"/>
            </w:tabs>
            <w:rPr/>
          </w:pPr>
          <w:hyperlink w:anchor="__RefHeading___Toc5278_3877972828">
            <w:r>
              <w:rPr>
                <w:webHidden/>
                <w:rStyle w:val="IndexLink"/>
              </w:rPr>
              <w:t>Mode d’évaluation : QCM</w:t>
              <w:tab/>
              <w:t>19</w:t>
            </w:r>
          </w:hyperlink>
        </w:p>
        <w:p>
          <w:pPr>
            <w:pStyle w:val="TOC2"/>
            <w:tabs>
              <w:tab w:val="clear" w:pos="9077"/>
              <w:tab w:val="right" w:pos="9359" w:leader="dot"/>
            </w:tabs>
            <w:rPr/>
          </w:pPr>
          <w:hyperlink w:anchor="__RefHeading___Toc5280_3877972828">
            <w:r>
              <w:rPr>
                <w:webHidden/>
                <w:rStyle w:val="IndexLink"/>
              </w:rPr>
              <w:t>Pour aller plus loin</w:t>
              <w:tab/>
              <w:t>21</w:t>
            </w:r>
          </w:hyperlink>
        </w:p>
        <w:p>
          <w:pPr>
            <w:pStyle w:val="TOC2"/>
            <w:tabs>
              <w:tab w:val="clear" w:pos="9077"/>
              <w:tab w:val="right" w:pos="9359" w:leader="dot"/>
            </w:tabs>
            <w:rPr/>
          </w:pPr>
          <w:hyperlink w:anchor="__RefHeading___Toc5282_3877972828">
            <w:r>
              <w:rPr>
                <w:webHidden/>
                <w:rStyle w:val="IndexLink"/>
              </w:rPr>
              <w:t>Glossaire</w:t>
              <w:tab/>
              <w:t>21</w:t>
            </w:r>
          </w:hyperlink>
          <w:r>
            <w:rPr>
              <w:rStyle w:val="IndexLink"/>
            </w:rPr>
            <w:fldChar w:fldCharType="end"/>
          </w:r>
        </w:p>
      </w:sdtContent>
    </w:sdt>
    <w:p>
      <w:pPr>
        <w:pStyle w:val="Normal"/>
        <w:widowControl/>
        <w:bidi w:val="0"/>
        <w:spacing w:lineRule="auto" w:line="276" w:before="0" w:after="160"/>
        <w:jc w:val="left"/>
        <w:rPr>
          <w:rFonts w:ascii="Calibri" w:hAnsi="Calibri"/>
          <w:color w:val="222222"/>
          <w:sz w:val="22"/>
        </w:rPr>
      </w:pPr>
      <w:r>
        <w:rPr>
          <w:color w:val="222222"/>
          <w:sz w:val="22"/>
        </w:rPr>
      </w:r>
      <w:r>
        <w:br w:type="page"/>
      </w:r>
    </w:p>
    <w:p>
      <w:pPr>
        <w:pStyle w:val="Heading1"/>
        <w:spacing w:before="0" w:after="200"/>
        <w:rPr/>
      </w:pPr>
      <w:bookmarkStart w:id="1" w:name="__RefHeading___Toc5208_3877972828"/>
      <w:bookmarkStart w:id="2" w:name="X9b7d22991e8fd3ab95552937f0e6b4f5c92ed33"/>
      <w:bookmarkEnd w:id="1"/>
      <w:r>
        <w:rPr/>
        <w:t>Module 6 — Accès aux marchés, commercialisation et partenariats dans les CVAD</w:t>
      </w:r>
    </w:p>
    <w:p>
      <w:pPr>
        <w:pStyle w:val="Heading2"/>
        <w:rPr/>
      </w:pPr>
      <w:bookmarkStart w:id="3" w:name="__RefHeading___Toc5210_3877972828"/>
      <w:bookmarkStart w:id="4" w:name="introduction"/>
      <w:bookmarkEnd w:id="3"/>
      <w:r>
        <w:rPr/>
        <w:t>Introduction</w:t>
      </w:r>
    </w:p>
    <w:p>
      <w:pPr>
        <w:pStyle w:val="FirstParagraph"/>
        <w:rPr/>
      </w:pPr>
      <w:r>
        <w:rPr/>
        <w:t>Produire davantage, produire mieux, produire de façon plus durable : ces objectifs, au cœur des modules précédents de cette formation, ne suffisent pas à garantir la réussite d’un agroentrepreneur. Une exploitation ou une entreprise agricole peut appliquer les meilleures pratiques agronomiques, maîtriser la qualité de ses intrants, optimiser ses coûts de production — et pourtant échouer, faute d’avoir su vendre sa production dans de bonnes conditions. L’expérience de très nombreux acteurs des chaînes de valeur agricoles durables (CVAD) en Afrique montre que le goulot d’étranglement le plus fréquent ne se situe pas au champ, mais en aval : au moment de trouver un acheteur fiable, de négocier un prix rémunérateur, d’acheminer la marchandise sans pertes excessives, ou de construire une relation commerciale qui dure au-delà d’une seule transaction.</w:t>
      </w:r>
    </w:p>
    <w:p>
      <w:pPr>
        <w:pStyle w:val="BodyText"/>
        <w:rPr/>
      </w:pPr>
      <w:r>
        <w:rPr/>
        <w:t>Ce constat n’est pas propre à un pays ou à une filière en particulier. Qu’il s’agisse d’un groupement de productrices de mangues séchées dans la vallée du fleuve Sénégal, d’une coopérative de producteurs de café en zone de moyenne altitude, ou d’une jeune entreprise de transformation de manioc en Afrique de l’Ouest, les mêmes difficultés reviennent : dépendance à un unique intermédiaire, méconnaissance des exigences des marchés urbains ou institutionnels, absence d’information fiable sur les prix, infrastructures de stockage et de transport insuffisantes, difficulté à formaliser des engagements commerciaux dans la durée. Ces obstacles pèsent doublement sur les agroentrepreneurs : ils réduisent la valeur captée sur leur propre production, et ils fragilisent l’ensemble de la chaîne de valeur, en décourageant l’investissement et l’innovation.</w:t>
      </w:r>
    </w:p>
    <w:p>
      <w:pPr>
        <w:pStyle w:val="BodyText"/>
        <w:rPr/>
      </w:pPr>
      <w:r>
        <w:rPr/>
        <w:t>L’accès au marché ne doit donc pas être perçu comme une étape ultime, séparée de la production, mais comme une dimension stratégique qui doit être pensée dès la conception d’une activité agricole. Choisir quoi produire, en quelle quantité, avec quel niveau de qualité, suppose de savoir à qui l’on vendra et dans quelles conditions. C’est ce que l’on appelle une approche « market-driven » ou orientée marché, par opposition à une approche purement « production-driven » où l’on produit d’abord et l’on cherche ensuite, dans l’urgence, un débouché.</w:t>
      </w:r>
    </w:p>
    <w:p>
      <w:pPr>
        <w:pStyle w:val="BodyText"/>
        <w:rPr/>
      </w:pPr>
      <w:bookmarkStart w:id="5" w:name="X9b7d22991e8fd3ab95552937f0e6b4f5c92ed33"/>
      <w:r>
        <w:rPr/>
        <w:t>Ce module propose aux agroentrepreneurs les repères et les outils nécessaires pour transformer l’accès au marché en avantage compétitif plutôt qu’en source de vulnérabilité. Il aborde successivement la connaissance et la segmentation des marchés agricoles, les stratégies de commercialisation et de fixation des prix, l’organisation des canaux de distribution et de la logistique, la construction de partenariats durables au sein d’une chaîne de valeur, et enfin le rôle croissant du numérique dans l’accès aux marchés. À travers des exemples illustratifs inspirés de contextes africains variés, ce module vise à donner aux participants une grille de lecture opérationnelle, directement applicable à leur propre activité.</w:t>
      </w:r>
      <w:bookmarkEnd w:id="5"/>
    </w:p>
    <w:p>
      <w:pPr>
        <w:pStyle w:val="Heading2"/>
        <w:rPr/>
      </w:pPr>
      <w:bookmarkStart w:id="6" w:name="__RefHeading___Toc5212_3877972828"/>
      <w:bookmarkStart w:id="7" w:name="objectifs-pédagogiques"/>
      <w:bookmarkEnd w:id="6"/>
      <w:r>
        <w:rPr/>
        <w:t>Objectifs pédagogiques</w:t>
      </w:r>
    </w:p>
    <w:p>
      <w:pPr>
        <w:pStyle w:val="FirstParagraph"/>
        <w:rPr/>
      </w:pPr>
      <w:r>
        <w:rPr/>
        <w:t>À l’issue de ce module, les participants seront capables de :</w:t>
      </w:r>
    </w:p>
    <w:p>
      <w:pPr>
        <w:pStyle w:val="Compact"/>
        <w:numPr>
          <w:ilvl w:val="0"/>
          <w:numId w:val="19"/>
        </w:numPr>
        <w:rPr/>
      </w:pPr>
      <w:r>
        <w:rPr/>
        <w:t>Identifier et caractériser les différents segments de marché accessibles à une entreprise agricole (marchés de proximité, marchés urbains, marchés institutionnels, marchés d’exportation) et d’évaluer leur pertinence pour leur propre activité.</w:t>
      </w:r>
    </w:p>
    <w:p>
      <w:pPr>
        <w:pStyle w:val="Compact"/>
        <w:numPr>
          <w:ilvl w:val="0"/>
          <w:numId w:val="1"/>
        </w:numPr>
        <w:rPr/>
      </w:pPr>
      <w:r>
        <w:rPr/>
        <w:t>Concevoir une stratégie de commercialisation cohérente, intégrant la fixation des prix, la différenciation par la qualité ou la marque, et les avantages de la vente groupée.</w:t>
      </w:r>
    </w:p>
    <w:p>
      <w:pPr>
        <w:pStyle w:val="Compact"/>
        <w:numPr>
          <w:ilvl w:val="0"/>
          <w:numId w:val="1"/>
        </w:numPr>
        <w:rPr/>
      </w:pPr>
      <w:r>
        <w:rPr/>
        <w:t>Analyser les options de canaux de distribution et de logistique disponibles, et choisir des solutions adaptées pour réduire les pertes post-récolte et les coûts de mise en marché.</w:t>
      </w:r>
    </w:p>
    <w:p>
      <w:pPr>
        <w:pStyle w:val="Compact"/>
        <w:numPr>
          <w:ilvl w:val="0"/>
          <w:numId w:val="1"/>
        </w:numPr>
        <w:rPr/>
      </w:pPr>
      <w:r>
        <w:rPr/>
        <w:t>Construire et entretenir des partenariats durables avec les fournisseurs, les acheteurs, les coopératives et les institutions d’appui, y compris à travers des contrats simples et équilibrés.</w:t>
      </w:r>
    </w:p>
    <w:p>
      <w:pPr>
        <w:pStyle w:val="Compact"/>
        <w:numPr>
          <w:ilvl w:val="0"/>
          <w:numId w:val="1"/>
        </w:numPr>
        <w:rPr/>
      </w:pPr>
      <w:r>
        <w:rPr/>
        <w:t>Mobiliser les outils numériques et le marketing digital pour améliorer l’accès à l’information de marché, la visibilité commerciale et la relation client.</w:t>
      </w:r>
    </w:p>
    <w:p>
      <w:pPr>
        <w:pStyle w:val="Compact"/>
        <w:numPr>
          <w:ilvl w:val="0"/>
          <w:numId w:val="1"/>
        </w:numPr>
        <w:rPr/>
      </w:pPr>
      <w:bookmarkStart w:id="8" w:name="introduction"/>
      <w:r>
        <w:rPr/>
        <w:t>Appliquer une grille d’analyse de marché et une checklist de négociation à une situation concrète, afin de préparer une décision commerciale argumentée.</w:t>
      </w:r>
      <w:bookmarkEnd w:id="8"/>
    </w:p>
    <w:p>
      <w:pPr>
        <w:pStyle w:val="Heading2"/>
        <w:rPr/>
      </w:pPr>
      <w:bookmarkStart w:id="9" w:name="__RefHeading___Toc5214_3877972828"/>
      <w:bookmarkStart w:id="10" w:name="plan-du-module"/>
      <w:bookmarkEnd w:id="9"/>
      <w:r>
        <w:rPr/>
        <w:t>Plan du module</w:t>
      </w:r>
    </w:p>
    <w:p>
      <w:pPr>
        <w:pStyle w:val="Compact"/>
        <w:numPr>
          <w:ilvl w:val="0"/>
          <w:numId w:val="20"/>
        </w:numPr>
        <w:rPr/>
      </w:pPr>
      <w:r>
        <w:rPr/>
        <w:t>Comprendre et segmenter les marchés agricoles</w:t>
      </w:r>
    </w:p>
    <w:p>
      <w:pPr>
        <w:pStyle w:val="Compact"/>
        <w:numPr>
          <w:ilvl w:val="0"/>
          <w:numId w:val="21"/>
        </w:numPr>
        <w:rPr/>
      </w:pPr>
      <w:r>
        <w:rPr/>
        <w:t>Bâtir une stratégie de commercialisation gagnante</w:t>
      </w:r>
    </w:p>
    <w:p>
      <w:pPr>
        <w:pStyle w:val="Compact"/>
        <w:numPr>
          <w:ilvl w:val="0"/>
          <w:numId w:val="22"/>
        </w:numPr>
        <w:rPr/>
      </w:pPr>
      <w:r>
        <w:rPr/>
        <w:t>Organiser les canaux de distribution et la logistique</w:t>
      </w:r>
    </w:p>
    <w:p>
      <w:pPr>
        <w:pStyle w:val="Compact"/>
        <w:numPr>
          <w:ilvl w:val="0"/>
          <w:numId w:val="23"/>
        </w:numPr>
        <w:rPr/>
      </w:pPr>
      <w:r>
        <w:rPr/>
        <w:t>Construire des partenariats durables dans la chaîne de valeur</w:t>
      </w:r>
    </w:p>
    <w:p>
      <w:pPr>
        <w:pStyle w:val="Compact"/>
        <w:numPr>
          <w:ilvl w:val="0"/>
          <w:numId w:val="24"/>
        </w:numPr>
        <w:rPr/>
      </w:pPr>
      <w:bookmarkStart w:id="11" w:name="objectifs-pédagogiques"/>
      <w:r>
        <w:rPr/>
        <w:t>Le numérique et le marketing digital au service de l’accès aux marchés</w:t>
      </w:r>
      <w:bookmarkEnd w:id="11"/>
    </w:p>
    <w:p>
      <w:pPr>
        <w:pStyle w:val="Heading2"/>
        <w:rPr/>
      </w:pPr>
      <w:bookmarkStart w:id="12" w:name="__RefHeading___Toc5216_3877972828"/>
      <w:bookmarkStart w:id="13" w:name="X5aae5f592df6fb1dcba9e5a2c15fa2afc366062"/>
      <w:bookmarkEnd w:id="12"/>
      <w:r>
        <w:rPr/>
        <w:t>1. Comprendre et segmenter les marchés agricoles</w:t>
      </w:r>
    </w:p>
    <w:p>
      <w:pPr>
        <w:pStyle w:val="Heading3"/>
        <w:rPr/>
      </w:pPr>
      <w:bookmarkStart w:id="14" w:name="__RefHeading___Toc5218_3877972828"/>
      <w:bookmarkStart w:id="15" w:name="pourquoi-segmenter-avant-de-vendre"/>
      <w:bookmarkEnd w:id="14"/>
      <w:r>
        <w:rPr/>
        <w:t>1.1 Pourquoi segmenter avant de vendre</w:t>
      </w:r>
    </w:p>
    <w:p>
      <w:pPr>
        <w:pStyle w:val="FirstParagraph"/>
        <w:rPr/>
      </w:pPr>
      <w:r>
        <w:rPr/>
        <w:t>Segmenter un marché consiste à le découper en groupes homogènes d’acheteurs, ayant des besoins, des exigences et des comportements d’achat comparables. Pour un agroentrepreneur, cette démarche est loin d’être théorique : elle conditionne directement les choix de production, de conditionnement, de prix et de communication. Vendre des tomates fraîches sur un marché de quartier ne demande pas le même niveau d’exigence en matière de calibrage, d’emballage ou de traçabilité que de fournir un supermarché urbain ou une usine de transformation. Ignorer cette réalité conduit à des situations fréquentes : un producteur investit dans une certification qualité coûteuse pour un marché institutionnel, alors qu’aucun acheteur institutionnel n’est identifié ; ou à l’inverse, un groupement continue de vendre en vrac sur le marché local une production qui pourrait, avec un minimum de tri et d’emballage, être valorisée deux à trois fois plus cher auprès d’une chaîne de restauration urbaine.</w:t>
      </w:r>
    </w:p>
    <w:p>
      <w:pPr>
        <w:pStyle w:val="BodyText"/>
        <w:rPr/>
      </w:pPr>
      <w:r>
        <w:rPr/>
        <w:t>La segmentation permet aussi de répartir les risques. Un agroentrepreneur qui vend l’intégralité de sa production à un seul acheteur, sur un seul segment de marché, s’expose à une vulnérabilité extrême : la perte de ce client, une baisse de prix imposée, ou une fermeture temporaire du marché peuvent mettre en péril toute son activité. La diversification des débouchés — sans pour autant se disperser à l’excès — constitue une règle de prudence élémentaire en gestion commerciale agricole.</w:t>
      </w:r>
    </w:p>
    <w:p>
      <w:pPr>
        <w:pStyle w:val="BodyText"/>
        <w:rPr/>
      </w:pPr>
      <w:r>
        <w:rPr/>
        <w:t>Enfin, la segmentation aide à hiérarchiser les efforts. Toutes les entreprises agricoles n’ont pas vocation à viser l’exportation ou les marchés institutionnels les plus exigeants. Une petite exploitation en phase de démarrage gagnera souvent à consolider d’abord sa présence sur un marché de proximité maîtrisé, avant d’envisager une montée en gamme progressive.</w:t>
      </w:r>
    </w:p>
    <w:p>
      <w:pPr>
        <w:pStyle w:val="BodyText"/>
        <w:rPr/>
      </w:pPr>
      <w:bookmarkStart w:id="16" w:name="plan-du-module"/>
      <w:r>
        <w:rPr/>
        <w:t>Dans la pratique, une segmentation utile ne se limite pas à une typologie générale des marchés : elle doit être déclinée au niveau de chaque agroentrepreneur, en fonction de sa localisation, de sa capacité de production, de sa trésorerie et de son niveau d’organisation. Deux producteurs de la même filière, installés dans la même région, peuvent légitimement viser des segments différents : l’un, isolé et disposant de peu de trésorerie, aura intérêt à privilégier des débouchés à paiement immédiat comme le marché local, tandis qu’un groupement voisin, mieux structuré et disposant d’un fonds de roulement, pourra viser un marché institutionnel offrant des volumes plus importants mais des délais de paiement plus longs. Il n’existe donc pas de segment « idéal » dans l’absolu : la pertinence d’un segment se mesure toujours au regard des capacités réelles de l’entreprise agricole à un moment donné de son développement.</w:t>
      </w:r>
      <w:bookmarkEnd w:id="16"/>
    </w:p>
    <w:p>
      <w:pPr>
        <w:pStyle w:val="Heading3"/>
        <w:rPr/>
      </w:pPr>
      <w:bookmarkStart w:id="17" w:name="__RefHeading___Toc5220_3877972828"/>
      <w:bookmarkStart w:id="18" w:name="les-marchés-locaux-et-de-proximité"/>
      <w:bookmarkEnd w:id="17"/>
      <w:r>
        <w:rPr/>
        <w:t>1.2 Les marchés locaux et de proximité</w:t>
      </w:r>
    </w:p>
    <w:p>
      <w:pPr>
        <w:pStyle w:val="FirstParagraph"/>
        <w:rPr/>
      </w:pPr>
      <w:r>
        <w:rPr/>
        <w:t>Les marchés locaux et de proximité — marchés hebdomadaires de village, marchés de quartier, vente directe au bord du champ ou à la ferme — restent, dans la plupart des pays africains, le débouché le plus courant pour une large majorité de petits producteurs. Leur principal atout est l’accessibilité : peu ou pas de barrières à l’entrée, des volumes de vente flexibles, un paiement généralement immédiat en espèces, et une connaissance mutuelle entre vendeurs et acheteurs qui facilite la confiance.</w:t>
      </w:r>
    </w:p>
    <w:p>
      <w:pPr>
        <w:pStyle w:val="BodyText"/>
        <w:rPr/>
      </w:pPr>
      <w:r>
        <w:rPr/>
        <w:t>Ces marchés présentent cependant des limites structurelles. Les prix y sont souvent volatils, dictés par l’offre du jour et par un grand nombre de vendeurs informels, ce qui limite le pouvoir de négociation du producteur individuel. La demande est également plafonnée par le pouvoir d’achat local, ce qui rend difficile une croissance significative des volumes écoulés sur ce seul segment. Pour un agroentrepreneur en développement, le marché de proximité joue souvent un rôle de filet de sécurité — un débouché pour les surplus ou pour les produits ne répondant pas aux standards d’un marché plus exigeant — plutôt qu’un axe de croissance à long terme.</w:t>
      </w:r>
    </w:p>
    <w:p>
      <w:pPr>
        <w:pStyle w:val="BodyText"/>
        <w:rPr/>
      </w:pPr>
      <w:bookmarkStart w:id="19" w:name="X5aae5f592df6fb1dcba9e5a2c15fa2afc366062"/>
      <w:r>
        <w:rPr/>
        <w:t>Un exemple illustratif : dans une zone rurale d’Afrique de l’Est, un groupement de productrices maraîchères vend une partie de sa récolte de choux et de tomates sur le marché hebdomadaire du village voisin. Ce débouché leur assure une liquidité rapide pour couvrir les dépenses courantes, mais elles ont constaté que les prix chutent fortement les jours de forte affluence de vendeurs, ce qui les a incitées à chercher des débouchés complémentaires plus rémunérateurs.</w:t>
      </w:r>
      <w:bookmarkEnd w:id="19"/>
    </w:p>
    <w:p>
      <w:pPr>
        <w:pStyle w:val="Heading3"/>
        <w:rPr/>
      </w:pPr>
      <w:bookmarkStart w:id="20" w:name="__RefHeading___Toc5222_3877972828"/>
      <w:bookmarkStart w:id="21" w:name="Xf7f204b570908e0fe9a49971cd85196ff13d8b7"/>
      <w:bookmarkEnd w:id="20"/>
      <w:r>
        <w:rPr/>
        <w:t>1.3 Les marchés urbains et la restauration collective</w:t>
      </w:r>
    </w:p>
    <w:p>
      <w:pPr>
        <w:pStyle w:val="FirstParagraph"/>
        <w:rPr/>
      </w:pPr>
      <w:r>
        <w:rPr/>
        <w:t>Les marchés urbains — marchés de gros, marchés de détail en ville, supermarchés, restaurants, hôtels, cantines d’entreprises ou d’écoles — représentent un segment en forte croissance dans la plupart des pays africains, portée par l’urbanisation rapide et l’évolution des modes de consommation. Ce segment offre des volumes potentiellement plus importants et, pour certains circuits comme la distribution moderne ou la restauration, des prix plus stables et parfois plus élevés qu’au marché de gros traditionnel.</w:t>
      </w:r>
    </w:p>
    <w:p>
      <w:pPr>
        <w:pStyle w:val="BodyText"/>
        <w:rPr/>
      </w:pPr>
      <w:r>
        <w:rPr/>
        <w:t>En contrepartie, les marchés urbains exigent davantage : régularité et fiabilité des livraisons, respect de calibres et de standards de qualité, conditionnement adapté, parfois facturation et délais de paiement différés. Un supermarché ou une chaîne de restauration rompt rapidement une relation avec un fournisseur incapable de livrer les quantités convenues aux dates prévues. L’agroentrepreneur qui vise ce segment doit donc investir dans une organisation de production et de post-récolte plus rigoureuse, et accepter un délai d’apprentissage avant d’atteindre le niveau de fiabilité attendu.</w:t>
      </w:r>
    </w:p>
    <w:p>
      <w:pPr>
        <w:pStyle w:val="BodyText"/>
        <w:rPr/>
      </w:pPr>
      <w:bookmarkStart w:id="22" w:name="pourquoi-segmenter-avant-de-vendre"/>
      <w:r>
        <w:rPr/>
        <w:t>Un exemple illustratif : une entreprise de transformation de jus de fruits locaux, installée en périphérie d’une grande ville d’Afrique de l’Ouest, a mis plusieurs mois à obtenir un premier contrat avec une chaîne de restaurants urbains, le temps de démontrer sa capacité à livrer des volumes constants avec un étiquetage conforme. Une fois ce contrat obtenu, il est devenu son débouché le plus rentable, avec des commandes prévisibles chaque semaine.</w:t>
      </w:r>
      <w:bookmarkEnd w:id="22"/>
    </w:p>
    <w:p>
      <w:pPr>
        <w:pStyle w:val="Heading3"/>
        <w:rPr/>
      </w:pPr>
      <w:bookmarkStart w:id="23" w:name="__RefHeading___Toc5224_3877972828"/>
      <w:bookmarkStart w:id="24" w:name="X1d616754a85d915387ac43fa753ed00351ab30a"/>
      <w:bookmarkEnd w:id="23"/>
      <w:r>
        <w:rPr/>
        <w:t>1.4 Les marchés institutionnels et l’exportation</w:t>
      </w:r>
    </w:p>
    <w:p>
      <w:pPr>
        <w:pStyle w:val="FirstParagraph"/>
        <w:rPr/>
      </w:pPr>
      <w:r>
        <w:rPr/>
        <w:t>Les marchés institutionnels regroupent les achats publics (cantines scolaires, hôpitaux, programmes d’alimentation), les achats des organisations humanitaires ou de développement, ainsi que les marchés de contractualisation avec de grandes entreprises agroalimentaires. Ces marchés se caractérisent par des appels d’offres, des cahiers des charges précis, des volumes parfois considérables, et des exigences administratives fortes : enregistrement légal de l’entreprise, capacité à émettre des factures conformes, respect de normes sanitaires. Ils sont souvent hors de portée d’un producteur individuel isolé, mais deviennent accessibles à des coopératives ou groupements bien structurés, capables d’agréger l’offre de plusieurs membres.</w:t>
      </w:r>
    </w:p>
    <w:p>
      <w:pPr>
        <w:pStyle w:val="BodyText"/>
        <w:rPr/>
      </w:pPr>
      <w:r>
        <w:rPr/>
        <w:t>Les marchés d’exportation, quant à eux, offrent des perspectives de valorisation supérieure pour certaines filières (café, cacao, fruits tropicaux, épices, produits biologiques ou équitables), mais impliquent des standards internationaux exigeants : certifications, traçabilité, respect de limites maximales de résidus, logistique internationale complexe. L’exportation ne doit être envisagée qu’après une consolidation solide sur les marchés domestiques et une évaluation réaliste des coûts de mise aux normes.</w:t>
      </w:r>
    </w:p>
    <w:p>
      <w:pPr>
        <w:pStyle w:val="BodyText"/>
        <w:rPr/>
      </w:pPr>
      <w:bookmarkStart w:id="25" w:name="les-marchés-locaux-et-de-proximité"/>
      <w:bookmarkStart w:id="26" w:name="Xf7f204b570908e0fe9a49971cd85196ff13d8b7"/>
      <w:r>
        <w:rPr/>
        <w:t>La règle générale est celle d’une montée en gamme progressive : consolider un socle de vente locale et urbaine avant d’investir dans les marchés institutionnels ou l’export, qui demandent un niveau d’organisation, de capital et de gestion des risques nettement supérieur.</w:t>
      </w:r>
      <w:bookmarkEnd w:id="25"/>
      <w:bookmarkEnd w:id="26"/>
    </w:p>
    <w:p>
      <w:pPr>
        <w:pStyle w:val="Heading2"/>
        <w:rPr/>
      </w:pPr>
      <w:bookmarkStart w:id="27" w:name="__RefHeading___Toc5226_3877972828"/>
      <w:bookmarkStart w:id="28" w:name="Xb2733196f1d6e0806357a8d07622b21f2e19c94"/>
      <w:bookmarkEnd w:id="27"/>
      <w:r>
        <w:rPr/>
        <w:t>2. Bâtir une stratégie de commercialisation gagnante</w:t>
      </w:r>
    </w:p>
    <w:p>
      <w:pPr>
        <w:pStyle w:val="Heading3"/>
        <w:rPr/>
      </w:pPr>
      <w:bookmarkStart w:id="29" w:name="__RefHeading___Toc5228_3877972828"/>
      <w:bookmarkStart w:id="30" w:name="fixer-un-prix-rémunérateur-et-compétitif"/>
      <w:bookmarkEnd w:id="29"/>
      <w:r>
        <w:rPr/>
        <w:t>2.1 Fixer un prix rémunérateur et compétitif</w:t>
      </w:r>
    </w:p>
    <w:p>
      <w:pPr>
        <w:pStyle w:val="FirstParagraph"/>
        <w:rPr/>
      </w:pPr>
      <w:r>
        <w:rPr/>
        <w:t>La fixation du prix est souvent abordée de façon intuitive par les agroentrepreneurs, calée sur le prix pratiqué par les voisins ou sur le marché du jour. Une approche plus rigoureuse combine trois repères complémentaires. Premièrement, le coût de revient : il s’agit de calculer précisément le coût de production par unité (intrants, main-d’œuvre, transport, pertes, amortissement du matériel), afin de connaître le prix plancher en dessous duquel toute vente devient une perte. Deuxièmement, le prix du marché : observer les prix pratiqués par la concurrence, sur le ou les segments visés, permet de situer sa propre offre. Troisièmement, la valeur perçue par le client : un produit différencié — par sa qualité, sa fraîcheur, son origine, son mode de production — peut justifier un prix supérieur à la moyenne du marché, à condition que cette valeur soit clairement communiquée.</w:t>
      </w:r>
    </w:p>
    <w:p>
      <w:pPr>
        <w:pStyle w:val="BodyText"/>
        <w:rPr/>
      </w:pPr>
      <w:r>
        <w:rPr/>
        <w:t>Une erreur fréquente consiste à aligner systématiquement son prix sur le plus bas du marché, dans l’espoir d’attirer davantage de clients. Cette stratégie, difficilement tenable à long terme pour un petit producteur, érode les marges et peut conduire à vendre à perte sans même s’en rendre compte, faute d’un calcul de coût de revient rigoureux. À l’inverse, une tarification déconnectée à la fois du coût de revient et du marché conduit à l’invendu.</w:t>
      </w:r>
    </w:p>
    <w:p>
      <w:pPr>
        <w:pStyle w:val="BodyText"/>
        <w:rPr/>
      </w:pPr>
      <w:r>
        <w:rPr/>
        <w:t>Un exemple illustratif : un producteur de miel dans une région montagneuse a longtemps vendu son miel au même prix que le miel importé bon marché disponible en épicerie, sans tenir compte de son coût de production plus élevé lié à un mode de récolte artisanal. Après avoir calculé son coût de revient réel, il a repositionné son offre comme un miel local de qualité supérieure, vendu 40 % plus cher, avec un argumentaire clair sur l’origine et l’absence d’additifs — une stratégie qui a maintenu ses volumes de vente tout en améliorant sa marge.</w:t>
      </w:r>
    </w:p>
    <w:p>
      <w:pPr>
        <w:pStyle w:val="BodyText"/>
        <w:rPr/>
      </w:pPr>
      <w:bookmarkStart w:id="31" w:name="X1d616754a85d915387ac43fa753ed00351ab30a"/>
      <w:r>
        <w:rPr/>
        <w:t>Il est également utile de distinguer les stratégies de tarification selon le cycle de vie commercial du produit ou de l’entreprise. Lors du lancement d’un nouveau produit sur un marché — par exemple une nouvelle gamme de farine composite enrichie —, un prix d’introduction légèrement inférieur au marché peut faciliter l’essai par de nouveaux clients, à condition d’être ajusté progressivement une fois la clientèle fidélisée. À l’inverse, pour un produit déjà reconnu et différencié, une politique de prix stable et transparente, communiquée clairement aux acheteurs réguliers, renforce la confiance et évite les tensions liées à des variations perçues comme arbitraires. Dans tous les cas, toute décision de prix devrait être révisée périodiquement, à la lumière de l’évolution des coûts de production et des conditions de marché, plutôt que d’être fixée une fois pour toutes.</w:t>
      </w:r>
      <w:bookmarkEnd w:id="31"/>
    </w:p>
    <w:p>
      <w:pPr>
        <w:pStyle w:val="Heading3"/>
        <w:rPr/>
      </w:pPr>
      <w:bookmarkStart w:id="32" w:name="__RefHeading___Toc5230_3877972828"/>
      <w:bookmarkStart w:id="33" w:name="différenciation-qualité-et-marque"/>
      <w:bookmarkEnd w:id="32"/>
      <w:r>
        <w:rPr/>
        <w:t>2.2 Différenciation, qualité et marque</w:t>
      </w:r>
    </w:p>
    <w:p>
      <w:pPr>
        <w:pStyle w:val="FirstParagraph"/>
        <w:rPr/>
      </w:pPr>
      <w:r>
        <w:rPr/>
        <w:t>Sur des marchés agricoles souvent caractérisés par des produits peu différenciés — le manioc d’un producteur ressemble à celui du voisin —, la différenciation constitue un levier majeur pour échapper à la seule concurrence par les prix. Elle peut prendre plusieurs formes : une qualité supérieure et constante (calibre, fraîcheur, absence de résidus de traitement), un conditionnement soigné, une origine géographique valorisée, un mode de production spécifique (biologique, agroécologique, équitable), ou encore une marque propre associée à une promesse de confiance.</w:t>
      </w:r>
    </w:p>
    <w:p>
      <w:pPr>
        <w:pStyle w:val="BodyText"/>
        <w:rPr/>
      </w:pPr>
      <w:r>
        <w:rPr/>
        <w:t>Construire une marque, même modeste, à l’échelle d’un petit groupement, présente un intérêt réel : elle facilite la mémorisation par les clients, permet de fidéliser une clientèle sur la durée, et crée un actif immatériel qui prend de la valeur avec le temps. Cela suppose un minimum de cohérence : un nom, éventuellement un logo simple, un emballage reconnaissable, et surtout une promesse tenue de façon constante — car rien ne détruit plus vite une marque naissante qu’une variation de qualité imprévisible.</w:t>
      </w:r>
    </w:p>
    <w:p>
      <w:pPr>
        <w:pStyle w:val="BodyText"/>
        <w:rPr/>
      </w:pPr>
      <w:bookmarkStart w:id="34" w:name="Xb2733196f1d6e0806357a8d07622b21f2e19c94"/>
      <w:r>
        <w:rPr/>
        <w:t>Un exemple illustratif : une coopérative de productrices de riz local a choisi de conditionner sa production sous un nom commercial propre, avec un sachet distinctif indiquant la région de production et un engagement de riz non mélangé à des importations. Cette démarche, peu coûteuse à mettre en œuvre, lui a permis de se distinguer du riz vendu en vrac sur les marchés et d’accéder à une clientèle urbaine prête à payer un prix légèrement supérieur pour cette garantie d’origine.</w:t>
      </w:r>
      <w:bookmarkEnd w:id="34"/>
    </w:p>
    <w:p>
      <w:pPr>
        <w:pStyle w:val="Heading3"/>
        <w:rPr/>
      </w:pPr>
      <w:bookmarkStart w:id="35" w:name="__RefHeading___Toc5232_3877972828"/>
      <w:bookmarkStart w:id="36" w:name="Xc32455e139450a5092a430d63494181c5041578"/>
      <w:bookmarkEnd w:id="35"/>
      <w:r>
        <w:rPr/>
        <w:t>2.3 La vente groupée et le rôle des coopératives</w:t>
      </w:r>
    </w:p>
    <w:p>
      <w:pPr>
        <w:pStyle w:val="FirstParagraph"/>
        <w:rPr/>
      </w:pPr>
      <w:r>
        <w:rPr/>
        <w:t>Individuellement, un petit producteur dispose d’un pouvoir de négociation limité face à des acheteurs plus organisés — commerçants grossistes, transformateurs, distributeurs. La vente groupée, organisée via une coopérative, une union de producteurs ou un simple groupement informel, permet d’agréger les volumes de plusieurs membres, ce qui produit plusieurs effets favorables : un pouvoir de négociation accru sur les prix et les conditions de paiement, une réduction des coûts unitaires de transport et de transaction, un accès facilité aux marchés institutionnels ou à l’exportation qui exigent des volumes importants, et un partage des risques et des investissements (matériel de stockage, de transformation, de transport).</w:t>
      </w:r>
    </w:p>
    <w:p>
      <w:pPr>
        <w:pStyle w:val="BodyText"/>
        <w:rPr/>
      </w:pPr>
      <w:r>
        <w:rPr/>
        <w:t>La vente groupée exige cependant une organisation interne solide : des règles claires de répartition des volumes et des revenus, une gestion transparente, et une gouvernance qui prévienne les conflits entre membres, notamment lorsque certains sont tentés de vendre individuellement au meilleur moment pour eux, au détriment de l’engagement collectif — un comportement parfois appelé « vente parallèle » ou « side-selling », qui fragilise la crédibilité du groupement auprès de ses acheteurs.</w:t>
      </w:r>
    </w:p>
    <w:p>
      <w:pPr>
        <w:pStyle w:val="BodyText"/>
        <w:rPr/>
      </w:pPr>
      <w:bookmarkStart w:id="37" w:name="fixer-un-prix-rémunérateur-et-compétitif"/>
      <w:r>
        <w:rPr/>
        <w:t>Un exemple illustratif : une union de coopératives cotonnières a mis en place un système de collecte groupée, avec un prix plancher garanti à tous les membres et un bonus de fin de campagne redistribué en fonction des volumes livrés au point de collecte commun. Ce système a réduit les ventes parallèles observées les années précédentes, en donnant aux producteurs une incitation claire à honorer leur engagement collectif.</w:t>
      </w:r>
      <w:bookmarkEnd w:id="37"/>
    </w:p>
    <w:p>
      <w:pPr>
        <w:pStyle w:val="Heading3"/>
        <w:rPr/>
      </w:pPr>
      <w:bookmarkStart w:id="38" w:name="__RefHeading___Toc5234_3877972828"/>
      <w:bookmarkStart w:id="39" w:name="adapter-loffre-à-la-demande"/>
      <w:bookmarkEnd w:id="38"/>
      <w:r>
        <w:rPr/>
        <w:t>2.4 Adapter l’offre à la demande</w:t>
      </w:r>
    </w:p>
    <w:p>
      <w:pPr>
        <w:pStyle w:val="FirstParagraph"/>
        <w:rPr/>
      </w:pPr>
      <w:bookmarkStart w:id="40" w:name="différenciation-qualité-et-marque"/>
      <w:bookmarkStart w:id="41" w:name="Xc32455e139450a5092a430d63494181c5041578"/>
      <w:r>
        <w:rPr/>
        <w:t>Une stratégie de commercialisation efficace ne se limite pas au prix et à la marque : elle suppose d’ajuster continuellement l’offre — quantités, calibres, périodes de disponibilité, gammes de produits — aux besoins réels des segments de marché visés. Cela implique un dialogue régulier avec les acheteurs, pour anticiper leurs besoins saisonniers, leurs exigences de calibrage, ou l’évolution de leurs préférences. Un agroentrepreneur qui écoute ses clients et adapte progressivement son offre — par exemple en proposant un nouveau calibre, un nouveau format d’emballage, ou un produit dérivé transformé — se donne les moyens de fidéliser sa clientèle et de capter davantage de valeur.</w:t>
      </w:r>
      <w:bookmarkEnd w:id="40"/>
      <w:bookmarkEnd w:id="41"/>
    </w:p>
    <w:p>
      <w:pPr>
        <w:pStyle w:val="Heading2"/>
        <w:rPr/>
      </w:pPr>
      <w:bookmarkStart w:id="42" w:name="__RefHeading___Toc5236_3877972828"/>
      <w:bookmarkStart w:id="43" w:name="X860a5f8223400ab004061d2a279c1f2f5218fe1"/>
      <w:bookmarkEnd w:id="42"/>
      <w:r>
        <w:rPr/>
        <w:t>3. Organiser les canaux de distribution et la logistique</w:t>
      </w:r>
    </w:p>
    <w:p>
      <w:pPr>
        <w:pStyle w:val="Heading3"/>
        <w:rPr/>
      </w:pPr>
      <w:bookmarkStart w:id="44" w:name="__RefHeading___Toc5238_3877972828"/>
      <w:bookmarkStart w:id="45" w:name="circuits-courts-et-circuits-longs"/>
      <w:bookmarkEnd w:id="44"/>
      <w:r>
        <w:rPr/>
        <w:t>3.1 Circuits courts et circuits longs</w:t>
      </w:r>
    </w:p>
    <w:p>
      <w:pPr>
        <w:pStyle w:val="FirstParagraph"/>
        <w:rPr/>
      </w:pPr>
      <w:r>
        <w:rPr/>
        <w:t>Le choix du canal de distribution détermine en grande partie la part de valeur captée par le producteur. Un circuit court, avec peu ou pas d’intermédiaires — vente directe au consommateur, vente directe à un restaurant ou un supermarché, vente via un groupement directement à un transformateur — permet généralement de capter une part plus importante du prix final, mais demande davantage d’investissement en temps, en organisation logistique et parfois en trésorerie (délais de paiement plus longs avec certains acheteurs institutionnels).</w:t>
      </w:r>
    </w:p>
    <w:p>
      <w:pPr>
        <w:pStyle w:val="BodyText"/>
        <w:rPr/>
      </w:pPr>
      <w:r>
        <w:rPr/>
        <w:t>Un circuit long, faisant intervenir plusieurs intermédiaires (collecteur local, grossiste, semi-grossiste, détaillant), réduit la marge unitaire du producteur mais lui évite la charge logistique et commerciale de la vente directe. Ce type de circuit reste pertinent, notamment pour écouler rapidement de gros volumes ou pour toucher des marchés éloignés que le producteur ne pourrait atteindre seul.</w:t>
      </w:r>
    </w:p>
    <w:p>
      <w:pPr>
        <w:pStyle w:val="BodyText"/>
        <w:rPr/>
      </w:pPr>
      <w:bookmarkStart w:id="46" w:name="adapter-loffre-à-la-demande"/>
      <w:r>
        <w:rPr/>
        <w:t>Le choix entre circuit court et circuit long n’est pas figé : de nombreux agroentrepreneurs combinent les deux, en réservant une partie de leur production à la vente directe à plus forte marge, et le reste à des circuits longs plus simples à gérer. L’essentiel est de raisonner en termes de valeur nette captée par unité vendue, en tenant compte du temps et des coûts de transaction, plutôt que de considérer uniquement le prix affiché à chaque étape du circuit.</w:t>
      </w:r>
      <w:bookmarkEnd w:id="46"/>
    </w:p>
    <w:p>
      <w:pPr>
        <w:pStyle w:val="Heading3"/>
        <w:rPr/>
      </w:pPr>
      <w:bookmarkStart w:id="47" w:name="__RefHeading___Toc5240_3877972828"/>
      <w:bookmarkStart w:id="48" w:name="Xe05da5ad93407443f33c32ff146100eb0fd1767"/>
      <w:bookmarkEnd w:id="47"/>
      <w:r>
        <w:rPr/>
        <w:t>3.2 Stockage et réduction des pertes post-récolte</w:t>
      </w:r>
    </w:p>
    <w:p>
      <w:pPr>
        <w:pStyle w:val="FirstParagraph"/>
        <w:rPr/>
      </w:pPr>
      <w:r>
        <w:rPr/>
        <w:t>Les pertes post-récolte constituent l’une des principales sources d’érosion de la valeur dans les chaînes de valeur agricoles en Afrique, en particulier pour les produits périssables. Ces pertes surviennent à plusieurs étapes : récolte tardive ou mal réalisée, manutention brutale, absence de tri, conditions de stockage inadéquates (chaleur, humidité, exposition aux nuisibles), ou délais trop longs entre la récolte et la vente.</w:t>
      </w:r>
    </w:p>
    <w:p>
      <w:pPr>
        <w:pStyle w:val="BodyText"/>
        <w:rPr/>
      </w:pPr>
      <w:r>
        <w:rPr/>
        <w:t>Un stockage adapté — même simple et peu coûteux — réduit sensiblement ces pertes. Des solutions existent à toutes les échelles : sacs hermétiques pour les céréales, permettant de limiter les attaques d’insectes sans recourir systématiquement à des traitements chimiques ; petits entrepôts ventilés pour les tubercules ; chambres froides collectives, portées par une coopérative, pour les fruits et légumes destinés aux marchés urbains ; séchoirs solaires pour la transformation de fruits, de légumes ou de poissons. Le choix de la solution dépend du produit, du volume, et de l’investissement mobilisable — un agroentrepreneur individuel n’a généralement pas intérêt à investir seul dans un équipement de stockage coûteux, alors qu’un investissement mutualisé au niveau d’un groupement devient rentable.</w:t>
      </w:r>
    </w:p>
    <w:p>
      <w:pPr>
        <w:pStyle w:val="BodyText"/>
        <w:rPr/>
      </w:pPr>
      <w:r>
        <w:rPr/>
        <w:t>Un exemple illustratif : un groupement de productrices d’oignons, confronté à des pertes post-récolte estimées à un tiers de sa production faute de stockage adapté, a investi collectivement dans un petit magasin de stockage ventilé, avec l’appui d’un projet de développement local. Cette infrastructure a permis d’étaler les ventes sur plusieurs mois après la récolte, au lieu de brader l’intégralité de la production en période de pic d’offre, lorsque les prix sont au plus bas.</w:t>
      </w:r>
    </w:p>
    <w:p>
      <w:pPr>
        <w:pStyle w:val="BodyText"/>
        <w:rPr/>
      </w:pPr>
      <w:bookmarkStart w:id="49" w:name="X860a5f8223400ab004061d2a279c1f2f5218fe1"/>
      <w:r>
        <w:rPr/>
        <w:t>Au-delà de l’infrastructure elle-même, la réduction des pertes post-récolte suppose aussi un changement de pratiques simples et peu coûteuses, souvent négligées : récolter au bon stade de maturité plutôt que trop tôt ou trop tard, manipuler les produits avec soin pour éviter les chocs et les blessures qui accélèrent le pourrissement, trier systématiquement avant stockage pour isoler les produits déjà abîmés, et nettoyer régulièrement les infrastructures de stockage pour limiter la prolifération de nuisibles. Ces bonnes pratiques, enseignées lors de formations courtes, produisent souvent des gains rapides et mesurables, avant même tout investissement en infrastructure lourde — elles constituent donc un point de départ accessible à tout agroentrepreneur, quel que soit son niveau de capital disponible.</w:t>
      </w:r>
      <w:bookmarkEnd w:id="49"/>
    </w:p>
    <w:p>
      <w:pPr>
        <w:pStyle w:val="Heading3"/>
        <w:rPr/>
      </w:pPr>
      <w:bookmarkStart w:id="50" w:name="__RefHeading___Toc5242_3877972828"/>
      <w:bookmarkStart w:id="51" w:name="transport-et-organisation-logistique"/>
      <w:bookmarkEnd w:id="50"/>
      <w:r>
        <w:rPr/>
        <w:t>3.3 Transport et organisation logistique</w:t>
      </w:r>
    </w:p>
    <w:p>
      <w:pPr>
        <w:pStyle w:val="FirstParagraph"/>
        <w:rPr/>
      </w:pPr>
      <w:r>
        <w:rPr/>
        <w:t>Le transport représente souvent un poste de coût important et un facteur de risque pour la qualité du produit livré. Plusieurs choix structurent la logistique d’un agroentrepreneur : le mode de transport (moto, véhicule loué, camion collectif), la fréquence des livraisons, le regroupement des expéditions entre plusieurs producteurs pour réduire le coût unitaire, et l’emballage utilisé pour limiter les dommages durant le trajet.</w:t>
      </w:r>
    </w:p>
    <w:p>
      <w:pPr>
        <w:pStyle w:val="BodyText"/>
        <w:rPr/>
      </w:pPr>
      <w:r>
        <w:rPr/>
        <w:t>La mutualisation du transport, organisée au niveau d’un groupement ou d’une coopérative, permet de réduire significativement les coûts unitaires et d’accéder à des marchés plus éloignés qui seraient inaccessibles à un producteur isolé. Elle suppose une bonne coordination du calendrier de collecte entre les membres, ainsi qu’un partage équitable des coûts, généralement proportionnel aux volumes transportés.</w:t>
      </w:r>
    </w:p>
    <w:p>
      <w:pPr>
        <w:pStyle w:val="BodyText"/>
        <w:rPr/>
      </w:pPr>
      <w:bookmarkStart w:id="52" w:name="circuits-courts-et-circuits-longs"/>
      <w:r>
        <w:rPr/>
        <w:t>Un exemple illustratif : dans une zone de production maraîchère, plusieurs petits producteurs livraient individuellement leurs légumes au marché urbain le plus proche, chacun avec un faible volume, ce qui rendait le coût de transport par kilogramme très élevé. En s’organisant pour affréter ensemble un véhicule de transport deux fois par semaine, ils ont réduit ce coût de près de moitié, tout en réduisant le temps entre la récolte et la mise en vente, ce qui a amélioré la fraîcheur des produits livrés.</w:t>
      </w:r>
      <w:bookmarkEnd w:id="52"/>
    </w:p>
    <w:p>
      <w:pPr>
        <w:pStyle w:val="Heading3"/>
        <w:rPr/>
      </w:pPr>
      <w:bookmarkStart w:id="53" w:name="__RefHeading___Toc5244_3877972828"/>
      <w:bookmarkStart w:id="54" w:name="emballage-et-conditionnement"/>
      <w:bookmarkEnd w:id="53"/>
      <w:r>
        <w:rPr/>
        <w:t>3.4 Emballage et conditionnement</w:t>
      </w:r>
    </w:p>
    <w:p>
      <w:pPr>
        <w:pStyle w:val="FirstParagraph"/>
        <w:rPr/>
      </w:pPr>
      <w:bookmarkStart w:id="55" w:name="Xe05da5ad93407443f33c32ff146100eb0fd1767"/>
      <w:bookmarkStart w:id="56" w:name="transport-et-organisation-logistique"/>
      <w:r>
        <w:rPr/>
        <w:t>L’emballage joue un double rôle : protéger le produit durant le transport et le stockage, et contribuer à sa valorisation commerciale. Un emballage adapté au produit et au segment de marché visé (cageots aérés pour les fruits et légumes fragiles, sacs propres et normalisés pour les céréales, contenants hermétiques pour les produits transformés) réduit les pertes physiques et améliore l’image du produit auprès de l’acheteur. Sur les marchés urbains ou institutionnels, un conditionnement soigné, avec des informations claires (poids, origine, date), constitue souvent un prérequis implicite pour être pris au sérieux par un acheteur professionnel.</w:t>
      </w:r>
      <w:bookmarkEnd w:id="55"/>
      <w:bookmarkEnd w:id="56"/>
    </w:p>
    <w:p>
      <w:pPr>
        <w:pStyle w:val="Heading2"/>
        <w:rPr/>
      </w:pPr>
      <w:bookmarkStart w:id="57" w:name="__RefHeading___Toc5246_3877972828"/>
      <w:bookmarkStart w:id="58" w:name="X60261e4eb0ad02f3b79d5aca99fad2006bd0b2b"/>
      <w:bookmarkEnd w:id="57"/>
      <w:r>
        <w:rPr/>
        <w:t>4. Construire des partenariats durables dans la chaîne de valeur</w:t>
      </w:r>
    </w:p>
    <w:p>
      <w:pPr>
        <w:pStyle w:val="Heading3"/>
        <w:rPr/>
      </w:pPr>
      <w:bookmarkStart w:id="59" w:name="__RefHeading___Toc5248_3877972828"/>
      <w:bookmarkStart w:id="60" w:name="X0c8d79ccba0b865f75908400e9b8a7a0ad0d79b"/>
      <w:bookmarkEnd w:id="59"/>
      <w:r>
        <w:rPr/>
        <w:t>4.1 Partenariats avec les fournisseurs d’intrants et de services</w:t>
      </w:r>
    </w:p>
    <w:p>
      <w:pPr>
        <w:pStyle w:val="FirstParagraph"/>
        <w:rPr/>
      </w:pPr>
      <w:r>
        <w:rPr/>
        <w:t>Un agroentrepreneur ne se limite pas à des relations en aval, avec ses acheteurs : ses relations en amont, avec les fournisseurs d’intrants (semences, engrais, matériel), les prestataires de services (transport, transformation à façon, conseil technique) et les institutions financières, sont tout aussi déterminantes pour la performance de son activité. Un partenariat durable avec un fournisseur repose sur des principes similaires à ceux qui régissent la relation avec un acheteur : fiabilité réciproque, transparence sur les conditions (prix, qualité, délais), et construction progressive de la confiance à travers plusieurs transactions réussies.</w:t>
      </w:r>
    </w:p>
    <w:p>
      <w:pPr>
        <w:pStyle w:val="BodyText"/>
        <w:rPr/>
      </w:pPr>
      <w:bookmarkStart w:id="61" w:name="emballage-et-conditionnement"/>
      <w:r>
        <w:rPr/>
        <w:t>Certains fournisseurs proposent des modèles d’accompagnement intégrés — fourniture d’intrants à crédit remboursable à la récolte, appui technique conditionné à l’achat de la production — qui peuvent constituer un levier de développement, à condition d’en évaluer soigneusement les termes pour éviter une dépendance excessive ou des conditions de remboursement défavorables.</w:t>
      </w:r>
      <w:bookmarkEnd w:id="61"/>
    </w:p>
    <w:p>
      <w:pPr>
        <w:pStyle w:val="Heading3"/>
        <w:rPr/>
      </w:pPr>
      <w:bookmarkStart w:id="62" w:name="__RefHeading___Toc5250_3877972828"/>
      <w:bookmarkStart w:id="63" w:name="X12265a3749b2b07a3be1b0f52261a98b1f46504"/>
      <w:bookmarkEnd w:id="62"/>
      <w:r>
        <w:rPr/>
        <w:t>4.2 Partenariats avec les acheteurs : de la transaction ponctuelle à la relation durable</w:t>
      </w:r>
    </w:p>
    <w:p>
      <w:pPr>
        <w:pStyle w:val="FirstParagraph"/>
        <w:rPr/>
      </w:pPr>
      <w:r>
        <w:rPr/>
        <w:t>La plupart des relations commerciales agricoles commencent par une transaction ponctuelle. La transformer en partenariat durable suppose un travail actif de construction de la confiance : livrer ce qui a été convenu, dans les délais et la qualité annoncés ; communiquer rapidement en cas de difficulté plutôt que de disparaître ; proposer une amélioration continue (meilleur calibrage, nouveau produit, meilleur prix pour un engagement de volume) plutôt que de se contenter du minimum.</w:t>
      </w:r>
    </w:p>
    <w:p>
      <w:pPr>
        <w:pStyle w:val="BodyText"/>
        <w:rPr/>
      </w:pPr>
      <w:r>
        <w:rPr/>
        <w:t>Un partenariat durable avec un acheteur présente des avantages substantiels pour un agroentrepreneur : une meilleure visibilité sur les débouchés, ce qui facilite la planification de la production ; parfois un accès facilité au financement, certains acheteurs ou institutions finançant la production contre un engagement de livraison ; et une réduction du temps et des coûts de recherche de nouveaux clients à chaque campagne.</w:t>
      </w:r>
    </w:p>
    <w:p>
      <w:pPr>
        <w:pStyle w:val="BodyText"/>
        <w:rPr/>
      </w:pPr>
      <w:r>
        <w:rPr/>
        <w:t>Un exemple illustratif : une entreprise de transformation de fruits, après plusieurs livraisons ponctuelles et satisfaisantes à un distributeur régional, a négocié avec lui un accord d’approvisionnement portant sur l’ensemble de la saison, avec un prix indexé sur un barème convenu à l’avance. Cet accord a sécurisé les revenus de l’entreprise pour la saison, tout en garantissant au distributeur un approvisionnement régulier.</w:t>
      </w:r>
    </w:p>
    <w:p>
      <w:pPr>
        <w:pStyle w:val="BodyText"/>
        <w:rPr/>
      </w:pPr>
      <w:bookmarkStart w:id="64" w:name="X60261e4eb0ad02f3b79d5aca99fad2006bd0b2b"/>
      <w:r>
        <w:rPr/>
        <w:t>Construire ce type de relation durable demande également de savoir gérer les désaccords sans rompre le lien commercial. Un retard de livraison dû à un aléa climatique, un défaut ponctuel de qualité, ou un désaccord sur une révision de prix, sont des situations qui surviennent presque inévitablement dans la durée. La façon dont l’agroentrepreneur gère ces incidents — en informant l’acheteur à l’avance plutôt qu’en le laissant découvrir le problème, en proposant une solution de compensation raisonnable, en documentant les échanges — pèse souvent davantage sur la pérennité du partenariat que l’incident lui-même. À l’inverse, un acheteur qui se montre systématiquement rigide ou déloyal face à des aléas mineurs, sans laisser de marge de tolérance raisonnable, envoie un signal utile à l’agroentrepreneur sur l’intérêt réel de poursuivre la relation à long terme.</w:t>
      </w:r>
      <w:bookmarkEnd w:id="64"/>
    </w:p>
    <w:p>
      <w:pPr>
        <w:pStyle w:val="Heading3"/>
        <w:rPr/>
      </w:pPr>
      <w:bookmarkStart w:id="65" w:name="__RefHeading___Toc5252_3877972828"/>
      <w:bookmarkStart w:id="66" w:name="X48cd0a3fe0776288df10d9938772dba36e0cc31"/>
      <w:bookmarkEnd w:id="65"/>
      <w:r>
        <w:rPr/>
        <w:t>4.3 Les contrats comme outils de sécurisation, pas seulement de contrainte</w:t>
      </w:r>
    </w:p>
    <w:p>
      <w:pPr>
        <w:pStyle w:val="FirstParagraph"/>
        <w:rPr/>
      </w:pPr>
      <w:r>
        <w:rPr/>
        <w:t>La contractualisation agricole est parfois perçue avec méfiance par les producteurs, qui craignent d’être liés à des conditions défavorables ou de perdre leur liberté de vendre au meilleur prix disponible. Un contrat bien conçu, cependant, sécurise les deux parties : il garantit à l’acheteur un approvisionnement fiable, et au producteur un débouché et un prix prévisibles, réduisant l’incertitude qui pèse sur ses décisions d’investissement.</w:t>
      </w:r>
    </w:p>
    <w:p>
      <w:pPr>
        <w:pStyle w:val="BodyText"/>
        <w:rPr/>
      </w:pPr>
      <w:r>
        <w:rPr/>
        <w:t>Un contrat agricole simple devrait a minima préciser : les volumes et la qualité attendus, le calendrier de livraison, le prix ou la méthode de calcul du prix, les modalités de paiement (délai, mode), les responsabilités en cas de non-respect (pénalités, tolérance), et la durée de l’engagement. Il n’est pas nécessaire que ce contrat soit un document juridique complexe : un accord écrit simple, signé par les deux parties et compris par tous, vaut mieux qu’un accord purement verbal, en particulier pour un engagement portant sur plusieurs mois ou plusieurs campagnes.</w:t>
      </w:r>
    </w:p>
    <w:p>
      <w:pPr>
        <w:pStyle w:val="BodyText"/>
        <w:rPr/>
      </w:pPr>
      <w:bookmarkStart w:id="67" w:name="X0c8d79ccba0b865f75908400e9b8a7a0ad0d79b"/>
      <w:r>
        <w:rPr/>
        <w:t>Les agroentrepreneurs, notamment lorsqu’ils sont organisés en groupement, ont intérêt à faire relire les contrats proposés par de gros acheteurs — parfois rédigés en des termes déséquilibrés — par une personne de confiance ou une structure d’appui, avant signature, afin d’éviter des clauses excessivement contraignantes (exclusivité totale, pénalités disproportionnées, absence de garantie de prix minimum).</w:t>
      </w:r>
      <w:bookmarkEnd w:id="67"/>
    </w:p>
    <w:p>
      <w:pPr>
        <w:pStyle w:val="Heading3"/>
        <w:rPr/>
      </w:pPr>
      <w:bookmarkStart w:id="68" w:name="__RefHeading___Toc5254_3877972828"/>
      <w:bookmarkStart w:id="69" w:name="X9cbd75c288293a44bfe43933dc1a4e90a433439"/>
      <w:bookmarkEnd w:id="68"/>
      <w:r>
        <w:rPr/>
        <w:t>4.4 Le rôle des institutions d’appui et des partenariats multi-acteurs</w:t>
      </w:r>
    </w:p>
    <w:p>
      <w:pPr>
        <w:pStyle w:val="FirstParagraph"/>
        <w:rPr/>
      </w:pPr>
      <w:r>
        <w:rPr/>
        <w:t>Au-delà des relations directes entre acteurs de la chaîne de valeur, les institutions d’appui — organisations non gouvernementales, agences de développement, chambres d’agriculture, institutions de microfinance, incubateurs d’entreprises agricoles — jouent un rôle souvent déterminant pour faciliter l’accès au marché : mise en relation entre producteurs et acheteurs, appui à la structuration des groupements, financement d’infrastructures partagées (stockage, transport), formation aux techniques de négociation, ou encore accompagnement dans les démarches de certification.</w:t>
      </w:r>
    </w:p>
    <w:p>
      <w:pPr>
        <w:pStyle w:val="BodyText"/>
        <w:rPr/>
      </w:pPr>
      <w:bookmarkStart w:id="70" w:name="X12265a3749b2b07a3be1b0f52261a98b1f46504"/>
      <w:bookmarkStart w:id="71" w:name="X48cd0a3fe0776288df10d9938772dba36e0cc31"/>
      <w:r>
        <w:rPr/>
        <w:t>Un agroentrepreneur avisé cultive activement ces relations, sans en devenir dépendant : il s’agit de mobiliser l’appui disponible pour renforcer ses propres capacités, tout en gardant à l’esprit que ces appuis sont souvent limités dans le temps (durée d’un projet, d’un programme). La construction de partenariats commerciaux autonomes, capables de perdurer au-delà de l’appui institutionnel, doit rester l’objectif final.</w:t>
      </w:r>
      <w:bookmarkEnd w:id="70"/>
      <w:bookmarkEnd w:id="71"/>
    </w:p>
    <w:p>
      <w:pPr>
        <w:pStyle w:val="Heading2"/>
        <w:rPr/>
      </w:pPr>
      <w:bookmarkStart w:id="72" w:name="__RefHeading___Toc5256_3877972828"/>
      <w:bookmarkStart w:id="73" w:name="Xe32b9b9ec0b4a823df226f5ad6f712a05bd5bbe"/>
      <w:bookmarkEnd w:id="72"/>
      <w:r>
        <w:rPr/>
        <w:t>5. Le numérique et le marketing digital au service de l’accès aux marchés</w:t>
      </w:r>
    </w:p>
    <w:p>
      <w:pPr>
        <w:pStyle w:val="Heading3"/>
        <w:rPr/>
      </w:pPr>
      <w:bookmarkStart w:id="74" w:name="__RefHeading___Toc5258_3877972828"/>
      <w:bookmarkStart w:id="75" w:name="linformation-de-marché-par-le-numérique"/>
      <w:bookmarkEnd w:id="74"/>
      <w:r>
        <w:rPr/>
        <w:t>5.1 L’information de marché par le numérique</w:t>
      </w:r>
    </w:p>
    <w:p>
      <w:pPr>
        <w:pStyle w:val="FirstParagraph"/>
        <w:rPr/>
      </w:pPr>
      <w:r>
        <w:rPr/>
        <w:t>L’un des apports les plus concrets du numérique pour les agroentrepreneurs africains concerne l’accès à l’information de marché en temps réel : prix pratiqués dans différents marchés, disponibilité de la demande, prévisions météorologiques utiles à la planification des récoltes. Des services de messagerie simple (SMS), des applications mobiles dédiées ou des plateformes en ligne diffusent aujourd’hui ce type d’information, réduisant l’asymétrie d’information qui, historiquement, favorisait les intermédiaires les mieux informés au détriment des producteurs.</w:t>
      </w:r>
    </w:p>
    <w:p>
      <w:pPr>
        <w:pStyle w:val="BodyText"/>
        <w:rPr/>
      </w:pPr>
      <w:bookmarkStart w:id="76" w:name="X9cbd75c288293a44bfe43933dc1a4e90a433439"/>
      <w:r>
        <w:rPr/>
        <w:t>Disposer d’une information de prix fiable et actualisée renforce la position de négociation d’un producteur ou d’un groupement : il devient plus difficile pour un acheteur de proposer un prix très inférieur au prix réellement pratiqué sur le marché, lorsque le vendeur dispose d’une référence indépendante. Cette information facilite également les décisions de vente : attendre quelques jours si les prix sont attendus à la hausse, ou au contraire vendre rapidement en cas de baisse anticipée.</w:t>
      </w:r>
      <w:bookmarkEnd w:id="76"/>
    </w:p>
    <w:p>
      <w:pPr>
        <w:pStyle w:val="Heading3"/>
        <w:rPr/>
      </w:pPr>
      <w:bookmarkStart w:id="77" w:name="__RefHeading___Toc5260_3877972828"/>
      <w:bookmarkStart w:id="78" w:name="Xec1b0571ba28878cd7a849832601aaaa57fa5d8"/>
      <w:bookmarkEnd w:id="77"/>
      <w:r>
        <w:rPr/>
        <w:t>5.2 Vente en ligne et plateformes numériques de mise en relation</w:t>
      </w:r>
    </w:p>
    <w:p>
      <w:pPr>
        <w:pStyle w:val="FirstParagraph"/>
        <w:rPr/>
      </w:pPr>
      <w:r>
        <w:rPr/>
        <w:t>Des plateformes numériques de mise en relation entre producteurs et acheteurs se développent dans plusieurs pays africains, permettant à des groupements ou des entreprises agricoles de publier leur offre (produit, quantité, qualité, localisation) et d’être contactés directement par des acheteurs potentiels, sans passer par les intermédiaires traditionnels. Certaines de ces plateformes intègrent également des fonctions de paiement mobile, de logistique partagée, ou de financement.</w:t>
      </w:r>
    </w:p>
    <w:p>
      <w:pPr>
        <w:pStyle w:val="BodyText"/>
        <w:rPr/>
      </w:pPr>
      <w:r>
        <w:rPr/>
        <w:t>Ces outils ne remplacent pas la construction de relations commerciales solides, mais ils élargissent le champ des débouchés potentiels, en particulier pour des agroentrepreneurs situés loin des grands centres urbains. Leur utilisation efficace suppose un minimum de compétences numériques (prise de photos de qualité du produit, rédaction d’une description claire, réactivité aux messages), qui peuvent nécessiter un appui ou une formation initiale.</w:t>
      </w:r>
    </w:p>
    <w:p>
      <w:pPr>
        <w:pStyle w:val="BodyText"/>
        <w:rPr/>
      </w:pPr>
      <w:r>
        <w:rPr/>
        <w:t>Un exemple illustratif : un jeune agroentrepreneur transformant des céréales locales en farines enrichies a commencé à publier ses produits sur une plateforme de vente en ligne régionale, ce qui lui a permis de recevoir des commandes de restaurateurs et de petites épiceries situés dans des villes qu’il n’aurait pas pu démarcher physiquement, faute de temps et de moyens de déplacement.</w:t>
      </w:r>
    </w:p>
    <w:p>
      <w:pPr>
        <w:pStyle w:val="BodyText"/>
        <w:rPr/>
      </w:pPr>
      <w:bookmarkStart w:id="79" w:name="Xe32b9b9ec0b4a823df226f5ad6f712a05bd5bbe"/>
      <w:r>
        <w:rPr/>
        <w:t>L’usage de ces plateformes appelle cependant une certaine prudence. Toutes ne présentent pas le même niveau de fiabilité en matière de paiement ou de traitement des litiges, et un agroentrepreneur débutant a intérêt à commencer par de petites transactions test avant de s’engager sur des volumes importants avec un acheteur rencontré uniquement en ligne. De même, certaines plateformes prélèvent une commission sur chaque transaction, qu’il convient d’intégrer dans le calcul de la marge nette réellement dégagée, au même titre que les autres coûts de commercialisation.</w:t>
      </w:r>
      <w:bookmarkEnd w:id="79"/>
    </w:p>
    <w:p>
      <w:pPr>
        <w:pStyle w:val="Heading3"/>
        <w:rPr/>
      </w:pPr>
      <w:bookmarkStart w:id="80" w:name="__RefHeading___Toc5262_3877972828"/>
      <w:bookmarkStart w:id="81" w:name="X9be08651412e8030771f9a7963dc5e9107e84a5"/>
      <w:bookmarkEnd w:id="80"/>
      <w:r>
        <w:rPr/>
        <w:t>5.3 Réseaux sociaux, image de marque et relation client</w:t>
      </w:r>
    </w:p>
    <w:p>
      <w:pPr>
        <w:pStyle w:val="FirstParagraph"/>
        <w:rPr/>
      </w:pPr>
      <w:r>
        <w:rPr/>
        <w:t>Les réseaux sociaux constituent un outil de marketing digital accessible et peu coûteux pour un agroentrepreneur, permettant de présenter ses produits, de raconter son histoire (mode de production, origine, engagement social ou environnemental) et d’entretenir une relation directe avec ses clients, notamment sur les marchés urbains. Une présence régulière et soignée sur ces plateformes — photos de qualité, informations claires sur les produits et les modalités de commande, réponses rapides aux questions — contribue à construire une image de marque professionnelle, même pour une petite structure.</w:t>
      </w:r>
    </w:p>
    <w:p>
      <w:pPr>
        <w:pStyle w:val="BodyText"/>
        <w:rPr/>
      </w:pPr>
      <w:bookmarkStart w:id="82" w:name="linformation-de-marché-par-le-numérique"/>
      <w:r>
        <w:rPr/>
        <w:t>Cette communication digitale doit rester cohérente avec la réalité de l’offre : promettre une qualité ou une disponibilité que l’on ne peut tenir nuit rapidement à la réputation construite. Le marketing digital fonctionne ainsi comme un amplificateur — il valorise une offre solide, mais expose aussi plus vite les faiblesses d’une offre mal maîtrisée.</w:t>
      </w:r>
      <w:bookmarkEnd w:id="82"/>
    </w:p>
    <w:p>
      <w:pPr>
        <w:pStyle w:val="Heading3"/>
        <w:rPr/>
      </w:pPr>
      <w:bookmarkStart w:id="83" w:name="__RefHeading___Toc5264_3877972828"/>
      <w:bookmarkStart w:id="84" w:name="paiement-mobile-et-inclusion-financière"/>
      <w:bookmarkEnd w:id="83"/>
      <w:r>
        <w:rPr/>
        <w:t>5.4 Paiement mobile et inclusion financière</w:t>
      </w:r>
    </w:p>
    <w:p>
      <w:pPr>
        <w:pStyle w:val="FirstParagraph"/>
        <w:rPr/>
      </w:pPr>
      <w:bookmarkStart w:id="85" w:name="Xec1b0571ba28878cd7a849832601aaaa57fa5d8"/>
      <w:bookmarkStart w:id="86" w:name="X9be08651412e8030771f9a7963dc5e9107e84a5"/>
      <w:r>
        <w:rPr/>
        <w:t>Le développement du paiement mobile dans de nombreux pays africains a également transformé les pratiques commerciales agricoles, en facilitant des transactions plus sûres et plus traçables que les paiements en espèces, en particulier pour des transactions à distance ou de montant élevé. Pour un agroentrepreneur, l’utilisation du paiement mobile réduit certains risques (vol, erreurs de comptage) et facilite la tenue d’un historique de transactions, utile notamment pour appuyer une demande de financement auprès d’une institution financière, qui pourra s’appuyer sur cet historique comme preuve d’activité régulière.</w:t>
      </w:r>
      <w:bookmarkEnd w:id="85"/>
      <w:bookmarkEnd w:id="86"/>
    </w:p>
    <w:p>
      <w:pPr>
        <w:pStyle w:val="Normal"/>
        <w:jc w:val="center"/>
        <w:rPr/>
      </w:pPr>
      <w:bookmarkStart w:id="87" w:name="étude-de-cas"/>
      <w:r>
        <w:rPr/>
        <w:drawing>
          <wp:inline distT="0" distB="0" distL="0" distR="0">
            <wp:extent cx="3657600" cy="186309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3657600" cy="1863090"/>
                    </a:xfrm>
                    <a:prstGeom prst="rect">
                      <a:avLst/>
                    </a:prstGeom>
                  </pic:spPr>
                </pic:pic>
              </a:graphicData>
            </a:graphic>
          </wp:inline>
        </w:drawing>
      </w:r>
    </w:p>
    <w:p>
      <w:pPr>
        <w:pStyle w:val="Normal"/>
        <w:spacing w:before="0" w:after="320"/>
        <w:jc w:val="center"/>
        <w:rPr/>
      </w:pPr>
      <w:r>
        <w:rPr>
          <w:i/>
          <w:color w:val="666666"/>
          <w:sz w:val="19"/>
        </w:rPr>
        <w:t>Illustration — S'appuyer sur l'information et les outils modernes pour accéder aux marchés</w:t>
      </w:r>
    </w:p>
    <w:p>
      <w:pPr>
        <w:pStyle w:val="Heading2"/>
        <w:rPr/>
      </w:pPr>
      <w:bookmarkStart w:id="88" w:name="__RefHeading___Toc5266_3877972828"/>
      <w:bookmarkEnd w:id="88"/>
      <w:r>
        <w:rPr/>
        <w:t>Étude de cas</w:t>
      </w:r>
    </w:p>
    <w:p>
      <w:pPr>
        <w:pStyle w:val="Heading3"/>
        <w:rPr/>
      </w:pPr>
      <w:bookmarkStart w:id="89" w:name="__RefHeading___Toc5268_3877972828"/>
      <w:bookmarkEnd w:id="89"/>
      <w:r>
        <w:rPr/>
        <w:t>Le groupement « Terre Fertile » et sa transformation commerciale</w:t>
      </w:r>
    </w:p>
    <w:p>
      <w:pPr>
        <w:pStyle w:val="FirstParagraph"/>
        <w:rPr/>
      </w:pPr>
      <w:r>
        <w:rPr/>
        <w:t>Le groupement « Terre Fertile » (nom fictif, à des fins pédagogiques) rassemble une trentaine de producteurs et productrices de légumes dans une zone rurale d’Afrique de l’Ouest, à environ deux heures de route d’une capitale régionale. Créé une dizaine d’années auparavant sous forme d’entraide informelle pour l’accès aux semences, le groupement s’est progressivement structuré, sans toutefois avoir jusque-là développé de véritable stratégie commerciale collective.</w:t>
      </w:r>
    </w:p>
    <w:p>
      <w:pPr>
        <w:pStyle w:val="BodyText"/>
        <w:rPr/>
      </w:pPr>
      <w:r>
        <w:rPr/>
        <w:t>Chaque membre vendait individuellement sa production, principalement sur le marché hebdomadaire du village le plus proche, à des collecteurs de passage qui fixaient les prix en fonction de l’offre du jour, souvent au désavantage des producteurs en période de forte récolte. Les pertes post-récolte étaient importantes, faute de stockage adapté : les légumes non vendus le jour du marché étaient souvent bradés ou perdus. Le revenu moyen des membres restait faible et imprévisible d’une semaine à l’autre, ce qui limitait leur capacité à investir dans l’amélioration de leurs pratiques agricoles.</w:t>
      </w:r>
    </w:p>
    <w:p>
      <w:pPr>
        <w:pStyle w:val="BodyText"/>
        <w:rPr/>
      </w:pPr>
      <w:r>
        <w:rPr/>
        <w:t>Avec l’appui ponctuel d’une organisation locale de développement rural, le groupement a engagé, sur environ dix-huit mois, une démarche de transformation de son approche commerciale, structurée en plusieurs étapes.</w:t>
      </w:r>
    </w:p>
    <w:p>
      <w:pPr>
        <w:pStyle w:val="BodyText"/>
        <w:rPr/>
      </w:pPr>
      <w:r>
        <w:rPr/>
        <w:t>La première étape a consisté en un diagnostic collectif des marchés potentiels au-delà du marché local. Une enquête simple, menée par quelques membres formés à cet effet, a permis d’identifier plusieurs débouchés jusque-là inexploités : deux supermarchés de la capitale régionale à la recherche de fournisseurs réguliers de légumes frais, une cantine scolaire publique cherchant à s’approvisionner localement dans le cadre d’un programme d’alimentation scolaire, et un petit réseau de restaurants soucieux de mettre en avant des produits locaux dans leur menu.</w:t>
      </w:r>
    </w:p>
    <w:p>
      <w:pPr>
        <w:pStyle w:val="BodyText"/>
        <w:rPr/>
      </w:pPr>
      <w:r>
        <w:rPr/>
        <w:t>La deuxième étape a porté sur la structuration de l’offre collective. Le groupement a mis en place un calendrier de production partagé entre ses membres, afin d’assurer une disponibilité étalée sur l’année plutôt que des pics de récolte simultanés, et a défini des standards communs de calibrage et de tri, avec un contrôle qualité assuré par un petit comité interne avant chaque livraison groupée. Un système simple de collecte centralisée a été organisé, avec un point de regroupement unique où chaque membre apporte sa production les jours convenus.</w:t>
      </w:r>
    </w:p>
    <w:p>
      <w:pPr>
        <w:pStyle w:val="BodyText"/>
        <w:rPr/>
      </w:pPr>
      <w:r>
        <w:rPr/>
        <w:t>La troisième étape a concerné les infrastructures. Avec une contribution propre du groupement complétée par un appui extérieur, un petit local de stockage ventilé a été construit au point de collecte, permettant de conserver les légumes quelques jours supplémentaires et d’étaler les livraisons, réduisant sensiblement les pertes post-récolte, qui sont passées d’environ un tiers de la production à un niveau nettement plus faible.</w:t>
      </w:r>
    </w:p>
    <w:p>
      <w:pPr>
        <w:pStyle w:val="BodyText"/>
        <w:rPr/>
      </w:pPr>
      <w:r>
        <w:rPr/>
        <w:t>La quatrième étape a porté sur la négociation des partenariats commerciaux. Une délégation de trois membres, accompagnée dans un premier temps par un conseiller de l’organisation d’appui, a rencontré les responsables d’achat des deux supermarchés identifiés, ainsi que le gestionnaire du programme de cantine scolaire. Ces échanges ont permis d’aboutir à des accords écrits simples, précisant les volumes hebdomadaires attendus, les standards de qualité, le calendrier de livraison et un prix révisable trimestriellement selon une méthode de calcul convenue à l’avance, plutôt qu’un prix fixé au jour le jour.</w:t>
      </w:r>
    </w:p>
    <w:p>
      <w:pPr>
        <w:pStyle w:val="BodyText"/>
        <w:rPr/>
      </w:pPr>
      <w:r>
        <w:rPr/>
        <w:t>La cinquième étape a consisté à organiser la logistique de livraison, en mutualisant le transport vers la capitale régionale grâce à la location partagée d’un petit véhicule, deux fois par semaine, réduisant fortement le coût de transport par kilogramme comparé aux livraisons individuelles antérieures.</w:t>
      </w:r>
    </w:p>
    <w:p>
      <w:pPr>
        <w:pStyle w:val="BodyText"/>
        <w:rPr/>
      </w:pPr>
      <w:r>
        <w:rPr/>
        <w:t>Dix-huit mois après le lancement de cette démarche, le groupement écoulait environ la moitié de sa production via les partenariats nouvellement établis avec les supermarchés, la cantine scolaire et le réseau de restaurants, à des prix sensiblement supérieurs et surtout plus stables que ceux du marché local, qui continuait d’absorber le reste de la production et les surplus occasionnels. Le revenu moyen des membres avait sensiblement progressé, mais l’évolution la plus significative, selon les membres eux-mêmes, concernait la prévisibilité retrouvée : savoir plusieurs semaines à l’avance quelles quantités seraient vendues, à quel prix, a permis au groupement de mieux planifier ses achats d’intrants et d’envisager des investissements de moyen terme, comme l’acquisition d’un petit système d’irrigation partagé.</w:t>
      </w:r>
    </w:p>
    <w:p>
      <w:pPr>
        <w:pStyle w:val="BodyText"/>
        <w:rPr/>
      </w:pPr>
      <w:bookmarkStart w:id="90" w:name="paiement-mobile-et-inclusion-financière"/>
      <w:bookmarkStart w:id="91" w:name="étude-de-cas"/>
      <w:r>
        <w:rPr/>
        <w:t>Cette expérience illustre plusieurs enseignements transversaux : l’importance d’une démarche collective pour accéder à des marchés hors de portée d’un producteur isolé, la nécessité d’investir dans la qualité et la fiabilité avant de viser des marchés plus exigeants, le rôle de la contractualisation simple comme outil de sécurisation mutuelle, et l’intérêt de mutualiser les infrastructures de stockage et de transport pour réduire les pertes et les coûts. Elle rappelle aussi que cette transformation demande du temps, de l’accompagnement, et une gouvernance interne suffisamment solide pour maintenir l’engagement collectif de tous les membres.</w:t>
      </w:r>
      <w:bookmarkEnd w:id="90"/>
      <w:bookmarkEnd w:id="91"/>
    </w:p>
    <w:p>
      <w:pPr>
        <w:pStyle w:val="Heading2"/>
        <w:rPr/>
      </w:pPr>
      <w:bookmarkStart w:id="92" w:name="__RefHeading___Toc5270_3877972828"/>
      <w:bookmarkStart w:id="93" w:name="outils-pratiques"/>
      <w:bookmarkEnd w:id="92"/>
      <w:r>
        <w:rPr/>
        <w:t>Outils pratiques</w:t>
      </w:r>
    </w:p>
    <w:p>
      <w:pPr>
        <w:pStyle w:val="Heading3"/>
        <w:rPr/>
      </w:pPr>
      <w:bookmarkStart w:id="94" w:name="__RefHeading___Toc5272_3877972828"/>
      <w:bookmarkStart w:id="95" w:name="grille-simple-danalyse-de-marché"/>
      <w:bookmarkEnd w:id="94"/>
      <w:r>
        <w:rPr/>
        <w:t>Grille simple d’analyse de marché</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34"/>
        <w:gridCol w:w="5893"/>
        <w:gridCol w:w="1733"/>
      </w:tblGrid>
      <w:tr>
        <w:trPr>
          <w:tblHeader w:val="true"/>
        </w:trPr>
        <w:tc>
          <w:tcPr>
            <w:tcW w:w="1734"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Critère</w:t>
            </w:r>
          </w:p>
        </w:tc>
        <w:tc>
          <w:tcPr>
            <w:tcW w:w="5893"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Questions à se poser</w:t>
            </w:r>
          </w:p>
        </w:tc>
        <w:tc>
          <w:tcPr>
            <w:tcW w:w="1733"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Constat pour mon activité</w:t>
            </w:r>
          </w:p>
        </w:tc>
      </w:tr>
      <w:tr>
        <w:trPr/>
        <w:tc>
          <w:tcPr>
            <w:tcW w:w="173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Segment de marché</w:t>
            </w:r>
          </w:p>
        </w:tc>
        <w:tc>
          <w:tcPr>
            <w:tcW w:w="589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Quel(s) segment(s) suis-je en mesure de servir aujourd’hui (proximité, urbain, institutionnel, export) ?</w:t>
            </w:r>
          </w:p>
        </w:tc>
        <w:tc>
          <w:tcPr>
            <w:tcW w:w="173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73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Demande</w:t>
            </w:r>
          </w:p>
        </w:tc>
        <w:tc>
          <w:tcPr>
            <w:tcW w:w="589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Quel volume ce segment peut-il absorber ? À quelle fréquence ?</w:t>
            </w:r>
          </w:p>
        </w:tc>
        <w:tc>
          <w:tcPr>
            <w:tcW w:w="173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73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Exigences de qualité</w:t>
            </w:r>
          </w:p>
        </w:tc>
        <w:tc>
          <w:tcPr>
            <w:tcW w:w="589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Quels standards de calibrage, d’emballage, de certification sont attendus ?</w:t>
            </w:r>
          </w:p>
        </w:tc>
        <w:tc>
          <w:tcPr>
            <w:tcW w:w="173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73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Prix et marge</w:t>
            </w:r>
          </w:p>
        </w:tc>
        <w:tc>
          <w:tcPr>
            <w:tcW w:w="589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Quel est le prix pratiqué sur ce segment ? Quelle marge après déduction de mon coût de revient et des coûts logistiques ?</w:t>
            </w:r>
          </w:p>
        </w:tc>
        <w:tc>
          <w:tcPr>
            <w:tcW w:w="173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73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Concurrence</w:t>
            </w:r>
          </w:p>
        </w:tc>
        <w:tc>
          <w:tcPr>
            <w:tcW w:w="589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Qui sont mes concurrents directs sur ce segment ? Quels sont leurs atouts et leurs faiblesses ?</w:t>
            </w:r>
          </w:p>
        </w:tc>
        <w:tc>
          <w:tcPr>
            <w:tcW w:w="173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73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Accessibilité</w:t>
            </w:r>
          </w:p>
        </w:tc>
        <w:tc>
          <w:tcPr>
            <w:tcW w:w="589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Quelle distance, quel coût et quel temps de transport séparent ma production de ce marché ?</w:t>
            </w:r>
          </w:p>
        </w:tc>
        <w:tc>
          <w:tcPr>
            <w:tcW w:w="173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73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Fiabilité requise</w:t>
            </w:r>
          </w:p>
        </w:tc>
        <w:tc>
          <w:tcPr>
            <w:tcW w:w="589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Quel niveau de régularité et de volume dois-je garantir pour être crédible sur ce segment ?</w:t>
            </w:r>
          </w:p>
        </w:tc>
        <w:tc>
          <w:tcPr>
            <w:tcW w:w="173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73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Risques</w:t>
            </w:r>
          </w:p>
        </w:tc>
        <w:tc>
          <w:tcPr>
            <w:tcW w:w="589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Quels sont les principaux risques (dépendance à un acheteur, saisonnalité, retard de paiement) ?</w:t>
            </w:r>
          </w:p>
        </w:tc>
        <w:tc>
          <w:tcPr>
            <w:tcW w:w="173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73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Investissement nécessaire</w:t>
            </w:r>
          </w:p>
        </w:tc>
        <w:tc>
          <w:tcPr>
            <w:tcW w:w="589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Quels investissements (stockage, transport, mise aux normes) sont nécessaires pour accéder à ce segment ?</w:t>
            </w:r>
          </w:p>
        </w:tc>
        <w:tc>
          <w:tcPr>
            <w:tcW w:w="173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73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Décision</w:t>
            </w:r>
          </w:p>
        </w:tc>
        <w:tc>
          <w:tcPr>
            <w:tcW w:w="589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 segment est-il prioritaire à court terme, à moyen terme, ou non pertinent actuellement ?</w:t>
            </w:r>
          </w:p>
        </w:tc>
        <w:tc>
          <w:tcPr>
            <w:tcW w:w="173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bookmarkStart w:id="96" w:name="X42ac6eea7e82b92dbaba71d364c52c697ce444f"/>
            <w:bookmarkStart w:id="97" w:name="X42ac6eea7e82b92dbaba71d364c52c697ce444f"/>
            <w:bookmarkEnd w:id="97"/>
          </w:p>
        </w:tc>
      </w:tr>
    </w:tbl>
    <w:p>
      <w:pPr>
        <w:pStyle w:val="Heading3"/>
        <w:rPr/>
      </w:pPr>
      <w:bookmarkStart w:id="98" w:name="__RefHeading___Toc5274_3877972828"/>
      <w:bookmarkEnd w:id="98"/>
      <w:r>
        <w:rPr/>
        <w:t>Checklist de préparation à la négociation d’un partenariat commercial</w:t>
      </w:r>
    </w:p>
    <w:p>
      <w:pPr>
        <w:pStyle w:val="Compact"/>
        <w:numPr>
          <w:ilvl w:val="0"/>
          <w:numId w:val="3"/>
        </w:numPr>
        <w:rPr/>
      </w:pPr>
      <w:r>
        <w:rPr/>
        <w:t>Ai-je clairement défini mes objectifs minimaux et mes objectifs souhaités pour cette négociation (prix, volume, délai de paiement) ?</w:t>
      </w:r>
    </w:p>
    <w:p>
      <w:pPr>
        <w:pStyle w:val="Compact"/>
        <w:numPr>
          <w:ilvl w:val="0"/>
          <w:numId w:val="3"/>
        </w:numPr>
        <w:rPr/>
      </w:pPr>
      <w:r>
        <w:rPr/>
        <w:t>Ai-je calculé mon coût de revient réel, pour connaître mon prix plancher acceptable ?</w:t>
      </w:r>
    </w:p>
    <w:p>
      <w:pPr>
        <w:pStyle w:val="Compact"/>
        <w:numPr>
          <w:ilvl w:val="0"/>
          <w:numId w:val="3"/>
        </w:numPr>
        <w:rPr/>
      </w:pPr>
      <w:r>
        <w:rPr/>
        <w:t>Ai-je une information fiable sur les prix pratiqués actuellement sur ce segment de marché ?</w:t>
      </w:r>
    </w:p>
    <w:p>
      <w:pPr>
        <w:pStyle w:val="Compact"/>
        <w:numPr>
          <w:ilvl w:val="0"/>
          <w:numId w:val="3"/>
        </w:numPr>
        <w:rPr/>
      </w:pPr>
      <w:r>
        <w:rPr/>
        <w:t>Ai-je identifié les besoins réels de l’acheteur (qualité, volume, régularité, calendrier) et vérifié ma capacité à y répondre ?</w:t>
      </w:r>
    </w:p>
    <w:p>
      <w:pPr>
        <w:pStyle w:val="Compact"/>
        <w:numPr>
          <w:ilvl w:val="0"/>
          <w:numId w:val="3"/>
        </w:numPr>
        <w:rPr/>
      </w:pPr>
      <w:r>
        <w:rPr/>
        <w:t>Ai-je préparé des preuves concrètes de ma fiabilité (références, échantillons, historique de livraisons) ?</w:t>
      </w:r>
    </w:p>
    <w:p>
      <w:pPr>
        <w:pStyle w:val="Compact"/>
        <w:numPr>
          <w:ilvl w:val="0"/>
          <w:numId w:val="3"/>
        </w:numPr>
        <w:rPr/>
      </w:pPr>
      <w:r>
        <w:rPr/>
        <w:t>Ai-je identifié d’autres débouchés potentiels, pour ne pas négocier en situation de dépendance totale à un seul acheteur ?</w:t>
      </w:r>
    </w:p>
    <w:p>
      <w:pPr>
        <w:pStyle w:val="Compact"/>
        <w:numPr>
          <w:ilvl w:val="0"/>
          <w:numId w:val="3"/>
        </w:numPr>
        <w:rPr/>
      </w:pPr>
      <w:r>
        <w:rPr/>
        <w:t>Ai-je réfléchi aux clauses essentielles à inclure dans un accord écrit (volume, qualité, prix, délai de paiement, durée, conditions de révision) ?</w:t>
      </w:r>
    </w:p>
    <w:p>
      <w:pPr>
        <w:pStyle w:val="Compact"/>
        <w:numPr>
          <w:ilvl w:val="0"/>
          <w:numId w:val="3"/>
        </w:numPr>
        <w:rPr/>
      </w:pPr>
      <w:r>
        <w:rPr/>
        <w:t>Ai-je prévu de faire relire tout contrat proposé par l’acheteur avant signature, en particulier les clauses d’exclusivité ou de pénalité ?</w:t>
      </w:r>
    </w:p>
    <w:p>
      <w:pPr>
        <w:pStyle w:val="Compact"/>
        <w:numPr>
          <w:ilvl w:val="0"/>
          <w:numId w:val="3"/>
        </w:numPr>
        <w:rPr/>
      </w:pPr>
      <w:r>
        <w:rPr/>
        <w:t>Ai-je anticipé les points sur lesquels je suis prêt à faire des concessions, et ceux sur lesquels je ne céderai pas ?</w:t>
      </w:r>
    </w:p>
    <w:p>
      <w:pPr>
        <w:pStyle w:val="Compact"/>
        <w:numPr>
          <w:ilvl w:val="0"/>
          <w:numId w:val="3"/>
        </w:numPr>
        <w:rPr/>
      </w:pPr>
      <w:bookmarkStart w:id="99" w:name="outils-pratiques"/>
      <w:bookmarkStart w:id="100" w:name="grille-simple-danalyse-de-marché"/>
      <w:r>
        <w:rPr/>
        <w:t>Ai-je prévu, si je négocie au nom d’un groupement, un mandat clair validé par les membres avant la rencontre avec l’acheteur ?</w:t>
      </w:r>
      <w:bookmarkEnd w:id="99"/>
      <w:bookmarkEnd w:id="100"/>
    </w:p>
    <w:p>
      <w:pPr>
        <w:pStyle w:val="Heading2"/>
        <w:rPr/>
      </w:pPr>
      <w:bookmarkStart w:id="101" w:name="__RefHeading___Toc5276_3877972828"/>
      <w:bookmarkStart w:id="102" w:name="points-clés-à-retenir"/>
      <w:bookmarkEnd w:id="101"/>
      <w:r>
        <w:rPr/>
        <w:t>Points clés à retenir</w:t>
      </w:r>
    </w:p>
    <w:p>
      <w:pPr>
        <w:pStyle w:val="Compact"/>
        <w:numPr>
          <w:ilvl w:val="0"/>
          <w:numId w:val="25"/>
        </w:numPr>
        <w:rPr/>
      </w:pPr>
      <w:r>
        <w:rPr/>
        <w:t>L’accès au marché doit être pensé dès la conception de l’activité agricole, et non comme une simple étape finale après la production.</w:t>
      </w:r>
    </w:p>
    <w:p>
      <w:pPr>
        <w:pStyle w:val="Compact"/>
        <w:numPr>
          <w:ilvl w:val="0"/>
          <w:numId w:val="26"/>
        </w:numPr>
        <w:rPr/>
      </w:pPr>
      <w:r>
        <w:rPr/>
        <w:t>Segmenter les marchés (proximité, urbain, institutionnel, export) permet d’adapter l’offre, le prix et l’investissement au segment réellement accessible.</w:t>
      </w:r>
    </w:p>
    <w:p>
      <w:pPr>
        <w:pStyle w:val="Compact"/>
        <w:numPr>
          <w:ilvl w:val="0"/>
          <w:numId w:val="27"/>
        </w:numPr>
        <w:rPr/>
      </w:pPr>
      <w:r>
        <w:rPr/>
        <w:t>Une montée en gamme progressive, du marché local vers des marchés plus exigeants, est généralement plus sûre qu’un saut direct vers l’export ou les marchés institutionnels.</w:t>
      </w:r>
    </w:p>
    <w:p>
      <w:pPr>
        <w:pStyle w:val="Compact"/>
        <w:numPr>
          <w:ilvl w:val="0"/>
          <w:numId w:val="28"/>
        </w:numPr>
        <w:rPr/>
      </w:pPr>
      <w:r>
        <w:rPr/>
        <w:t>La fixation du prix doit s’appuyer sur le coût de revient réel, le prix du marché et la valeur perçue par le client, et non sur la seule habitude ou l’imitation des voisins.</w:t>
      </w:r>
    </w:p>
    <w:p>
      <w:pPr>
        <w:pStyle w:val="Compact"/>
        <w:numPr>
          <w:ilvl w:val="0"/>
          <w:numId w:val="29"/>
        </w:numPr>
        <w:rPr/>
      </w:pPr>
      <w:r>
        <w:rPr/>
        <w:t>La différenciation par la qualité, l’origine ou une marque propre permet d’échapper à la seule concurrence par les prix.</w:t>
      </w:r>
    </w:p>
    <w:p>
      <w:pPr>
        <w:pStyle w:val="Compact"/>
        <w:numPr>
          <w:ilvl w:val="0"/>
          <w:numId w:val="30"/>
        </w:numPr>
        <w:rPr/>
      </w:pPr>
      <w:r>
        <w:rPr/>
        <w:t>La vente groupée via une coopérative renforce le pouvoir de négociation, réduit les coûts unitaires et facilite l’accès aux marchés de plus grande échelle.</w:t>
      </w:r>
    </w:p>
    <w:p>
      <w:pPr>
        <w:pStyle w:val="Compact"/>
        <w:numPr>
          <w:ilvl w:val="0"/>
          <w:numId w:val="31"/>
        </w:numPr>
        <w:rPr/>
      </w:pPr>
      <w:r>
        <w:rPr/>
        <w:t>Les pertes post-récolte, souvent considérables, peuvent être réduites significativement par des solutions de stockage simples et adaptées, individuelles ou mutualisées.</w:t>
      </w:r>
    </w:p>
    <w:p>
      <w:pPr>
        <w:pStyle w:val="Compact"/>
        <w:numPr>
          <w:ilvl w:val="0"/>
          <w:numId w:val="32"/>
        </w:numPr>
        <w:rPr/>
      </w:pPr>
      <w:r>
        <w:rPr/>
        <w:t>La mutualisation du transport et de la logistique entre producteurs réduit les coûts et améliore l’accès à des marchés plus éloignés.</w:t>
      </w:r>
    </w:p>
    <w:p>
      <w:pPr>
        <w:pStyle w:val="Compact"/>
        <w:numPr>
          <w:ilvl w:val="0"/>
          <w:numId w:val="33"/>
        </w:numPr>
        <w:rPr/>
      </w:pPr>
      <w:r>
        <w:rPr/>
        <w:t>Un contrat simple et équilibré sécurise à la fois le producteur et l’acheteur, et ne doit pas être perçu uniquement comme une contrainte.</w:t>
      </w:r>
    </w:p>
    <w:p>
      <w:pPr>
        <w:pStyle w:val="Compact"/>
        <w:numPr>
          <w:ilvl w:val="0"/>
          <w:numId w:val="34"/>
        </w:numPr>
        <w:rPr/>
      </w:pPr>
      <w:r>
        <w:rPr/>
        <w:t>Le numérique — information de marché, plateformes de mise en relation, réseaux sociaux, paiement mobile — élargit les débouchés accessibles, sans se substituer à la construction de relations commerciales solides et durables.</w:t>
      </w:r>
    </w:p>
    <w:p>
      <w:pPr>
        <w:pStyle w:val="Heading2"/>
        <w:rPr/>
      </w:pPr>
      <w:bookmarkStart w:id="103" w:name="__RefHeading___Toc5278_3877972828"/>
      <w:bookmarkStart w:id="104" w:name="mode-dévaluation-qcm"/>
      <w:bookmarkEnd w:id="103"/>
      <w:r>
        <w:rPr/>
        <w:t>Mode d’évaluation : QCM</w:t>
      </w:r>
    </w:p>
    <w:p>
      <w:pPr>
        <w:pStyle w:val="Compact"/>
        <w:numPr>
          <w:ilvl w:val="0"/>
          <w:numId w:val="35"/>
        </w:numPr>
        <w:rPr/>
      </w:pPr>
      <w:r>
        <w:rPr/>
        <w:t>Quel est, selon ce module, le principal risque pour un agroentrepreneur qui vend l’intégralité de sa production à un seul acheteur ?</w:t>
      </w:r>
    </w:p>
    <w:p>
      <w:pPr>
        <w:pStyle w:val="Compact"/>
        <w:numPr>
          <w:ilvl w:val="1"/>
          <w:numId w:val="36"/>
        </w:numPr>
        <w:rPr/>
      </w:pPr>
      <w:r>
        <w:rPr/>
        <w:t>Une baisse de la qualité perçue de son produit</w:t>
      </w:r>
    </w:p>
    <w:p>
      <w:pPr>
        <w:pStyle w:val="Compact"/>
        <w:numPr>
          <w:ilvl w:val="1"/>
          <w:numId w:val="6"/>
        </w:numPr>
        <w:rPr/>
      </w:pPr>
      <w:r>
        <w:rPr/>
        <w:t>Une vulnérabilité extrême en cas de perte de ce client ou de baisse de prix imposée</w:t>
      </w:r>
    </w:p>
    <w:p>
      <w:pPr>
        <w:pStyle w:val="Compact"/>
        <w:numPr>
          <w:ilvl w:val="1"/>
          <w:numId w:val="6"/>
        </w:numPr>
        <w:rPr/>
      </w:pPr>
      <w:r>
        <w:rPr/>
        <w:t>Une augmentation automatique de ses coûts de production</w:t>
      </w:r>
    </w:p>
    <w:p>
      <w:pPr>
        <w:pStyle w:val="Compact"/>
        <w:numPr>
          <w:ilvl w:val="1"/>
          <w:numId w:val="6"/>
        </w:numPr>
        <w:rPr/>
      </w:pPr>
      <w:r>
        <w:rPr/>
        <w:t>Une obligation légale de diversifier ses cultures</w:t>
      </w:r>
    </w:p>
    <w:p>
      <w:pPr>
        <w:pStyle w:val="Compact"/>
        <w:numPr>
          <w:ilvl w:val="0"/>
          <w:numId w:val="37"/>
        </w:numPr>
        <w:rPr/>
      </w:pPr>
      <w:r>
        <w:rPr/>
        <w:t>Parmi les segments de marché suivants, lequel exige généralement le plus faible niveau d’exigence en matière de calibrage et de conditionnement ?</w:t>
      </w:r>
    </w:p>
    <w:p>
      <w:pPr>
        <w:pStyle w:val="Compact"/>
        <w:numPr>
          <w:ilvl w:val="1"/>
          <w:numId w:val="38"/>
        </w:numPr>
        <w:rPr/>
      </w:pPr>
      <w:r>
        <w:rPr/>
        <w:t>Le marché d’exportation</w:t>
      </w:r>
    </w:p>
    <w:p>
      <w:pPr>
        <w:pStyle w:val="Compact"/>
        <w:numPr>
          <w:ilvl w:val="1"/>
          <w:numId w:val="39"/>
        </w:numPr>
        <w:rPr/>
      </w:pPr>
      <w:r>
        <w:rPr/>
        <w:t>Le marché institutionnel via appel d’offres</w:t>
      </w:r>
    </w:p>
    <w:p>
      <w:pPr>
        <w:pStyle w:val="Compact"/>
        <w:numPr>
          <w:ilvl w:val="1"/>
          <w:numId w:val="40"/>
        </w:numPr>
        <w:rPr/>
      </w:pPr>
      <w:r>
        <w:rPr/>
        <w:t>Le marché local ou de proximité</w:t>
      </w:r>
    </w:p>
    <w:p>
      <w:pPr>
        <w:pStyle w:val="Compact"/>
        <w:numPr>
          <w:ilvl w:val="1"/>
          <w:numId w:val="41"/>
        </w:numPr>
        <w:rPr/>
      </w:pPr>
      <w:r>
        <w:rPr/>
        <w:t>La distribution moderne en supermarché</w:t>
      </w:r>
    </w:p>
    <w:p>
      <w:pPr>
        <w:pStyle w:val="Compact"/>
        <w:numPr>
          <w:ilvl w:val="0"/>
          <w:numId w:val="42"/>
        </w:numPr>
        <w:rPr/>
      </w:pPr>
      <w:r>
        <w:rPr/>
        <w:t>Sur quels éléments doit prioritairement s’appuyer la fixation d’un prix de vente rémunérateur ?</w:t>
      </w:r>
    </w:p>
    <w:p>
      <w:pPr>
        <w:pStyle w:val="Compact"/>
        <w:numPr>
          <w:ilvl w:val="1"/>
          <w:numId w:val="43"/>
        </w:numPr>
        <w:rPr/>
      </w:pPr>
      <w:r>
        <w:rPr/>
        <w:t>Uniquement le prix pratiqué par les concurrents les moins chers</w:t>
      </w:r>
    </w:p>
    <w:p>
      <w:pPr>
        <w:pStyle w:val="Compact"/>
        <w:numPr>
          <w:ilvl w:val="1"/>
          <w:numId w:val="44"/>
        </w:numPr>
        <w:rPr/>
      </w:pPr>
      <w:r>
        <w:rPr/>
        <w:t>Le coût de revient, le prix du marché et la valeur perçue par le client</w:t>
      </w:r>
    </w:p>
    <w:p>
      <w:pPr>
        <w:pStyle w:val="Compact"/>
        <w:numPr>
          <w:ilvl w:val="1"/>
          <w:numId w:val="45"/>
        </w:numPr>
        <w:rPr/>
      </w:pPr>
      <w:r>
        <w:rPr/>
        <w:t>Le prix fixé l’année précédente, reconduit sans changement</w:t>
      </w:r>
    </w:p>
    <w:p>
      <w:pPr>
        <w:pStyle w:val="Compact"/>
        <w:numPr>
          <w:ilvl w:val="1"/>
          <w:numId w:val="46"/>
        </w:numPr>
        <w:rPr/>
      </w:pPr>
      <w:r>
        <w:rPr/>
        <w:t>Le montant que le producteur souhaite obtenir, indépendamment du marché</w:t>
      </w:r>
    </w:p>
    <w:p>
      <w:pPr>
        <w:pStyle w:val="Compact"/>
        <w:numPr>
          <w:ilvl w:val="0"/>
          <w:numId w:val="47"/>
        </w:numPr>
        <w:rPr/>
      </w:pPr>
      <w:r>
        <w:rPr/>
        <w:t>Que désigne le terme de « vente parallèle » ou « side-selling » évoqué dans ce module ?</w:t>
      </w:r>
    </w:p>
    <w:p>
      <w:pPr>
        <w:pStyle w:val="Compact"/>
        <w:numPr>
          <w:ilvl w:val="1"/>
          <w:numId w:val="48"/>
        </w:numPr>
        <w:rPr/>
      </w:pPr>
      <w:r>
        <w:rPr/>
        <w:t>La vente simultanée de deux produits différents sur un même marché</w:t>
      </w:r>
    </w:p>
    <w:p>
      <w:pPr>
        <w:pStyle w:val="Compact"/>
        <w:numPr>
          <w:ilvl w:val="1"/>
          <w:numId w:val="49"/>
        </w:numPr>
        <w:rPr/>
      </w:pPr>
      <w:r>
        <w:rPr/>
        <w:t>La vente individuelle par un membre d’un groupement, en dehors de l’engagement collectif, au détriment de la coopérative</w:t>
      </w:r>
    </w:p>
    <w:p>
      <w:pPr>
        <w:pStyle w:val="Compact"/>
        <w:numPr>
          <w:ilvl w:val="1"/>
          <w:numId w:val="50"/>
        </w:numPr>
        <w:rPr/>
      </w:pPr>
      <w:r>
        <w:rPr/>
        <w:t>Une stratégie légale de diversification des canaux de vente</w:t>
      </w:r>
    </w:p>
    <w:p>
      <w:pPr>
        <w:pStyle w:val="Compact"/>
        <w:numPr>
          <w:ilvl w:val="1"/>
          <w:numId w:val="51"/>
        </w:numPr>
        <w:rPr/>
      </w:pPr>
      <w:r>
        <w:rPr/>
        <w:t>Un mode de paiement utilisé sur les plateformes numériques</w:t>
      </w:r>
    </w:p>
    <w:p>
      <w:pPr>
        <w:pStyle w:val="Compact"/>
        <w:numPr>
          <w:ilvl w:val="0"/>
          <w:numId w:val="52"/>
        </w:numPr>
        <w:rPr/>
      </w:pPr>
      <w:r>
        <w:rPr/>
        <w:t>Quel est l’un des principaux avantages d’un circuit court de distribution pour un agroentrepreneur ?</w:t>
      </w:r>
    </w:p>
    <w:p>
      <w:pPr>
        <w:pStyle w:val="Compact"/>
        <w:numPr>
          <w:ilvl w:val="1"/>
          <w:numId w:val="53"/>
        </w:numPr>
        <w:rPr/>
      </w:pPr>
      <w:r>
        <w:rPr/>
        <w:t>Il élimine totalement les risques logistiques</w:t>
      </w:r>
    </w:p>
    <w:p>
      <w:pPr>
        <w:pStyle w:val="Compact"/>
        <w:numPr>
          <w:ilvl w:val="1"/>
          <w:numId w:val="54"/>
        </w:numPr>
        <w:rPr/>
      </w:pPr>
      <w:r>
        <w:rPr/>
        <w:t>Il garantit un prix identique à celui du circuit long</w:t>
      </w:r>
    </w:p>
    <w:p>
      <w:pPr>
        <w:pStyle w:val="Compact"/>
        <w:numPr>
          <w:ilvl w:val="1"/>
          <w:numId w:val="55"/>
        </w:numPr>
        <w:rPr/>
      </w:pPr>
      <w:r>
        <w:rPr/>
        <w:t>Il permet généralement de capter une part plus importante du prix final</w:t>
      </w:r>
    </w:p>
    <w:p>
      <w:pPr>
        <w:pStyle w:val="Compact"/>
        <w:numPr>
          <w:ilvl w:val="1"/>
          <w:numId w:val="56"/>
        </w:numPr>
        <w:rPr/>
      </w:pPr>
      <w:r>
        <w:rPr/>
        <w:t>Il supprime la nécessité de disposer d’un moyen de transport</w:t>
      </w:r>
    </w:p>
    <w:p>
      <w:pPr>
        <w:pStyle w:val="Compact"/>
        <w:numPr>
          <w:ilvl w:val="0"/>
          <w:numId w:val="57"/>
        </w:numPr>
        <w:rPr/>
      </w:pPr>
      <w:r>
        <w:rPr/>
        <w:t>Quelle solution est présentée dans ce module comme un moyen de réduire les pertes post-récolte pour des produits périssables ?</w:t>
      </w:r>
    </w:p>
    <w:p>
      <w:pPr>
        <w:pStyle w:val="Compact"/>
        <w:numPr>
          <w:ilvl w:val="1"/>
          <w:numId w:val="58"/>
        </w:numPr>
        <w:rPr/>
      </w:pPr>
      <w:r>
        <w:rPr/>
        <w:t>Vendre systématiquement toute la récolte le jour même, sans exception</w:t>
      </w:r>
    </w:p>
    <w:p>
      <w:pPr>
        <w:pStyle w:val="Compact"/>
        <w:numPr>
          <w:ilvl w:val="1"/>
          <w:numId w:val="59"/>
        </w:numPr>
        <w:rPr/>
      </w:pPr>
      <w:r>
        <w:rPr/>
        <w:t>Investir dans un stockage adapté, individuel ou mutualisé (sacs hermétiques, entrepôts ventilés, chambres froides)</w:t>
      </w:r>
    </w:p>
    <w:p>
      <w:pPr>
        <w:pStyle w:val="Compact"/>
        <w:numPr>
          <w:ilvl w:val="1"/>
          <w:numId w:val="60"/>
        </w:numPr>
        <w:rPr/>
      </w:pPr>
      <w:r>
        <w:rPr/>
        <w:t>Augmenter la quantité récoltée chaque jour, quelle que soit la demande</w:t>
      </w:r>
    </w:p>
    <w:p>
      <w:pPr>
        <w:pStyle w:val="Compact"/>
        <w:numPr>
          <w:ilvl w:val="1"/>
          <w:numId w:val="61"/>
        </w:numPr>
        <w:rPr/>
      </w:pPr>
      <w:r>
        <w:rPr/>
        <w:t>Éviter tout contact avec des acheteurs institutionnels</w:t>
      </w:r>
    </w:p>
    <w:p>
      <w:pPr>
        <w:pStyle w:val="Compact"/>
        <w:numPr>
          <w:ilvl w:val="0"/>
          <w:numId w:val="62"/>
        </w:numPr>
        <w:rPr/>
      </w:pPr>
      <w:r>
        <w:rPr/>
        <w:t>Que doit a minima préciser un contrat agricole simple, selon ce module ?</w:t>
      </w:r>
    </w:p>
    <w:p>
      <w:pPr>
        <w:pStyle w:val="Compact"/>
        <w:numPr>
          <w:ilvl w:val="1"/>
          <w:numId w:val="63"/>
        </w:numPr>
        <w:rPr/>
      </w:pPr>
      <w:r>
        <w:rPr/>
        <w:t>Uniquement le nom des deux parties signataires</w:t>
      </w:r>
    </w:p>
    <w:p>
      <w:pPr>
        <w:pStyle w:val="Compact"/>
        <w:numPr>
          <w:ilvl w:val="1"/>
          <w:numId w:val="64"/>
        </w:numPr>
        <w:rPr/>
      </w:pPr>
      <w:r>
        <w:rPr/>
        <w:t>Les volumes et la qualité attendus, le calendrier de livraison, le prix, les modalités de paiement et la durée de l’engagement</w:t>
      </w:r>
    </w:p>
    <w:p>
      <w:pPr>
        <w:pStyle w:val="Compact"/>
        <w:numPr>
          <w:ilvl w:val="1"/>
          <w:numId w:val="65"/>
        </w:numPr>
        <w:rPr/>
      </w:pPr>
      <w:r>
        <w:rPr/>
        <w:t>La liste complète des concurrents de l’acheteur</w:t>
      </w:r>
    </w:p>
    <w:p>
      <w:pPr>
        <w:pStyle w:val="Compact"/>
        <w:numPr>
          <w:ilvl w:val="1"/>
          <w:numId w:val="66"/>
        </w:numPr>
        <w:rPr/>
      </w:pPr>
      <w:r>
        <w:rPr/>
        <w:t>Le montant exact des bénéfices futurs de l’acheteur</w:t>
      </w:r>
    </w:p>
    <w:p>
      <w:pPr>
        <w:pStyle w:val="Compact"/>
        <w:numPr>
          <w:ilvl w:val="0"/>
          <w:numId w:val="67"/>
        </w:numPr>
        <w:rPr/>
      </w:pPr>
      <w:r>
        <w:rPr/>
        <w:t>Quel rôle est attribué aux institutions d’appui (ONG, agences de développement, institutions de microfinance) dans l’accès au marché ?</w:t>
      </w:r>
    </w:p>
    <w:p>
      <w:pPr>
        <w:pStyle w:val="Compact"/>
        <w:numPr>
          <w:ilvl w:val="1"/>
          <w:numId w:val="68"/>
        </w:numPr>
        <w:rPr/>
      </w:pPr>
      <w:r>
        <w:rPr/>
        <w:t>Elles doivent se substituer définitivement à l’agroentrepreneur dans la négociation commerciale</w:t>
      </w:r>
    </w:p>
    <w:p>
      <w:pPr>
        <w:pStyle w:val="Compact"/>
        <w:numPr>
          <w:ilvl w:val="1"/>
          <w:numId w:val="69"/>
        </w:numPr>
        <w:rPr/>
      </w:pPr>
      <w:r>
        <w:rPr/>
        <w:t>Elles facilitent la mise en relation, la structuration des groupements et le financement, mais leur appui reste souvent limité dans le temps</w:t>
      </w:r>
    </w:p>
    <w:p>
      <w:pPr>
        <w:pStyle w:val="Compact"/>
        <w:numPr>
          <w:ilvl w:val="1"/>
          <w:numId w:val="70"/>
        </w:numPr>
        <w:rPr/>
      </w:pPr>
      <w:r>
        <w:rPr/>
        <w:t>Elles fixent obligatoirement les prix de vente sur tous les marchés</w:t>
      </w:r>
    </w:p>
    <w:p>
      <w:pPr>
        <w:pStyle w:val="Compact"/>
        <w:numPr>
          <w:ilvl w:val="1"/>
          <w:numId w:val="71"/>
        </w:numPr>
        <w:rPr/>
      </w:pPr>
      <w:r>
        <w:rPr/>
        <w:t>Elles n’ont aucun rôle utile dans l’accès aux marchés agricoles</w:t>
      </w:r>
    </w:p>
    <w:p>
      <w:pPr>
        <w:pStyle w:val="Compact"/>
        <w:numPr>
          <w:ilvl w:val="0"/>
          <w:numId w:val="72"/>
        </w:numPr>
        <w:rPr/>
      </w:pPr>
      <w:r>
        <w:rPr/>
        <w:t>Comment le numérique contribue-t-il à l’accès au marché pour un agroentrepreneur, selon ce module ?</w:t>
      </w:r>
    </w:p>
    <w:p>
      <w:pPr>
        <w:pStyle w:val="Compact"/>
        <w:numPr>
          <w:ilvl w:val="1"/>
          <w:numId w:val="73"/>
        </w:numPr>
        <w:rPr/>
      </w:pPr>
      <w:r>
        <w:rPr/>
        <w:t>En remplaçant totalement le besoin de relations commerciales durables</w:t>
      </w:r>
    </w:p>
    <w:p>
      <w:pPr>
        <w:pStyle w:val="Compact"/>
        <w:numPr>
          <w:ilvl w:val="1"/>
          <w:numId w:val="74"/>
        </w:numPr>
        <w:rPr/>
      </w:pPr>
      <w:r>
        <w:rPr/>
        <w:t>En réduisant l’asymétrie d’information sur les prix et en élargissant les débouchés via des plateformes de mise en relation</w:t>
      </w:r>
    </w:p>
    <w:p>
      <w:pPr>
        <w:pStyle w:val="Compact"/>
        <w:numPr>
          <w:ilvl w:val="1"/>
          <w:numId w:val="75"/>
        </w:numPr>
        <w:rPr/>
      </w:pPr>
      <w:r>
        <w:rPr/>
        <w:t>En supprimant la nécessité de tout contrôle qualité</w:t>
      </w:r>
    </w:p>
    <w:p>
      <w:pPr>
        <w:pStyle w:val="Compact"/>
        <w:numPr>
          <w:ilvl w:val="1"/>
          <w:numId w:val="76"/>
        </w:numPr>
        <w:rPr/>
      </w:pPr>
      <w:r>
        <w:rPr/>
        <w:t>En garantissant automatiquement un prix supérieur pour tous les produits</w:t>
      </w:r>
    </w:p>
    <w:p>
      <w:pPr>
        <w:pStyle w:val="Compact"/>
        <w:numPr>
          <w:ilvl w:val="0"/>
          <w:numId w:val="77"/>
        </w:numPr>
        <w:rPr/>
      </w:pPr>
      <w:r>
        <w:rPr/>
        <w:t>Dans l’étude de cas du groupement « Terre Fertile », quel facteur est présenté comme central dans l’amélioration de la situation des producteurs ?</w:t>
      </w:r>
    </w:p>
    <w:p>
      <w:pPr>
        <w:pStyle w:val="Compact"/>
        <w:numPr>
          <w:ilvl w:val="1"/>
          <w:numId w:val="78"/>
        </w:numPr>
        <w:rPr/>
      </w:pPr>
      <w:r>
        <w:rPr/>
        <w:t>L’abandon complet de la vente sur le marché local</w:t>
      </w:r>
    </w:p>
    <w:p>
      <w:pPr>
        <w:pStyle w:val="Compact"/>
        <w:numPr>
          <w:ilvl w:val="1"/>
          <w:numId w:val="79"/>
        </w:numPr>
        <w:rPr/>
      </w:pPr>
      <w:r>
        <w:rPr/>
        <w:t>La structuration collective de l’offre, l’investissement en stockage mutualisé et la négociation de partenariats avec des accords écrits simples</w:t>
      </w:r>
    </w:p>
    <w:p>
      <w:pPr>
        <w:pStyle w:val="Compact"/>
        <w:numPr>
          <w:ilvl w:val="1"/>
          <w:numId w:val="80"/>
        </w:numPr>
        <w:rPr/>
      </w:pPr>
      <w:r>
        <w:rPr/>
        <w:t>La suppression de tout intermédiaire de transport</w:t>
      </w:r>
    </w:p>
    <w:p>
      <w:pPr>
        <w:pStyle w:val="Compact"/>
        <w:numPr>
          <w:ilvl w:val="1"/>
          <w:numId w:val="81"/>
        </w:numPr>
        <w:rPr/>
      </w:pPr>
      <w:bookmarkStart w:id="105" w:name="points-clés-à-retenir"/>
      <w:r>
        <w:rPr/>
        <w:t>La spécialisation exclusive sur un unique acheteur international</w:t>
      </w:r>
      <w:bookmarkEnd w:id="105"/>
    </w:p>
    <w:p>
      <w:pPr>
        <w:pStyle w:val="Heading2"/>
        <w:rPr/>
      </w:pPr>
      <w:bookmarkStart w:id="106" w:name="__RefHeading___Toc5280_3877972828"/>
      <w:bookmarkStart w:id="107" w:name="pour-aller-plus-loin"/>
      <w:bookmarkEnd w:id="106"/>
      <w:r>
        <w:rPr/>
        <w:t>Pour aller plus loin</w:t>
      </w:r>
    </w:p>
    <w:p>
      <w:pPr>
        <w:pStyle w:val="Compact"/>
        <w:numPr>
          <w:ilvl w:val="0"/>
          <w:numId w:val="82"/>
        </w:numPr>
        <w:rPr/>
      </w:pPr>
      <w:r>
        <w:rPr/>
        <w:t>Approfondir les méthodes d’étude de marché simplifiées adaptées aux petites structures agricoles, afin d’affiner la connaissance des segments accessibles.</w:t>
      </w:r>
    </w:p>
    <w:p>
      <w:pPr>
        <w:pStyle w:val="Compact"/>
        <w:numPr>
          <w:ilvl w:val="0"/>
          <w:numId w:val="83"/>
        </w:numPr>
        <w:rPr/>
      </w:pPr>
      <w:r>
        <w:rPr/>
        <w:t>Explorer les principes de la négociation commerciale et de la contractualisation agricole équitable, pour mieux préparer les échanges avec des acheteurs plus puissants.</w:t>
      </w:r>
    </w:p>
    <w:p>
      <w:pPr>
        <w:pStyle w:val="Compact"/>
        <w:numPr>
          <w:ilvl w:val="0"/>
          <w:numId w:val="84"/>
        </w:numPr>
        <w:rPr/>
      </w:pPr>
      <w:r>
        <w:rPr/>
        <w:t>Se former aux bases du marketing digital et des réseaux sociaux appliqués à la vente de produits agricoles.</w:t>
      </w:r>
    </w:p>
    <w:p>
      <w:pPr>
        <w:pStyle w:val="Compact"/>
        <w:numPr>
          <w:ilvl w:val="0"/>
          <w:numId w:val="85"/>
        </w:numPr>
        <w:rPr/>
      </w:pPr>
      <w:r>
        <w:rPr/>
        <w:t>Étudier les expériences d’autres coopératives ou groupements ayant réussi une transition vers des marchés plus exigeants, pour en tirer des enseignements transférables.</w:t>
      </w:r>
    </w:p>
    <w:p>
      <w:pPr>
        <w:pStyle w:val="Compact"/>
        <w:numPr>
          <w:ilvl w:val="0"/>
          <w:numId w:val="86"/>
        </w:numPr>
        <w:rPr/>
      </w:pPr>
      <w:bookmarkStart w:id="108" w:name="mode-dévaluation-qcm"/>
      <w:r>
        <w:rPr/>
        <w:t>Se rapprocher des institutions d’appui locales (chambres d’agriculture, structures d’accompagnement à l’entrepreneuriat, institutions financières) pour identifier les ressources disponibles en matière d’accès au marché.</w:t>
      </w:r>
      <w:bookmarkEnd w:id="108"/>
    </w:p>
    <w:p>
      <w:pPr>
        <w:pStyle w:val="Heading2"/>
        <w:rPr/>
      </w:pPr>
      <w:bookmarkStart w:id="109" w:name="__RefHeading___Toc5282_3877972828"/>
      <w:bookmarkStart w:id="110" w:name="glossaire"/>
      <w:bookmarkEnd w:id="109"/>
      <w:r>
        <w:rPr/>
        <w:t>Glossaire</w:t>
      </w:r>
    </w:p>
    <w:p>
      <w:pPr>
        <w:pStyle w:val="Compact"/>
        <w:numPr>
          <w:ilvl w:val="0"/>
          <w:numId w:val="87"/>
        </w:numPr>
        <w:rPr/>
      </w:pPr>
      <w:r>
        <w:rPr>
          <w:b/>
          <w:bCs/>
        </w:rPr>
        <w:t>Segmentation de marché</w:t>
      </w:r>
      <w:r>
        <w:rPr/>
        <w:t xml:space="preserve"> : découpage d’un marché en groupes homogènes d’acheteurs partageant des besoins et comportements d’achat similaires.</w:t>
      </w:r>
    </w:p>
    <w:p>
      <w:pPr>
        <w:pStyle w:val="Compact"/>
        <w:numPr>
          <w:ilvl w:val="0"/>
          <w:numId w:val="88"/>
        </w:numPr>
        <w:rPr/>
      </w:pPr>
      <w:r>
        <w:rPr>
          <w:b/>
          <w:bCs/>
        </w:rPr>
        <w:t>Marché institutionnel</w:t>
      </w:r>
      <w:r>
        <w:rPr/>
        <w:t xml:space="preserve"> : marché constitué par les achats publics ou d’organisations (cantines, hôpitaux, programmes) suivant des procédures et cahiers des charges formalisés.</w:t>
      </w:r>
    </w:p>
    <w:p>
      <w:pPr>
        <w:pStyle w:val="Compact"/>
        <w:numPr>
          <w:ilvl w:val="0"/>
          <w:numId w:val="89"/>
        </w:numPr>
        <w:rPr/>
      </w:pPr>
      <w:r>
        <w:rPr>
          <w:b/>
          <w:bCs/>
        </w:rPr>
        <w:t>Circuit court</w:t>
      </w:r>
      <w:r>
        <w:rPr/>
        <w:t xml:space="preserve"> : canal de distribution comportant peu ou pas d’intermédiaires entre le producteur et l’acheteur final.</w:t>
      </w:r>
    </w:p>
    <w:p>
      <w:pPr>
        <w:pStyle w:val="Compact"/>
        <w:numPr>
          <w:ilvl w:val="0"/>
          <w:numId w:val="90"/>
        </w:numPr>
        <w:rPr/>
      </w:pPr>
      <w:r>
        <w:rPr>
          <w:b/>
          <w:bCs/>
        </w:rPr>
        <w:t>Circuit long</w:t>
      </w:r>
      <w:r>
        <w:rPr/>
        <w:t xml:space="preserve"> : canal de distribution faisant intervenir plusieurs intermédiaires (collecteur, grossiste, détaillant) avant l’acheteur final.</w:t>
      </w:r>
    </w:p>
    <w:p>
      <w:pPr>
        <w:pStyle w:val="Compact"/>
        <w:numPr>
          <w:ilvl w:val="0"/>
          <w:numId w:val="91"/>
        </w:numPr>
        <w:rPr/>
      </w:pPr>
      <w:r>
        <w:rPr>
          <w:b/>
          <w:bCs/>
        </w:rPr>
        <w:t>Coût de revient</w:t>
      </w:r>
      <w:r>
        <w:rPr/>
        <w:t xml:space="preserve"> : ensemble des coûts supportés pour produire une unité de produit, servant de référence au prix plancher de vente.</w:t>
      </w:r>
    </w:p>
    <w:p>
      <w:pPr>
        <w:pStyle w:val="Compact"/>
        <w:numPr>
          <w:ilvl w:val="0"/>
          <w:numId w:val="92"/>
        </w:numPr>
        <w:rPr/>
      </w:pPr>
      <w:r>
        <w:rPr>
          <w:b/>
          <w:bCs/>
        </w:rPr>
        <w:t>Différenciation</w:t>
      </w:r>
      <w:r>
        <w:rPr/>
        <w:t xml:space="preserve"> : stratégie consistant à distinguer son offre de celle des concurrents par la qualité, l’origine, la marque ou un mode de production spécifique.</w:t>
      </w:r>
    </w:p>
    <w:p>
      <w:pPr>
        <w:pStyle w:val="Compact"/>
        <w:numPr>
          <w:ilvl w:val="0"/>
          <w:numId w:val="93"/>
        </w:numPr>
        <w:rPr/>
      </w:pPr>
      <w:r>
        <w:rPr>
          <w:b/>
          <w:bCs/>
        </w:rPr>
        <w:t>Vente groupée</w:t>
      </w:r>
      <w:r>
        <w:rPr/>
        <w:t xml:space="preserve"> : commercialisation collective de la production de plusieurs membres d’un groupement ou d’une coopérative, afin d’accroître le pouvoir de négociation.</w:t>
      </w:r>
    </w:p>
    <w:p>
      <w:pPr>
        <w:pStyle w:val="Compact"/>
        <w:numPr>
          <w:ilvl w:val="0"/>
          <w:numId w:val="94"/>
        </w:numPr>
        <w:rPr/>
      </w:pPr>
      <w:r>
        <w:rPr>
          <w:b/>
          <w:bCs/>
        </w:rPr>
        <w:t>Vente parallèle (side-selling)</w:t>
      </w:r>
      <w:r>
        <w:rPr/>
        <w:t xml:space="preserve"> : vente individuelle par un membre d’un groupement en dehors de l’engagement collectif convenu.</w:t>
      </w:r>
    </w:p>
    <w:p>
      <w:pPr>
        <w:pStyle w:val="Compact"/>
        <w:numPr>
          <w:ilvl w:val="0"/>
          <w:numId w:val="95"/>
        </w:numPr>
        <w:rPr/>
      </w:pPr>
      <w:r>
        <w:rPr>
          <w:b/>
          <w:bCs/>
        </w:rPr>
        <w:t>Pertes post-récolte</w:t>
      </w:r>
      <w:r>
        <w:rPr/>
        <w:t xml:space="preserve"> : quantités de production perdues ou dégradées entre la récolte et la vente, du fait de la manutention, du stockage ou du transport inadéquats.</w:t>
      </w:r>
    </w:p>
    <w:p>
      <w:pPr>
        <w:pStyle w:val="Compact"/>
        <w:numPr>
          <w:ilvl w:val="0"/>
          <w:numId w:val="96"/>
        </w:numPr>
        <w:rPr/>
      </w:pPr>
      <w:r>
        <w:rPr>
          <w:b/>
          <w:bCs/>
        </w:rPr>
        <w:t>Contractualisation agricole</w:t>
      </w:r>
      <w:r>
        <w:rPr/>
        <w:t xml:space="preserve"> : formalisation par un accord écrit des conditions d’un engagement commercial entre un producteur et un acheteur.</w:t>
      </w:r>
    </w:p>
    <w:p>
      <w:pPr>
        <w:pStyle w:val="Compact"/>
        <w:numPr>
          <w:ilvl w:val="0"/>
          <w:numId w:val="97"/>
        </w:numPr>
        <w:rPr/>
      </w:pPr>
      <w:r>
        <w:rPr>
          <w:b/>
          <w:bCs/>
        </w:rPr>
        <w:t>Chaîne de valeur agricole</w:t>
      </w:r>
      <w:r>
        <w:rPr/>
        <w:t xml:space="preserve"> : ensemble des étapes et des acteurs, de la production à la consommation, qui contribuent à la création et à la répartition de la valeur d’un produit agricole.</w:t>
      </w:r>
    </w:p>
    <w:p>
      <w:pPr>
        <w:pStyle w:val="Compact"/>
        <w:numPr>
          <w:ilvl w:val="0"/>
          <w:numId w:val="98"/>
        </w:numPr>
        <w:spacing w:before="36" w:after="36"/>
        <w:rPr/>
      </w:pPr>
      <w:r>
        <w:rPr>
          <w:b/>
          <w:bCs/>
        </w:rPr>
        <w:t>Marketing digital</w:t>
      </w:r>
      <w:r>
        <w:rPr/>
        <w:t xml:space="preserve"> : ensemble des pratiques de promotion et de vente s’appuyant sur les outils numériques (réseaux sociaux, plateformes en ligne, messagerie mobile).</w:t>
      </w:r>
      <w:bookmarkEnd w:id="107"/>
      <w:bookmarkEnd w:id="110"/>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7">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8">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9">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10">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11">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12">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13">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14">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15">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
    <w:lvlOverride w:ilvl="0">
      <w:startOverride w:val="1"/>
    </w:lvlOverride>
  </w:num>
  <w:num w:numId="20">
    <w:abstractNumId w:val="1"/>
    <w:lvlOverride w:ilvl="0">
      <w:startOverride w:val="1"/>
    </w:lvlOverride>
  </w:num>
  <w:num w:numId="21">
    <w:abstractNumId w:val="1"/>
  </w:num>
  <w:num w:numId="22">
    <w:abstractNumId w:val="1"/>
  </w:num>
  <w:num w:numId="23">
    <w:abstractNumId w:val="1"/>
  </w:num>
  <w:num w:numId="24">
    <w:abstractNumId w:val="1"/>
  </w:num>
  <w:num w:numId="25">
    <w:abstractNumId w:val="1"/>
    <w:lvlOverride w:ilvl="0">
      <w:startOverride w:val="1"/>
    </w:lvlOverride>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lvlOverride w:ilvl="0">
      <w:startOverride w:val="1"/>
    </w:lvlOverride>
  </w:num>
  <w:num w:numId="36">
    <w:abstractNumId w:val="6"/>
    <w:lvlOverride w:ilvl="0">
      <w:startOverride w:val="1"/>
    </w:lvlOverride>
    <w:lvlOverride w:ilvl="1">
      <w:startOverride w:val="1"/>
    </w:lvlOverride>
  </w:num>
  <w:num w:numId="37">
    <w:abstractNumId w:val="1"/>
  </w:num>
  <w:num w:numId="38">
    <w:abstractNumId w:val="6"/>
    <w:lvlOverride w:ilvl="0">
      <w:startOverride w:val="1"/>
    </w:lvlOverride>
    <w:lvlOverride w:ilvl="1">
      <w:startOverride w:val="1"/>
    </w:lvlOverride>
  </w:num>
  <w:num w:numId="39">
    <w:abstractNumId w:val="6"/>
  </w:num>
  <w:num w:numId="40">
    <w:abstractNumId w:val="6"/>
  </w:num>
  <w:num w:numId="41">
    <w:abstractNumId w:val="6"/>
  </w:num>
  <w:num w:numId="42">
    <w:abstractNumId w:val="1"/>
  </w:num>
  <w:num w:numId="43">
    <w:abstractNumId w:val="6"/>
    <w:lvlOverride w:ilvl="0">
      <w:startOverride w:val="1"/>
    </w:lvlOverride>
    <w:lvlOverride w:ilvl="1">
      <w:startOverride w:val="1"/>
    </w:lvlOverride>
  </w:num>
  <w:num w:numId="44">
    <w:abstractNumId w:val="6"/>
  </w:num>
  <w:num w:numId="45">
    <w:abstractNumId w:val="6"/>
  </w:num>
  <w:num w:numId="46">
    <w:abstractNumId w:val="6"/>
  </w:num>
  <w:num w:numId="47">
    <w:abstractNumId w:val="1"/>
  </w:num>
  <w:num w:numId="48">
    <w:abstractNumId w:val="6"/>
    <w:lvlOverride w:ilvl="0">
      <w:startOverride w:val="1"/>
    </w:lvlOverride>
    <w:lvlOverride w:ilvl="1">
      <w:startOverride w:val="1"/>
    </w:lvlOverride>
  </w:num>
  <w:num w:numId="49">
    <w:abstractNumId w:val="6"/>
  </w:num>
  <w:num w:numId="50">
    <w:abstractNumId w:val="6"/>
  </w:num>
  <w:num w:numId="51">
    <w:abstractNumId w:val="6"/>
  </w:num>
  <w:num w:numId="52">
    <w:abstractNumId w:val="1"/>
  </w:num>
  <w:num w:numId="53">
    <w:abstractNumId w:val="6"/>
    <w:lvlOverride w:ilvl="0">
      <w:startOverride w:val="1"/>
    </w:lvlOverride>
    <w:lvlOverride w:ilvl="1">
      <w:startOverride w:val="1"/>
    </w:lvlOverride>
  </w:num>
  <w:num w:numId="54">
    <w:abstractNumId w:val="6"/>
  </w:num>
  <w:num w:numId="55">
    <w:abstractNumId w:val="6"/>
  </w:num>
  <w:num w:numId="56">
    <w:abstractNumId w:val="6"/>
  </w:num>
  <w:num w:numId="57">
    <w:abstractNumId w:val="1"/>
  </w:num>
  <w:num w:numId="58">
    <w:abstractNumId w:val="6"/>
    <w:lvlOverride w:ilvl="0">
      <w:startOverride w:val="1"/>
    </w:lvlOverride>
    <w:lvlOverride w:ilvl="1">
      <w:startOverride w:val="1"/>
    </w:lvlOverride>
  </w:num>
  <w:num w:numId="59">
    <w:abstractNumId w:val="6"/>
  </w:num>
  <w:num w:numId="60">
    <w:abstractNumId w:val="6"/>
  </w:num>
  <w:num w:numId="61">
    <w:abstractNumId w:val="6"/>
  </w:num>
  <w:num w:numId="62">
    <w:abstractNumId w:val="1"/>
  </w:num>
  <w:num w:numId="63">
    <w:abstractNumId w:val="6"/>
    <w:lvlOverride w:ilvl="0">
      <w:startOverride w:val="1"/>
    </w:lvlOverride>
    <w:lvlOverride w:ilvl="1">
      <w:startOverride w:val="1"/>
    </w:lvlOverride>
  </w:num>
  <w:num w:numId="64">
    <w:abstractNumId w:val="6"/>
  </w:num>
  <w:num w:numId="65">
    <w:abstractNumId w:val="6"/>
  </w:num>
  <w:num w:numId="66">
    <w:abstractNumId w:val="6"/>
  </w:num>
  <w:num w:numId="67">
    <w:abstractNumId w:val="1"/>
  </w:num>
  <w:num w:numId="68">
    <w:abstractNumId w:val="6"/>
    <w:lvlOverride w:ilvl="0">
      <w:startOverride w:val="1"/>
    </w:lvlOverride>
    <w:lvlOverride w:ilvl="1">
      <w:startOverride w:val="1"/>
    </w:lvlOverride>
  </w:num>
  <w:num w:numId="69">
    <w:abstractNumId w:val="6"/>
  </w:num>
  <w:num w:numId="70">
    <w:abstractNumId w:val="6"/>
  </w:num>
  <w:num w:numId="71">
    <w:abstractNumId w:val="6"/>
  </w:num>
  <w:num w:numId="72">
    <w:abstractNumId w:val="1"/>
  </w:num>
  <w:num w:numId="73">
    <w:abstractNumId w:val="6"/>
    <w:lvlOverride w:ilvl="0">
      <w:startOverride w:val="1"/>
    </w:lvlOverride>
    <w:lvlOverride w:ilvl="1">
      <w:startOverride w:val="1"/>
    </w:lvlOverride>
  </w:num>
  <w:num w:numId="74">
    <w:abstractNumId w:val="6"/>
  </w:num>
  <w:num w:numId="75">
    <w:abstractNumId w:val="6"/>
  </w:num>
  <w:num w:numId="76">
    <w:abstractNumId w:val="6"/>
  </w:num>
  <w:num w:numId="77">
    <w:abstractNumId w:val="1"/>
  </w:num>
  <w:num w:numId="78">
    <w:abstractNumId w:val="6"/>
    <w:lvlOverride w:ilvl="0">
      <w:startOverride w:val="1"/>
    </w:lvlOverride>
    <w:lvlOverride w:ilvl="1">
      <w:startOverride w:val="1"/>
    </w:lvlOverride>
  </w:num>
  <w:num w:numId="79">
    <w:abstractNumId w:val="6"/>
  </w:num>
  <w:num w:numId="80">
    <w:abstractNumId w:val="6"/>
  </w:num>
  <w:num w:numId="81">
    <w:abstractNumId w:val="6"/>
  </w:num>
  <w:num w:numId="82">
    <w:abstractNumId w:val="3"/>
  </w:num>
  <w:num w:numId="83">
    <w:abstractNumId w:val="3"/>
  </w:num>
  <w:num w:numId="84">
    <w:abstractNumId w:val="3"/>
  </w:num>
  <w:num w:numId="85">
    <w:abstractNumId w:val="3"/>
  </w:num>
  <w:num w:numId="86">
    <w:abstractNumId w:val="3"/>
  </w:num>
  <w:num w:numId="87">
    <w:abstractNumId w:val="3"/>
  </w:num>
  <w:num w:numId="88">
    <w:abstractNumId w:val="3"/>
  </w:num>
  <w:num w:numId="89">
    <w:abstractNumId w:val="3"/>
  </w:num>
  <w:num w:numId="90">
    <w:abstractNumId w:val="3"/>
  </w:num>
  <w:num w:numId="91">
    <w:abstractNumId w:val="3"/>
  </w:num>
  <w:num w:numId="92">
    <w:abstractNumId w:val="3"/>
  </w:num>
  <w:num w:numId="93">
    <w:abstractNumId w:val="3"/>
  </w:num>
  <w:num w:numId="94">
    <w:abstractNumId w:val="3"/>
  </w:num>
  <w:num w:numId="95">
    <w:abstractNumId w:val="3"/>
  </w:num>
  <w:num w:numId="96">
    <w:abstractNumId w:val="3"/>
  </w:num>
  <w:num w:numId="97">
    <w:abstractNumId w:val="3"/>
  </w:num>
  <w:num w:numId="98">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276" w:before="0" w:after="160"/>
      <w:jc w:val="left"/>
    </w:pPr>
    <w:rPr>
      <w:rFonts w:ascii="Calibri" w:hAnsi="Calibri" w:eastAsia="Cambria" w:cs=""/>
      <w:color w:val="222222"/>
      <w:kern w:val="0"/>
      <w:sz w:val="22"/>
      <w:szCs w:val="24"/>
      <w:lang w:val="en-US" w:eastAsia="en-US" w:bidi="ar-SA"/>
    </w:rPr>
  </w:style>
  <w:style w:type="paragraph" w:styleId="Heading1">
    <w:name w:val="Heading 1"/>
    <w:basedOn w:val="Normal"/>
    <w:next w:val="BodyText"/>
    <w:uiPriority w:val="9"/>
    <w:qFormat/>
    <w:pPr>
      <w:keepNext w:val="true"/>
      <w:keepLines/>
      <w:spacing w:before="400" w:after="200"/>
      <w:outlineLvl w:val="0"/>
    </w:pPr>
    <w:rPr>
      <w:rFonts w:ascii="Calibri" w:hAnsi="Calibri" w:eastAsia="" w:cs="" w:asciiTheme="majorHAnsi" w:cstheme="majorBidi" w:eastAsiaTheme="majorEastAsia" w:hAnsiTheme="majorHAnsi"/>
      <w:b/>
      <w:bCs/>
      <w:color w:val="2E7D32"/>
      <w:sz w:val="36"/>
      <w:szCs w:val="32"/>
    </w:rPr>
  </w:style>
  <w:style w:type="paragraph" w:styleId="Heading2">
    <w:name w:val="Heading 2"/>
    <w:basedOn w:val="Normal"/>
    <w:next w:val="BodyText"/>
    <w:uiPriority w:val="9"/>
    <w:unhideWhenUsed/>
    <w:qFormat/>
    <w:pPr>
      <w:keepNext w:val="true"/>
      <w:keepLines/>
      <w:spacing w:before="320" w:after="160"/>
      <w:outlineLvl w:val="1"/>
    </w:pPr>
    <w:rPr>
      <w:rFonts w:ascii="Calibri" w:hAnsi="Calibri" w:eastAsia="" w:cs="" w:asciiTheme="majorHAnsi" w:cstheme="majorBidi" w:eastAsiaTheme="majorEastAsia" w:hAnsiTheme="majorHAnsi"/>
      <w:b/>
      <w:bCs/>
      <w:color w:val="1B5E20"/>
      <w:sz w:val="28"/>
      <w:szCs w:val="28"/>
    </w:rPr>
  </w:style>
  <w:style w:type="paragraph" w:styleId="Heading3">
    <w:name w:val="Heading 3"/>
    <w:basedOn w:val="Normal"/>
    <w:next w:val="BodyText"/>
    <w:uiPriority w:val="9"/>
    <w:unhideWhenUsed/>
    <w:qFormat/>
    <w:pPr>
      <w:keepNext w:val="true"/>
      <w:keepLines/>
      <w:spacing w:before="240" w:after="120"/>
      <w:outlineLvl w:val="2"/>
    </w:pPr>
    <w:rPr>
      <w:rFonts w:ascii="Calibri" w:hAnsi="Calibri" w:eastAsia="" w:cs="" w:asciiTheme="majorHAnsi" w:cstheme="majorBidi" w:eastAsiaTheme="majorEastAsia" w:hAnsiTheme="majorHAnsi"/>
      <w:b/>
      <w:bCs/>
      <w:color w:val="333333"/>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360"/>
      <w:jc w:val="center"/>
    </w:pPr>
    <w:rPr>
      <w:rFonts w:ascii="Calibri" w:hAnsi="Calibri" w:eastAsia="" w:cs="" w:asciiTheme="majorHAnsi" w:cstheme="majorBidi" w:eastAsiaTheme="majorEastAsia" w:hAnsiTheme="majorHAnsi"/>
      <w:b/>
      <w:bCs/>
      <w:color w:val="1B5E20"/>
      <w:sz w:val="52"/>
      <w:szCs w:val="36"/>
    </w:rPr>
  </w:style>
  <w:style w:type="paragraph" w:styleId="Subtitle">
    <w:name w:val="Subtitle"/>
    <w:basedOn w:val="Title"/>
    <w:next w:val="BodyText"/>
    <w:qFormat/>
    <w:pPr>
      <w:keepNext w:val="true"/>
      <w:keepLines/>
      <w:spacing w:before="240" w:after="240"/>
      <w:jc w:val="center"/>
    </w:pPr>
    <w:rPr>
      <w:rFonts w:ascii="Calibri" w:hAnsi="Calibri"/>
      <w:i/>
      <w:color w:val="555555"/>
      <w:sz w:val="26"/>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20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2.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22</Pages>
  <Words>8167</Words>
  <Characters>46593</Characters>
  <CharactersWithSpaces>54426</CharactersWithSpaces>
  <Paragraphs>283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2017-12-27T05:22:50Z</dcterms:created>
  <dc:creator>Author</dc:creator>
  <dc:description/>
  <dc:language>en-US</dc:language>
  <cp:lastModifiedBy/>
  <dcterms:modified xsi:type="dcterms:W3CDTF">2026-09-03T17:18:04Z</dcterms:modified>
  <cp:revision>1</cp:revision>
  <dc:subject/>
  <dc:title>Title</dc:title>
</cp:coreProperties>
</file>

<file path=docProps/custom.xml><?xml version="1.0" encoding="utf-8"?>
<Properties xmlns="http://schemas.openxmlformats.org/officeDocument/2006/custom-properties" xmlns:vt="http://schemas.openxmlformats.org/officeDocument/2006/docPropsVTypes"/>
</file>