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
    </w:p>
    <w:p>
      <w:pPr>
        <w:pStyle w:val="Normal"/>
        <w:jc w:val="center"/>
        <w:rPr/>
      </w:pPr>
      <w:r>
        <w:rPr/>
        <w:drawing>
          <wp:inline distT="0" distB="0" distL="0" distR="0">
            <wp:extent cx="1188720" cy="118872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188720" cy="1188720"/>
                    </a:xfrm>
                    <a:prstGeom prst="rect">
                      <a:avLst/>
                    </a:prstGeom>
                  </pic:spPr>
                </pic:pic>
              </a:graphicData>
            </a:graphic>
          </wp:inline>
        </w:drawing>
      </w:r>
    </w:p>
    <w:p>
      <w:pPr>
        <w:pStyle w:val="Normal"/>
        <w:spacing w:before="0" w:after="160"/>
        <w:jc w:val="center"/>
        <w:rPr/>
      </w:pPr>
      <w:r>
        <w:rPr/>
      </w:r>
    </w:p>
    <w:p>
      <w:pPr>
        <w:pStyle w:val="Normal"/>
        <w:spacing w:before="0" w:after="60"/>
        <w:jc w:val="center"/>
        <w:rPr/>
      </w:pPr>
      <w:r>
        <w:rPr>
          <w:b/>
          <w:i w:val="false"/>
          <w:color w:val="666666"/>
          <w:sz w:val="21"/>
        </w:rPr>
        <w:t>PROGRAMME DE FORMATION</w:t>
      </w:r>
    </w:p>
    <w:p>
      <w:pPr>
        <w:pStyle w:val="Normal"/>
        <w:spacing w:before="0" w:after="280"/>
        <w:jc w:val="center"/>
        <w:rPr/>
      </w:pPr>
      <w:r>
        <w:rPr>
          <w:b w:val="false"/>
          <w:i/>
          <w:color w:val="666666"/>
          <w:sz w:val="24"/>
        </w:rPr>
        <w:t>Entrepreneuriat Agricole pour le développement de chaînes de valeur agricoles durables (CVAD)</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color="auto" w:fill="1B5E20" w:val="clear"/>
          </w:tcPr>
          <w:p>
            <w:pPr>
              <w:pStyle w:val="Normal"/>
              <w:spacing w:before="80" w:after="80"/>
              <w:jc w:val="center"/>
              <w:rPr/>
            </w:pPr>
            <w:r>
              <w:rPr>
                <w:b/>
                <w:color w:val="FFFFFF"/>
                <w:sz w:val="28"/>
              </w:rPr>
              <w:t>MODULE 9</w:t>
            </w:r>
          </w:p>
        </w:tc>
      </w:tr>
    </w:tbl>
    <w:p>
      <w:pPr>
        <w:pStyle w:val="Normal"/>
        <w:spacing w:before="0" w:after="160"/>
        <w:jc w:val="center"/>
        <w:rPr/>
      </w:pPr>
      <w:r>
        <w:rPr/>
      </w:r>
    </w:p>
    <w:p>
      <w:pPr>
        <w:pStyle w:val="Normal"/>
        <w:spacing w:before="0" w:after="280"/>
        <w:jc w:val="center"/>
        <w:rPr/>
      </w:pPr>
      <w:r>
        <w:rPr>
          <w:b/>
          <w:i w:val="false"/>
          <w:color w:val="1B5E20"/>
          <w:sz w:val="42"/>
        </w:rPr>
        <w:t>Outils numériques et cadre réglementaire pour l'agroentrepreneuriat</w:t>
      </w:r>
    </w:p>
    <w:p>
      <w:pPr>
        <w:pStyle w:val="Normal"/>
        <w:jc w:val="center"/>
        <w:rPr/>
      </w:pPr>
      <w:r>
        <w:rPr/>
        <w:drawing>
          <wp:inline distT="0" distB="0" distL="0" distR="0">
            <wp:extent cx="3931920" cy="200279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3931920" cy="2002790"/>
                    </a:xfrm>
                    <a:prstGeom prst="rect">
                      <a:avLst/>
                    </a:prstGeom>
                  </pic:spPr>
                </pic:pic>
              </a:graphicData>
            </a:graphic>
          </wp:inline>
        </w:drawing>
      </w:r>
    </w:p>
    <w:p>
      <w:pPr>
        <w:pStyle w:val="Normal"/>
        <w:spacing w:before="120" w:after="360"/>
        <w:jc w:val="center"/>
        <w:rPr/>
      </w:pPr>
      <w:r>
        <w:rPr>
          <w:b w:val="false"/>
          <w:i/>
          <w:color w:val="666666"/>
          <w:sz w:val="20"/>
        </w:rPr>
        <w:t>Le numérique au service de la gestion et de la commercialisation agricole</w:t>
      </w:r>
    </w:p>
    <w:p>
      <w:pPr>
        <w:pStyle w:val="Normal"/>
        <w:spacing w:before="0" w:after="160"/>
        <w:jc w:val="center"/>
        <w:rPr/>
      </w:pPr>
      <w:r>
        <w:rPr>
          <w:b w:val="false"/>
          <w:i w:val="false"/>
          <w:color w:val="666666"/>
          <w:sz w:val="22"/>
        </w:rPr>
        <w:t>—</w:t>
      </w:r>
    </w:p>
    <w:p>
      <w:pPr>
        <w:pStyle w:val="Normal"/>
        <w:spacing w:before="0" w:after="40"/>
        <w:jc w:val="center"/>
        <w:rPr/>
      </w:pPr>
      <w:r>
        <w:rPr>
          <w:b/>
          <w:i w:val="false"/>
          <w:color w:val="2E7D32"/>
          <w:sz w:val="24"/>
        </w:rPr>
        <w:t>AGRO ECO CONSULTING</w:t>
      </w:r>
    </w:p>
    <w:p>
      <w:pPr>
        <w:pStyle w:val="Normal"/>
        <w:spacing w:before="0" w:after="40"/>
        <w:jc w:val="center"/>
        <w:rPr/>
      </w:pPr>
      <w:r>
        <w:rPr>
          <w:b w:val="false"/>
          <w:i/>
          <w:color w:val="666666"/>
          <w:sz w:val="20"/>
        </w:rPr>
        <w:t>Expertise Agro &amp; Environnement</w:t>
      </w:r>
    </w:p>
    <w:p>
      <w:pPr>
        <w:pStyle w:val="Normal"/>
        <w:spacing w:before="0" w:after="0"/>
        <w:jc w:val="center"/>
        <w:rPr/>
      </w:pPr>
      <w:r>
        <w:rPr>
          <w:b w:val="false"/>
          <w:i w:val="false"/>
          <w:color w:val="666666"/>
          <w:sz w:val="19"/>
        </w:rPr>
        <w:t>agroecoconsulting.com</w:t>
      </w:r>
    </w:p>
    <w:p>
      <w:pPr>
        <w:pStyle w:val="Normal"/>
        <w:rPr/>
      </w:pPr>
      <w:r>
        <w:rPr/>
      </w:r>
      <w:r>
        <w:br w:type="page"/>
      </w:r>
    </w:p>
    <w:p>
      <w:pPr>
        <w:pStyle w:val="Heading1"/>
        <w:spacing w:before="0" w:after="200"/>
        <w:jc w:val="left"/>
        <w:rPr/>
      </w:pPr>
      <w:bookmarkStart w:id="0" w:name="__RefHeading___Toc7651_3877972828"/>
      <w:bookmarkEnd w:id="0"/>
      <w:r>
        <w:rPr/>
        <w:t>Sommaire</w:t>
      </w:r>
    </w:p>
    <w:p>
      <w:pPr>
        <w:pStyle w:val="Normal"/>
        <w:jc w:val="left"/>
        <w:rPr/>
      </w:pPr>
      <w:r>
        <w:rPr>
          <w:i/>
          <w:color w:val="666666"/>
          <w:sz w:val="19"/>
        </w:rPr>
        <w:t>(Sommaire généré automatiquement à partir des titres du document. Dans Word : clic droit sur le sommaire ci-dessous puis « Mettre à jour les champs » si les numéros de page ne s'affichent pas encore.)</w:t>
      </w:r>
    </w:p>
    <w:sdt>
      <w:sdtPr>
        <w:docPartObj>
          <w:docPartGallery w:val="Table of Contents"/>
          <w:docPartUnique w:val="true"/>
        </w:docPartObj>
      </w:sdtPr>
      <w:sdtContent>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7651_3877972828">
            <w:r>
              <w:rPr>
                <w:webHidden/>
                <w:rStyle w:val="IndexLink"/>
              </w:rPr>
              <w:t>Sommaire</w:t>
              <w:tab/>
              <w:t>2</w:t>
            </w:r>
          </w:hyperlink>
        </w:p>
        <w:p>
          <w:pPr>
            <w:pStyle w:val="TOC1"/>
            <w:tabs>
              <w:tab w:val="clear" w:pos="9360"/>
              <w:tab w:val="right" w:pos="9359" w:leader="dot"/>
            </w:tabs>
            <w:rPr/>
          </w:pPr>
          <w:hyperlink w:anchor="__RefHeading___Toc7653_3877972828">
            <w:r>
              <w:rPr>
                <w:webHidden/>
                <w:rStyle w:val="IndexLink"/>
              </w:rPr>
              <w:t>Module 9 — Outils numériques et cadre réglementaire pour l’agroentrepreneuriat</w:t>
              <w:tab/>
              <w:t>4</w:t>
            </w:r>
          </w:hyperlink>
        </w:p>
        <w:p>
          <w:pPr>
            <w:pStyle w:val="TOC2"/>
            <w:tabs>
              <w:tab w:val="clear" w:pos="9077"/>
              <w:tab w:val="right" w:pos="9359" w:leader="dot"/>
            </w:tabs>
            <w:rPr/>
          </w:pPr>
          <w:hyperlink w:anchor="__RefHeading___Toc7655_3877972828">
            <w:r>
              <w:rPr>
                <w:webHidden/>
                <w:rStyle w:val="IndexLink"/>
              </w:rPr>
              <w:t>Introduction</w:t>
              <w:tab/>
              <w:t>4</w:t>
            </w:r>
          </w:hyperlink>
        </w:p>
        <w:p>
          <w:pPr>
            <w:pStyle w:val="TOC2"/>
            <w:tabs>
              <w:tab w:val="clear" w:pos="9077"/>
              <w:tab w:val="right" w:pos="9359" w:leader="dot"/>
            </w:tabs>
            <w:rPr/>
          </w:pPr>
          <w:hyperlink w:anchor="__RefHeading___Toc7657_3877972828">
            <w:r>
              <w:rPr>
                <w:webHidden/>
                <w:rStyle w:val="IndexLink"/>
              </w:rPr>
              <w:t>Objectifs pédagogiques</w:t>
              <w:tab/>
              <w:t>5</w:t>
            </w:r>
          </w:hyperlink>
        </w:p>
        <w:p>
          <w:pPr>
            <w:pStyle w:val="TOC2"/>
            <w:tabs>
              <w:tab w:val="clear" w:pos="9077"/>
              <w:tab w:val="right" w:pos="9359" w:leader="dot"/>
            </w:tabs>
            <w:rPr/>
          </w:pPr>
          <w:hyperlink w:anchor="__RefHeading___Toc7659_3877972828">
            <w:r>
              <w:rPr>
                <w:webHidden/>
                <w:rStyle w:val="IndexLink"/>
              </w:rPr>
              <w:t>Plan du module</w:t>
              <w:tab/>
              <w:t>5</w:t>
            </w:r>
          </w:hyperlink>
        </w:p>
        <w:p>
          <w:pPr>
            <w:pStyle w:val="TOC2"/>
            <w:tabs>
              <w:tab w:val="clear" w:pos="9077"/>
              <w:tab w:val="right" w:pos="9359" w:leader="dot"/>
            </w:tabs>
            <w:rPr/>
          </w:pPr>
          <w:hyperlink w:anchor="__RefHeading___Toc7661_3877972828">
            <w:r>
              <w:rPr>
                <w:webHidden/>
                <w:rStyle w:val="IndexLink"/>
              </w:rPr>
              <w:t>1. Les outils numériques de paiement et de gestion financière</w:t>
              <w:tab/>
              <w:t>5</w:t>
            </w:r>
          </w:hyperlink>
        </w:p>
        <w:p>
          <w:pPr>
            <w:pStyle w:val="TOC3"/>
            <w:tabs>
              <w:tab w:val="clear" w:pos="8793"/>
              <w:tab w:val="right" w:pos="9359" w:leader="dot"/>
            </w:tabs>
            <w:rPr/>
          </w:pPr>
          <w:hyperlink w:anchor="__RefHeading___Toc7663_3877972828">
            <w:r>
              <w:rPr>
                <w:webHidden/>
                <w:rStyle w:val="IndexLink"/>
              </w:rPr>
              <w:t>1.1 Le paiement mobile : une révolution silencieuse pour les agroentrepreneurs</w:t>
              <w:tab/>
              <w:t>5</w:t>
            </w:r>
          </w:hyperlink>
        </w:p>
        <w:p>
          <w:pPr>
            <w:pStyle w:val="TOC3"/>
            <w:tabs>
              <w:tab w:val="clear" w:pos="8793"/>
              <w:tab w:val="right" w:pos="9359" w:leader="dot"/>
            </w:tabs>
            <w:rPr/>
          </w:pPr>
          <w:hyperlink w:anchor="__RefHeading___Toc7665_3877972828">
            <w:r>
              <w:rPr>
                <w:webHidden/>
                <w:rStyle w:val="IndexLink"/>
              </w:rPr>
              <w:t>1.2 L’épargne mobile et l’accès facilité à des services financiers de base</w:t>
              <w:tab/>
              <w:t>6</w:t>
            </w:r>
          </w:hyperlink>
        </w:p>
        <w:p>
          <w:pPr>
            <w:pStyle w:val="TOC3"/>
            <w:tabs>
              <w:tab w:val="clear" w:pos="8793"/>
              <w:tab w:val="right" w:pos="9359" w:leader="dot"/>
            </w:tabs>
            <w:rPr/>
          </w:pPr>
          <w:hyperlink w:anchor="__RefHeading___Toc7667_3877972828">
            <w:r>
              <w:rPr>
                <w:webHidden/>
                <w:rStyle w:val="IndexLink"/>
              </w:rPr>
              <w:t>1.3 Le suivi de trésorerie simple à l’aide d’outils numériques</w:t>
              <w:tab/>
              <w:t>7</w:t>
            </w:r>
          </w:hyperlink>
        </w:p>
        <w:p>
          <w:pPr>
            <w:pStyle w:val="TOC2"/>
            <w:tabs>
              <w:tab w:val="clear" w:pos="9077"/>
              <w:tab w:val="right" w:pos="9359" w:leader="dot"/>
            </w:tabs>
            <w:rPr/>
          </w:pPr>
          <w:hyperlink w:anchor="__RefHeading___Toc7669_3877972828">
            <w:r>
              <w:rPr>
                <w:webHidden/>
                <w:rStyle w:val="IndexLink"/>
              </w:rPr>
              <w:t>2. Les outils numériques de suivi d’exploitation et de vente</w:t>
              <w:tab/>
              <w:t>7</w:t>
            </w:r>
          </w:hyperlink>
        </w:p>
        <w:p>
          <w:pPr>
            <w:pStyle w:val="TOC3"/>
            <w:tabs>
              <w:tab w:val="clear" w:pos="8793"/>
              <w:tab w:val="right" w:pos="9359" w:leader="dot"/>
            </w:tabs>
            <w:rPr/>
          </w:pPr>
          <w:hyperlink w:anchor="__RefHeading___Toc7671_3877972828">
            <w:r>
              <w:rPr>
                <w:webHidden/>
                <w:rStyle w:val="IndexLink"/>
              </w:rPr>
              <w:t>2.1 Les applications de gestion de stock et de suivi des ventes</w:t>
              <w:tab/>
              <w:t>7</w:t>
            </w:r>
          </w:hyperlink>
        </w:p>
        <w:p>
          <w:pPr>
            <w:pStyle w:val="TOC3"/>
            <w:tabs>
              <w:tab w:val="clear" w:pos="8793"/>
              <w:tab w:val="right" w:pos="9359" w:leader="dot"/>
            </w:tabs>
            <w:rPr/>
          </w:pPr>
          <w:hyperlink w:anchor="__RefHeading___Toc7673_3877972828">
            <w:r>
              <w:rPr>
                <w:webHidden/>
                <w:rStyle w:val="IndexLink"/>
              </w:rPr>
              <w:t>2.2 Les plateformes de mise en marché en ligne et de vente à distance</w:t>
              <w:tab/>
              <w:t>8</w:t>
            </w:r>
          </w:hyperlink>
        </w:p>
        <w:p>
          <w:pPr>
            <w:pStyle w:val="TOC3"/>
            <w:tabs>
              <w:tab w:val="clear" w:pos="8793"/>
              <w:tab w:val="right" w:pos="9359" w:leader="dot"/>
            </w:tabs>
            <w:rPr/>
          </w:pPr>
          <w:hyperlink w:anchor="__RefHeading___Toc7675_3877972828">
            <w:r>
              <w:rPr>
                <w:webHidden/>
                <w:rStyle w:val="IndexLink"/>
              </w:rPr>
              <w:t>2.3 L’articulation entre outils numériques et pratiques de gestion existantes</w:t>
              <w:tab/>
              <w:t>9</w:t>
            </w:r>
          </w:hyperlink>
        </w:p>
        <w:p>
          <w:pPr>
            <w:pStyle w:val="TOC2"/>
            <w:tabs>
              <w:tab w:val="clear" w:pos="9077"/>
              <w:tab w:val="right" w:pos="9359" w:leader="dot"/>
            </w:tabs>
            <w:rPr/>
          </w:pPr>
          <w:hyperlink w:anchor="__RefHeading___Toc7677_3877972828">
            <w:r>
              <w:rPr>
                <w:webHidden/>
                <w:rStyle w:val="IndexLink"/>
              </w:rPr>
              <w:t>3. Les outils de communication et de marketing digital</w:t>
              <w:tab/>
              <w:t>9</w:t>
            </w:r>
          </w:hyperlink>
        </w:p>
        <w:p>
          <w:pPr>
            <w:pStyle w:val="TOC3"/>
            <w:tabs>
              <w:tab w:val="clear" w:pos="8793"/>
              <w:tab w:val="right" w:pos="9359" w:leader="dot"/>
            </w:tabs>
            <w:rPr/>
          </w:pPr>
          <w:hyperlink w:anchor="__RefHeading___Toc7679_3877972828">
            <w:r>
              <w:rPr>
                <w:webHidden/>
                <w:rStyle w:val="IndexLink"/>
              </w:rPr>
              <w:t>3.1 Les réseaux sociaux comme vitrine de l’activité agroentrepreneuriale</w:t>
              <w:tab/>
              <w:t>9</w:t>
            </w:r>
          </w:hyperlink>
        </w:p>
        <w:p>
          <w:pPr>
            <w:pStyle w:val="TOC3"/>
            <w:tabs>
              <w:tab w:val="clear" w:pos="8793"/>
              <w:tab w:val="right" w:pos="9359" w:leader="dot"/>
            </w:tabs>
            <w:rPr/>
          </w:pPr>
          <w:hyperlink w:anchor="__RefHeading___Toc7681_3877972828">
            <w:r>
              <w:rPr>
                <w:webHidden/>
                <w:rStyle w:val="IndexLink"/>
              </w:rPr>
              <w:t>3.2 La messagerie instantanée comme outil de relation client et de coordination</w:t>
              <w:tab/>
              <w:t>10</w:t>
            </w:r>
          </w:hyperlink>
        </w:p>
        <w:p>
          <w:pPr>
            <w:pStyle w:val="TOC3"/>
            <w:tabs>
              <w:tab w:val="clear" w:pos="8793"/>
              <w:tab w:val="right" w:pos="9359" w:leader="dot"/>
            </w:tabs>
            <w:rPr/>
          </w:pPr>
          <w:hyperlink w:anchor="__RefHeading___Toc7683_3877972828">
            <w:r>
              <w:rPr>
                <w:webHidden/>
                <w:rStyle w:val="IndexLink"/>
              </w:rPr>
              <w:t>3.3 La construction d’une e-réputation simple et la gestion de l’image de l’entreprise</w:t>
              <w:tab/>
              <w:t>11</w:t>
            </w:r>
          </w:hyperlink>
        </w:p>
        <w:p>
          <w:pPr>
            <w:pStyle w:val="TOC2"/>
            <w:tabs>
              <w:tab w:val="clear" w:pos="9077"/>
              <w:tab w:val="right" w:pos="9359" w:leader="dot"/>
            </w:tabs>
            <w:rPr/>
          </w:pPr>
          <w:hyperlink w:anchor="__RefHeading___Toc7685_3877972828">
            <w:r>
              <w:rPr>
                <w:webHidden/>
                <w:rStyle w:val="IndexLink"/>
              </w:rPr>
              <w:t>4. Le cadre réglementaire régional et national</w:t>
              <w:tab/>
              <w:t>11</w:t>
            </w:r>
          </w:hyperlink>
        </w:p>
        <w:p>
          <w:pPr>
            <w:pStyle w:val="TOC3"/>
            <w:tabs>
              <w:tab w:val="clear" w:pos="8793"/>
              <w:tab w:val="right" w:pos="9359" w:leader="dot"/>
            </w:tabs>
            <w:rPr/>
          </w:pPr>
          <w:hyperlink w:anchor="__RefHeading___Toc7687_3877972828">
            <w:r>
              <w:rPr>
                <w:webHidden/>
                <w:rStyle w:val="IndexLink"/>
              </w:rPr>
              <w:t>4.1 Les grandes orientations des politiques agricoles régionales</w:t>
              <w:tab/>
              <w:t>11</w:t>
            </w:r>
          </w:hyperlink>
        </w:p>
        <w:p>
          <w:pPr>
            <w:pStyle w:val="TOC3"/>
            <w:tabs>
              <w:tab w:val="clear" w:pos="8793"/>
              <w:tab w:val="right" w:pos="9359" w:leader="dot"/>
            </w:tabs>
            <w:rPr/>
          </w:pPr>
          <w:hyperlink w:anchor="__RefHeading___Toc7689_3877972828">
            <w:r>
              <w:rPr>
                <w:webHidden/>
                <w:rStyle w:val="IndexLink"/>
              </w:rPr>
              <w:t>4.2 Notions de fiscalité simplifiée pour les petites activités agricoles</w:t>
              <w:tab/>
              <w:t>12</w:t>
            </w:r>
          </w:hyperlink>
        </w:p>
        <w:p>
          <w:pPr>
            <w:pStyle w:val="TOC3"/>
            <w:tabs>
              <w:tab w:val="clear" w:pos="8793"/>
              <w:tab w:val="right" w:pos="9359" w:leader="dot"/>
            </w:tabs>
            <w:rPr/>
          </w:pPr>
          <w:hyperlink w:anchor="__RefHeading___Toc7691_3877972828">
            <w:r>
              <w:rPr>
                <w:webHidden/>
                <w:rStyle w:val="IndexLink"/>
              </w:rPr>
              <w:t>4.3 L’importance de la formalisation dans une perspective de développement des chaînes de valeur</w:t>
              <w:tab/>
              <w:t>13</w:t>
            </w:r>
          </w:hyperlink>
        </w:p>
        <w:p>
          <w:pPr>
            <w:pStyle w:val="TOC2"/>
            <w:tabs>
              <w:tab w:val="clear" w:pos="9077"/>
              <w:tab w:val="right" w:pos="9359" w:leader="dot"/>
            </w:tabs>
            <w:rPr/>
          </w:pPr>
          <w:hyperlink w:anchor="__RefHeading___Toc7693_3877972828">
            <w:r>
              <w:rPr>
                <w:webHidden/>
                <w:rStyle w:val="IndexLink"/>
              </w:rPr>
              <w:t>5. Les démarches pratiques de formalisation d’une activité agricole</w:t>
              <w:tab/>
              <w:t>13</w:t>
            </w:r>
          </w:hyperlink>
        </w:p>
        <w:p>
          <w:pPr>
            <w:pStyle w:val="TOC3"/>
            <w:tabs>
              <w:tab w:val="clear" w:pos="8793"/>
              <w:tab w:val="right" w:pos="9359" w:leader="dot"/>
            </w:tabs>
            <w:rPr/>
          </w:pPr>
          <w:hyperlink w:anchor="__RefHeading___Toc7695_3877972828">
            <w:r>
              <w:rPr>
                <w:webHidden/>
                <w:rStyle w:val="IndexLink"/>
              </w:rPr>
              <w:t>5.1 Les étapes générales d’une démarche de formalisation</w:t>
              <w:tab/>
              <w:t>13</w:t>
            </w:r>
          </w:hyperlink>
        </w:p>
        <w:p>
          <w:pPr>
            <w:pStyle w:val="TOC3"/>
            <w:tabs>
              <w:tab w:val="clear" w:pos="8793"/>
              <w:tab w:val="right" w:pos="9359" w:leader="dot"/>
            </w:tabs>
            <w:rPr/>
          </w:pPr>
          <w:hyperlink w:anchor="__RefHeading___Toc7697_3877972828">
            <w:r>
              <w:rPr>
                <w:webHidden/>
                <w:rStyle w:val="IndexLink"/>
              </w:rPr>
              <w:t>5.2 Les avantages concrets de la formalisation pour un agroentrepreneur</w:t>
              <w:tab/>
              <w:t>14</w:t>
            </w:r>
          </w:hyperlink>
        </w:p>
        <w:p>
          <w:pPr>
            <w:pStyle w:val="TOC3"/>
            <w:tabs>
              <w:tab w:val="clear" w:pos="8793"/>
              <w:tab w:val="right" w:pos="9359" w:leader="dot"/>
            </w:tabs>
            <w:rPr/>
          </w:pPr>
          <w:hyperlink w:anchor="__RefHeading___Toc7699_3877972828">
            <w:r>
              <w:rPr>
                <w:webHidden/>
                <w:rStyle w:val="IndexLink"/>
              </w:rPr>
              <w:t>5.3 Les inconvénients et points de vigilance à anticiper</w:t>
              <w:tab/>
              <w:t>15</w:t>
            </w:r>
          </w:hyperlink>
        </w:p>
        <w:p>
          <w:pPr>
            <w:pStyle w:val="TOC2"/>
            <w:tabs>
              <w:tab w:val="clear" w:pos="9077"/>
              <w:tab w:val="right" w:pos="9359" w:leader="dot"/>
            </w:tabs>
            <w:rPr/>
          </w:pPr>
          <w:hyperlink w:anchor="__RefHeading___Toc7701_3877972828">
            <w:r>
              <w:rPr>
                <w:webHidden/>
                <w:rStyle w:val="IndexLink"/>
              </w:rPr>
              <w:t>Étude de cas</w:t>
              <w:tab/>
              <w:t>16</w:t>
            </w:r>
          </w:hyperlink>
        </w:p>
        <w:p>
          <w:pPr>
            <w:pStyle w:val="TOC2"/>
            <w:tabs>
              <w:tab w:val="clear" w:pos="9077"/>
              <w:tab w:val="right" w:pos="9359" w:leader="dot"/>
            </w:tabs>
            <w:rPr/>
          </w:pPr>
          <w:hyperlink w:anchor="__RefHeading___Toc7703_3877972828">
            <w:r>
              <w:rPr>
                <w:webHidden/>
                <w:rStyle w:val="IndexLink"/>
              </w:rPr>
              <w:t>Outils pratiques</w:t>
              <w:tab/>
              <w:t>17</w:t>
            </w:r>
          </w:hyperlink>
        </w:p>
        <w:p>
          <w:pPr>
            <w:pStyle w:val="TOC2"/>
            <w:tabs>
              <w:tab w:val="clear" w:pos="9077"/>
              <w:tab w:val="right" w:pos="9359" w:leader="dot"/>
            </w:tabs>
            <w:rPr/>
          </w:pPr>
          <w:hyperlink w:anchor="__RefHeading___Toc7705_3877972828">
            <w:r>
              <w:rPr>
                <w:webHidden/>
                <w:rStyle w:val="IndexLink"/>
              </w:rPr>
              <w:t>Points clés à retenir</w:t>
              <w:tab/>
              <w:t>19</w:t>
            </w:r>
          </w:hyperlink>
        </w:p>
        <w:p>
          <w:pPr>
            <w:pStyle w:val="TOC2"/>
            <w:tabs>
              <w:tab w:val="clear" w:pos="9077"/>
              <w:tab w:val="right" w:pos="9359" w:leader="dot"/>
            </w:tabs>
            <w:rPr/>
          </w:pPr>
          <w:hyperlink w:anchor="__RefHeading___Toc7707_3877972828">
            <w:r>
              <w:rPr>
                <w:webHidden/>
                <w:rStyle w:val="IndexLink"/>
              </w:rPr>
              <w:t>Mode d’évaluation : QCM</w:t>
              <w:tab/>
              <w:t>20</w:t>
            </w:r>
          </w:hyperlink>
        </w:p>
        <w:p>
          <w:pPr>
            <w:pStyle w:val="TOC2"/>
            <w:tabs>
              <w:tab w:val="clear" w:pos="9077"/>
              <w:tab w:val="right" w:pos="9359" w:leader="dot"/>
            </w:tabs>
            <w:rPr/>
          </w:pPr>
          <w:hyperlink w:anchor="__RefHeading___Toc7709_3877972828">
            <w:r>
              <w:rPr>
                <w:webHidden/>
                <w:rStyle w:val="IndexLink"/>
              </w:rPr>
              <w:t>Pour aller plus loin</w:t>
              <w:tab/>
              <w:t>21</w:t>
            </w:r>
          </w:hyperlink>
        </w:p>
        <w:p>
          <w:pPr>
            <w:pStyle w:val="TOC2"/>
            <w:tabs>
              <w:tab w:val="clear" w:pos="9077"/>
              <w:tab w:val="right" w:pos="9359" w:leader="dot"/>
            </w:tabs>
            <w:rPr/>
          </w:pPr>
          <w:hyperlink w:anchor="__RefHeading___Toc7711_3877972828">
            <w:r>
              <w:rPr>
                <w:webHidden/>
                <w:rStyle w:val="IndexLink"/>
              </w:rPr>
              <w:t>Glossaire</w:t>
              <w:tab/>
              <w:t>22</w:t>
            </w:r>
          </w:hyperlink>
          <w:r>
            <w:rPr>
              <w:rStyle w:val="IndexLink"/>
            </w:rPr>
            <w:fldChar w:fldCharType="end"/>
          </w:r>
        </w:p>
      </w:sdtContent>
    </w:sdt>
    <w:p>
      <w:pPr>
        <w:pStyle w:val="Normal"/>
        <w:widowControl/>
        <w:bidi w:val="0"/>
        <w:spacing w:lineRule="auto" w:line="276" w:before="0" w:after="160"/>
        <w:jc w:val="left"/>
        <w:rPr>
          <w:rFonts w:ascii="Calibri" w:hAnsi="Calibri"/>
          <w:color w:val="222222"/>
          <w:sz w:val="22"/>
        </w:rPr>
      </w:pPr>
      <w:r>
        <w:rPr>
          <w:color w:val="222222"/>
          <w:sz w:val="22"/>
        </w:rPr>
      </w:r>
      <w:r>
        <w:br w:type="page"/>
      </w:r>
    </w:p>
    <w:p>
      <w:pPr>
        <w:pStyle w:val="Heading1"/>
        <w:spacing w:before="0" w:after="200"/>
        <w:rPr/>
      </w:pPr>
      <w:bookmarkStart w:id="1" w:name="__RefHeading___Toc7653_3877972828"/>
      <w:bookmarkStart w:id="2" w:name="Xd33ab24323e7a1aaab55058d2da1e744162f9fb"/>
      <w:bookmarkEnd w:id="1"/>
      <w:r>
        <w:rPr/>
        <w:t>Module 9 — Outils numériques et cadre réglementaire pour l’agroentrepreneuriat</w:t>
      </w:r>
    </w:p>
    <w:p>
      <w:pPr>
        <w:pStyle w:val="Heading2"/>
        <w:rPr/>
      </w:pPr>
      <w:bookmarkStart w:id="3" w:name="__RefHeading___Toc7655_3877972828"/>
      <w:bookmarkStart w:id="4" w:name="introduction"/>
      <w:bookmarkEnd w:id="3"/>
      <w:r>
        <w:rPr/>
        <w:t>Introduction</w:t>
      </w:r>
    </w:p>
    <w:p>
      <w:pPr>
        <w:pStyle w:val="FirstParagraph"/>
        <w:rPr/>
      </w:pPr>
      <w:r>
        <w:rPr/>
        <w:t>L’agroentrepreneuriat africain traverse une période de transformation profonde. Là où, il y a une décennie encore, la gestion d’une exploitation ou d’une petite entreprise agroalimentaire reposait presque exclusivement sur des cahiers, la mémoire du dirigeant et des réseaux de confiance informels, les outils numériques occupent aujourd’hui une place croissante dans le quotidien des producteurs, transformateurs et distributeurs, qu’ils opèrent en zone rurale ou périurbaine. Le téléphone portable, devenu un objet quasi universel, sert désormais aussi bien à encaisser une vente qu’à négocier un prix, suivre un stock, ou promouvoir un produit auprès d’une clientèle élargie. Cette digitalisation, encore partielle et inégale selon les pays et les filières, ouvre des perspectives réelles de gain de temps, de sécurisation des transactions et d’élargissement des débouchés commerciaux pour les agroentrepreneurs qui savent s’en saisir de façon pragmatique.</w:t>
      </w:r>
    </w:p>
    <w:p>
      <w:pPr>
        <w:pStyle w:val="BodyText"/>
        <w:rPr/>
      </w:pPr>
      <w:r>
        <w:rPr/>
        <w:t>Parallèlement à cette mutation technologique, l’agroentrepreneur évolue dans un environnement institutionnel et réglementaire structuré à plusieurs échelles : nationale, mais aussi régionale, à travers des organisations telles que la Communauté économique des États de l’Afrique de l’Ouest (CEDEAO) ou l’Union économique et monétaire ouest-africaine (UEMOA) pour les pays concernés. Ces institutions définissent des orientations communes en matière de politique agricole, de sécurité alimentaire et d’intégration économique régionale, qui influencent indirectement les conditions dans lesquelles les acteurs des chaînes de valeur agricoles durables (CVAD) exercent leur activité. Comprendre ces grandes orientations, même sans en maîtriser les détails juridiques, permet à l’agroentrepreneur de mieux situer son activité dans un environnement plus large et d’anticiper certaines évolutions.</w:t>
      </w:r>
    </w:p>
    <w:p>
      <w:pPr>
        <w:pStyle w:val="BodyText"/>
        <w:rPr/>
      </w:pPr>
      <w:r>
        <w:rPr/>
        <w:t>Enfin, la question de la formalisation de l’activité — c’est-à-dire son enregistrement officiel auprès des autorités compétentes — reste un sujet central et souvent mal compris par les petits entrepreneurs agricoles. Beaucoup hésitent à franchir ce pas, par méconnaissance des démarches, crainte de la fiscalité, ou simple habitude de fonctionner de manière informelle. Pourtant, la formalisation, lorsqu’elle est bien préparée et adaptée à la taille de l’activité, peut ouvrir des portes importantes : accès au crédit, à des marchés plus exigeants, à des appuis techniques ou financiers, et à une meilleure protection juridique.</w:t>
      </w:r>
    </w:p>
    <w:p>
      <w:pPr>
        <w:pStyle w:val="BodyText"/>
        <w:rPr/>
      </w:pPr>
      <w:bookmarkStart w:id="5" w:name="Xd33ab24323e7a1aaab55058d2da1e744162f9fb"/>
      <w:r>
        <w:rPr/>
        <w:t>Ce module se propose donc d’outiller l’agroentrepreneur sur trois plans complémentaires : la maîtrise pratique des outils numériques les plus utiles à son activité quotidienne, la compréhension générale du cadre réglementaire régional dans lequel il évolue, et la connaissance des démarches de base pour formaliser progressivement son entreprise. L’objectif n’est pas de transformer l’apprenant en spécialiste du droit ou en expert informatique, mais de lui donner des repères concrets, illustrés par des exemples réalistes, pour qu’il puisse faire des choix éclairés et adaptés à sa situation.</w:t>
      </w:r>
      <w:bookmarkEnd w:id="5"/>
    </w:p>
    <w:p>
      <w:pPr>
        <w:pStyle w:val="Heading2"/>
        <w:rPr/>
      </w:pPr>
      <w:bookmarkStart w:id="6" w:name="__RefHeading___Toc7657_3877972828"/>
      <w:bookmarkStart w:id="7" w:name="objectifs-pédagogiques"/>
      <w:bookmarkEnd w:id="6"/>
      <w:r>
        <w:rPr/>
        <w:t>Objectifs pédagogiques</w:t>
      </w:r>
    </w:p>
    <w:p>
      <w:pPr>
        <w:pStyle w:val="FirstParagraph"/>
        <w:rPr/>
      </w:pPr>
      <w:r>
        <w:rPr/>
        <w:t>À l’issue de ce module, l’apprenant sera capable de :</w:t>
      </w:r>
    </w:p>
    <w:p>
      <w:pPr>
        <w:pStyle w:val="Compact"/>
        <w:numPr>
          <w:ilvl w:val="0"/>
          <w:numId w:val="19"/>
        </w:numPr>
        <w:rPr/>
      </w:pPr>
      <w:r>
        <w:rPr/>
        <w:t>Identifier les principaux outils numériques utiles à la gestion d’une activité agroentrepreneuriale : paiement mobile, suivi des ventes et des stocks, communication et marketing.</w:t>
      </w:r>
    </w:p>
    <w:p>
      <w:pPr>
        <w:pStyle w:val="Compact"/>
        <w:numPr>
          <w:ilvl w:val="0"/>
          <w:numId w:val="1"/>
        </w:numPr>
        <w:rPr/>
      </w:pPr>
      <w:r>
        <w:rPr/>
        <w:t>Choisir des outils numériques adaptés à la taille, aux moyens et au contexte de sa propre activité, en tenant compte de leurs avantages et de leurs limites.</w:t>
      </w:r>
    </w:p>
    <w:p>
      <w:pPr>
        <w:pStyle w:val="Compact"/>
        <w:numPr>
          <w:ilvl w:val="0"/>
          <w:numId w:val="1"/>
        </w:numPr>
        <w:rPr/>
      </w:pPr>
      <w:r>
        <w:rPr/>
        <w:t>Comprendre les grandes orientations des politiques agricoles régionales portées par des institutions comme la CEDEAO et l’UEMOA en matière de sécurité alimentaire et d’intégration des marchés.</w:t>
      </w:r>
    </w:p>
    <w:p>
      <w:pPr>
        <w:pStyle w:val="Compact"/>
        <w:numPr>
          <w:ilvl w:val="0"/>
          <w:numId w:val="1"/>
        </w:numPr>
        <w:rPr/>
      </w:pPr>
      <w:r>
        <w:rPr/>
        <w:t>Situer son activité par rapport aux principaux régimes fiscaux et administratifs simplifiés généralement proposés aux petites entreprises dans les pays de la région.</w:t>
      </w:r>
    </w:p>
    <w:p>
      <w:pPr>
        <w:pStyle w:val="Compact"/>
        <w:numPr>
          <w:ilvl w:val="0"/>
          <w:numId w:val="1"/>
        </w:numPr>
        <w:rPr/>
      </w:pPr>
      <w:r>
        <w:rPr/>
        <w:t>Identifier les grandes étapes d’une démarche de formalisation d’une activité agricole ou agroalimentaire, ainsi que ses avantages et ses contraintes.</w:t>
      </w:r>
    </w:p>
    <w:p>
      <w:pPr>
        <w:pStyle w:val="Compact"/>
        <w:numPr>
          <w:ilvl w:val="0"/>
          <w:numId w:val="1"/>
        </w:numPr>
        <w:rPr/>
      </w:pPr>
      <w:bookmarkStart w:id="8" w:name="introduction"/>
      <w:r>
        <w:rPr/>
        <w:t>Élaborer un plan d’action simple pour digitaliser progressivement sa gestion et envisager, le cas échéant, la formalisation de son activité.</w:t>
      </w:r>
      <w:bookmarkEnd w:id="8"/>
    </w:p>
    <w:p>
      <w:pPr>
        <w:pStyle w:val="Heading2"/>
        <w:rPr/>
      </w:pPr>
      <w:bookmarkStart w:id="9" w:name="__RefHeading___Toc7659_3877972828"/>
      <w:bookmarkStart w:id="10" w:name="plan-du-module"/>
      <w:bookmarkEnd w:id="9"/>
      <w:r>
        <w:rPr/>
        <w:t>Plan du module</w:t>
      </w:r>
    </w:p>
    <w:p>
      <w:pPr>
        <w:pStyle w:val="Compact"/>
        <w:numPr>
          <w:ilvl w:val="0"/>
          <w:numId w:val="20"/>
        </w:numPr>
        <w:rPr/>
      </w:pPr>
      <w:r>
        <w:rPr/>
        <w:t>Les outils numériques de paiement et de gestion financière</w:t>
      </w:r>
    </w:p>
    <w:p>
      <w:pPr>
        <w:pStyle w:val="Compact"/>
        <w:numPr>
          <w:ilvl w:val="0"/>
          <w:numId w:val="21"/>
        </w:numPr>
        <w:rPr/>
      </w:pPr>
      <w:r>
        <w:rPr/>
        <w:t>Les outils numériques de suivi d’exploitation et de vente</w:t>
      </w:r>
    </w:p>
    <w:p>
      <w:pPr>
        <w:pStyle w:val="Compact"/>
        <w:numPr>
          <w:ilvl w:val="0"/>
          <w:numId w:val="22"/>
        </w:numPr>
        <w:rPr/>
      </w:pPr>
      <w:r>
        <w:rPr/>
        <w:t>Les outils de communication et de marketing digital</w:t>
      </w:r>
    </w:p>
    <w:p>
      <w:pPr>
        <w:pStyle w:val="Compact"/>
        <w:numPr>
          <w:ilvl w:val="0"/>
          <w:numId w:val="23"/>
        </w:numPr>
        <w:rPr/>
      </w:pPr>
      <w:r>
        <w:rPr/>
        <w:t>Le cadre réglementaire régional et national</w:t>
      </w:r>
    </w:p>
    <w:p>
      <w:pPr>
        <w:pStyle w:val="Compact"/>
        <w:numPr>
          <w:ilvl w:val="0"/>
          <w:numId w:val="24"/>
        </w:numPr>
        <w:rPr/>
      </w:pPr>
      <w:bookmarkStart w:id="11" w:name="objectifs-pédagogiques"/>
      <w:r>
        <w:rPr/>
        <w:t>Les démarches pratiques de formalisation d’une activité agricole</w:t>
      </w:r>
      <w:bookmarkEnd w:id="11"/>
    </w:p>
    <w:p>
      <w:pPr>
        <w:pStyle w:val="Heading2"/>
        <w:rPr/>
      </w:pPr>
      <w:bookmarkStart w:id="12" w:name="__RefHeading___Toc7661_3877972828"/>
      <w:bookmarkStart w:id="13" w:name="X9943e578b4d5890f440ad0ead74caac0f4f3fb6"/>
      <w:bookmarkEnd w:id="12"/>
      <w:r>
        <w:rPr/>
        <w:t>1. Les outils numériques de paiement et de gestion financière</w:t>
      </w:r>
    </w:p>
    <w:p>
      <w:pPr>
        <w:pStyle w:val="Heading3"/>
        <w:rPr/>
      </w:pPr>
      <w:bookmarkStart w:id="14" w:name="__RefHeading___Toc7663_3877972828"/>
      <w:bookmarkStart w:id="15" w:name="X8c86f1c2a1debe788a01cc08e11b6ffca77820d"/>
      <w:bookmarkEnd w:id="14"/>
      <w:r>
        <w:rPr/>
        <w:t>1.1 Le paiement mobile : une révolution silencieuse pour les agroentrepreneurs</w:t>
      </w:r>
    </w:p>
    <w:p>
      <w:pPr>
        <w:pStyle w:val="FirstParagraph"/>
        <w:rPr/>
      </w:pPr>
      <w:r>
        <w:rPr/>
        <w:t>Le paiement mobile constitue sans doute l’innovation numérique la plus largement adoptée par les agroentrepreneurs africains au cours des dernières années. Des solutions comme Wave, Orange Money, Free Money, ou encore MTN Mobile Money selon les pays, permettent d’envoyer et de recevoir de l’argent instantanément à partir d’un simple téléphone portable, sans nécessiter de compte bancaire classique ni de déplacement vers une agence. Pour un producteur ou un transformateur, cela change concrètement la manière de conduire son activité au quotidien.</w:t>
      </w:r>
    </w:p>
    <w:p>
      <w:pPr>
        <w:pStyle w:val="BodyText"/>
        <w:rPr/>
      </w:pPr>
      <w:r>
        <w:rPr/>
        <w:t>Prenons l’exemple fictif mais réaliste de Mansour, maraîcher dans la région de Thiès au Sénégal. Avant d’utiliser le paiement mobile, Mansour devait se déplacer jusqu’au marché de gros pour vendre ses légumes, encaisser en espèces, puis reprendre la route avec cet argent liquide, ce qui l’exposait à des risques de perte ou de vol. Depuis qu’il a commencé à utiliser Wave pour ses transactions avec certains grossistes et détaillants, une partie significative de ses ventes est réglée directement sur son compte mobile, sans manipulation d’espèces. Il peut ensuite transférer une partie de ces fonds vers son épouse, qui gère l’achat des intrants, ou régler directement un fournisseur de semences situé dans une autre région, sans avoir à voyager lui-même.</w:t>
      </w:r>
    </w:p>
    <w:p>
      <w:pPr>
        <w:pStyle w:val="BodyText"/>
        <w:rPr/>
      </w:pPr>
      <w:r>
        <w:rPr/>
        <w:t>Le paiement mobile présente plusieurs avantages pour un agroentrepreneur : la rapidité des transactions, la réduction des risques liés au transport d’espèces, la possibilité de garder une trace numérique des mouvements financiers (ce qui facilite ensuite le suivi de trésorerie), et l’élargissement des zones de commercialisation, puisqu’il devient possible de vendre à des clients situés loin physiquement, avec un règlement immédiat. Ces outils facilitent également les transactions entre acteurs d’une même chaîne de valeur, par exemple entre un groupement de producteurs et un acheteur institutionnel, ou entre un transformateur et ses fournisseurs de matières premières.</w:t>
      </w:r>
    </w:p>
    <w:p>
      <w:pPr>
        <w:pStyle w:val="BodyText"/>
        <w:rPr/>
      </w:pPr>
      <w:bookmarkStart w:id="16" w:name="plan-du-module"/>
      <w:r>
        <w:rPr/>
        <w:t>Il convient cependant de rester attentif à certains points de vigilance : les frais de transaction, qui varient selon les opérateurs et les montants, la nécessité de vérifier systématiquement les transferts reçus avant de livrer une marchandise (afin d’éviter les tentatives d’escroquerie par faux messages de confirmation), et l’importance de conserver ses codes personnels confidentiels. Un agroentrepreneur bien formé à ces outils saura aussi comparer les offres des différents opérateurs présents dans sa zone pour choisir celle qui correspond le mieux à ses habitudes de transaction.</w:t>
      </w:r>
      <w:bookmarkEnd w:id="16"/>
    </w:p>
    <w:p>
      <w:pPr>
        <w:pStyle w:val="Heading3"/>
        <w:rPr/>
      </w:pPr>
      <w:bookmarkStart w:id="17" w:name="__RefHeading___Toc7665_3877972828"/>
      <w:bookmarkStart w:id="18" w:name="X575b6cb79a934023f4aa16f40a6d01d30b73ab7"/>
      <w:bookmarkEnd w:id="17"/>
      <w:r>
        <w:rPr/>
        <w:t>1.2 L’épargne mobile et l’accès facilité à des services financiers de base</w:t>
      </w:r>
    </w:p>
    <w:p>
      <w:pPr>
        <w:pStyle w:val="FirstParagraph"/>
        <w:rPr/>
      </w:pPr>
      <w:r>
        <w:rPr/>
        <w:t>Au-delà du simple paiement, plusieurs solutions de mobile money proposent désormais des fonctionnalités d’épargne mobile, permettant de mettre de côté une partie des revenus directement depuis le téléphone, parfois avec une rémunération modeste. Pour un agroentrepreneur dont les revenus sont saisonniers — par exemple un producteur de mangues dont l’essentiel des rentrées d’argent se concentre sur deux ou trois mois de l’année — cette fonctionnalité peut constituer un outil précieux de lissage financier, lui permettant de constituer une réserve pour la période de soudure ou pour financer la prochaine campagne.</w:t>
      </w:r>
    </w:p>
    <w:p>
      <w:pPr>
        <w:pStyle w:val="BodyText"/>
        <w:rPr/>
      </w:pPr>
      <w:r>
        <w:rPr/>
        <w:t>Aïssatou, transformatrice de céréales locales dans la région de Sikasso au Mali, illustre bien cette pratique. Après avoir vendu sa production de farine de mil pendant la période de forte demande, elle utilise désormais une fonctionnalité d’épargne intégrée à son compte mobile pour mettre de côté, chaque semaine, une petite somme destinée à l’achat de son prochain lot d’emballages. Cette discipline, facilitée par l’automatisation de petits versements réguliers, lui a permis d’éviter de recourir à un emprunt informel à taux élevé lors du dernier renouvellement de stock.</w:t>
      </w:r>
    </w:p>
    <w:p>
      <w:pPr>
        <w:pStyle w:val="BodyText"/>
        <w:rPr/>
      </w:pPr>
      <w:r>
        <w:rPr/>
        <w:t>Certaines plateformes de mobile money proposent également des services de micro-crédit adossés à l’historique des transactions de l’utilisateur : plus un agroentrepreneur utilise régulièrement son compte pour ses opérations commerciales, plus il peut, dans certains cas, se voir proposer de petites lignes de crédit à court terme. Cette dynamique crée une incitation supplémentaire à digitaliser ses transactions, puisque l’historique numérique devient progressivement un élément de réputation financière, utile y compris en dehors du système bancaire classique.</w:t>
      </w:r>
    </w:p>
    <w:p>
      <w:pPr>
        <w:pStyle w:val="BodyText"/>
        <w:rPr/>
      </w:pPr>
      <w:bookmarkStart w:id="19" w:name="X9943e578b4d5890f440ad0ead74caac0f4f3fb6"/>
      <w:r>
        <w:rPr/>
        <w:t>Il est toutefois essentiel de rappeler que ces produits financiers doivent être utilisés avec prudence : les taux d’intérêt de certains micro-crédits mobiles peuvent être élevés rapportés à leur durée, et un agroentrepreneur doit toujours vérifier sa capacité réelle de remboursement avant de s’engager, en évitant le piège du surendettement lié à des emprunts multiples et mal maîtrisés.</w:t>
      </w:r>
      <w:bookmarkEnd w:id="19"/>
    </w:p>
    <w:p>
      <w:pPr>
        <w:pStyle w:val="Heading3"/>
        <w:rPr/>
      </w:pPr>
      <w:bookmarkStart w:id="20" w:name="__RefHeading___Toc7667_3877972828"/>
      <w:bookmarkStart w:id="21" w:name="X25891d52066d0a2e8311c904538dd2e6d6c7950"/>
      <w:bookmarkEnd w:id="20"/>
      <w:r>
        <w:rPr/>
        <w:t>1.3 Le suivi de trésorerie simple à l’aide d’outils numériques</w:t>
      </w:r>
    </w:p>
    <w:p>
      <w:pPr>
        <w:pStyle w:val="FirstParagraph"/>
        <w:rPr/>
      </w:pPr>
      <w:r>
        <w:rPr/>
        <w:t>Au-delà des transactions elles-mêmes, la tenue d’un suivi de trésorerie — c’est-à-dire l’enregistrement organisé des entrées et sorties d’argent — reste une pratique encore peu répandue chez de nombreux agroentrepreneurs, alors qu’elle constitue un pilier de la gestion financière saine évoqué dans les modules précédents de ce programme. Le numérique offre aujourd’hui des solutions simples pour combler cette lacune, sans nécessiter de compétences comptables avancées.</w:t>
      </w:r>
    </w:p>
    <w:p>
      <w:pPr>
        <w:pStyle w:val="BodyText"/>
        <w:rPr/>
      </w:pPr>
      <w:r>
        <w:rPr/>
        <w:t>De nombreux agroentrepreneurs commencent par utiliser des outils très basiques mais efficaces : une application de notes ou un tableur simple sur smartphone, dans lequel ils consignent chaque jour les recettes et les dépenses. D’autres optent pour des applications spécifiquement conçues pour la gestion financière des petites activités, disponibles gratuitement ou à faible coût sur les plateformes de téléchargement, qui permettent de catégoriser les dépenses (intrants, main-d’œuvre, transport, emballage) et de générer automatiquement un solde de trésorerie à tout moment.</w:t>
      </w:r>
    </w:p>
    <w:p>
      <w:pPr>
        <w:pStyle w:val="BodyText"/>
        <w:rPr/>
      </w:pPr>
      <w:r>
        <w:rPr/>
        <w:t>L’exemple de Koffi, éleveur de volailles en Côte d’Ivoire, est représentatif de cette évolution progressive. Pendant plusieurs années, Koffi gérait son activité « à l’instinct », sans réellement savoir si son élevage était rentable une fois toutes les charges prises en compte. Après avoir suivi une formation courte sur la gestion, il a commencé à utiliser une application simple de suivi de trésorerie sur son téléphone, dans laquelle il note chaque achat d’aliment pour volaille, chaque vente de poulets, et les frais vétérinaires. Au bout de quelques mois, il a pu constater que certains mois étaient structurellement déficitaires en raison du coût élevé de l’alimentation, ce qui l’a conduit à ajuster son approvisionnement en aliments et à mieux négocier ses achats groupés avec d’autres éleveurs de son quartier.</w:t>
      </w:r>
    </w:p>
    <w:p>
      <w:pPr>
        <w:pStyle w:val="BodyText"/>
        <w:rPr/>
      </w:pPr>
      <w:bookmarkStart w:id="22" w:name="X8c86f1c2a1debe788a01cc08e11b6ffca77820d"/>
      <w:bookmarkStart w:id="23" w:name="X575b6cb79a934023f4aa16f40a6d01d30b73ab7"/>
      <w:r>
        <w:rPr/>
        <w:t>Ce type de suivi numérique présente un double avantage : il fournit une information fiable pour la prise de décision (faut-il investir, réduire une charge, augmenter les prix de vente ?) et il constitue également un point de départ précieux si l’agroentrepreneur souhaite, plus tard, présenter un dossier de financement à une institution de microfinance ou à une banque, ou encore formaliser son activité, comme cela sera développé plus loin dans ce module.</w:t>
      </w:r>
      <w:bookmarkEnd w:id="22"/>
      <w:bookmarkEnd w:id="23"/>
    </w:p>
    <w:p>
      <w:pPr>
        <w:pStyle w:val="Heading2"/>
        <w:rPr/>
      </w:pPr>
      <w:bookmarkStart w:id="24" w:name="__RefHeading___Toc7669_3877972828"/>
      <w:bookmarkStart w:id="25" w:name="Xcda046ff0d42c7e6e6860fa7aaa87a561bb7981"/>
      <w:bookmarkEnd w:id="24"/>
      <w:r>
        <w:rPr/>
        <w:t>2. Les outils numériques de suivi d’exploitation et de vente</w:t>
      </w:r>
    </w:p>
    <w:p>
      <w:pPr>
        <w:pStyle w:val="Heading3"/>
        <w:rPr/>
      </w:pPr>
      <w:bookmarkStart w:id="26" w:name="__RefHeading___Toc7671_3877972828"/>
      <w:bookmarkStart w:id="27" w:name="Xb71dcad5c9a938a07b818d06802dbbe2266444d"/>
      <w:bookmarkEnd w:id="26"/>
      <w:r>
        <w:rPr/>
        <w:t>2.1 Les applications de gestion de stock et de suivi des ventes</w:t>
      </w:r>
    </w:p>
    <w:p>
      <w:pPr>
        <w:pStyle w:val="FirstParagraph"/>
        <w:rPr/>
      </w:pPr>
      <w:r>
        <w:rPr/>
        <w:t>Que l’on produise, transforme ou distribue des produits agricoles, la gestion des stocks reste un enjeu central : trop de stock immobilise inutilement de la trésorerie et expose à des pertes (notamment pour les produits périssables), tandis qu’un stock insuffisant fait manquer des opportunités de vente. Les outils numériques de suivi de stock, initialement conçus pour le commerce en général, sont de plus en plus adaptés et utilisés par les agroentrepreneurs pour mieux piloter cette dimension de leur activité.</w:t>
      </w:r>
    </w:p>
    <w:p>
      <w:pPr>
        <w:pStyle w:val="BodyText"/>
        <w:rPr/>
      </w:pPr>
      <w:r>
        <w:rPr/>
        <w:t>Ces applications, souvent disponibles sous forme d’applications mobiles légères, permettent d’enregistrer les entrées de marchandises (récolte, achat de matière première, production issue de la transformation), les sorties (ventes, pertes, dons, autoconsommation), et de connaître à tout moment le niveau de stock disponible. Certaines applications intègrent également des alertes automatiques lorsque le stock d’un produit descend sous un seuil défini par l’utilisateur, ce qui permet d’anticiper les ruptures.</w:t>
      </w:r>
    </w:p>
    <w:p>
      <w:pPr>
        <w:pStyle w:val="BodyText"/>
        <w:rPr/>
      </w:pPr>
      <w:r>
        <w:rPr/>
        <w:t>L’exemple de la coopérative « Les Jardins de Bamenda » au Cameroun, regroupant une vingtaine de productrices de légumes biologiques, illustre l’intérêt de ces outils à l’échelle collective. Avant l’adoption d’une application de gestion partagée, chaque membre notait sa production sur un cahier personnel, rendant très difficile la consolidation des informations pour répondre aux commandes groupées d’un supermarché local. Depuis la mise en place d’une application simple de suivi des stocks, alimentée par la responsable logistique de la coopérative à partir des déclarations quotidiennes des membres, il devient possible de connaître en temps réel les quantités disponibles par culture, et donc de répondre plus rapidement et plus précisément aux demandes des clients institutionnels.</w:t>
      </w:r>
    </w:p>
    <w:p>
      <w:pPr>
        <w:pStyle w:val="BodyText"/>
        <w:rPr/>
      </w:pPr>
      <w:bookmarkStart w:id="28" w:name="X25891d52066d0a2e8311c904538dd2e6d6c7950"/>
      <w:r>
        <w:rPr/>
        <w:t>Pour un agroentrepreneur individuel, même une utilisation simplifiée de ces outils — par exemple un tableau numérique mis à jour une fois par semaine — permet déjà de mieux anticiper les besoins d’approvisionnement, d’identifier les produits qui se vendent le mieux, et de limiter les pertes liées à une mauvaise anticipation des quantités à écouler avant dégradation.</w:t>
      </w:r>
      <w:bookmarkEnd w:id="28"/>
    </w:p>
    <w:p>
      <w:pPr>
        <w:pStyle w:val="Heading3"/>
        <w:rPr/>
      </w:pPr>
      <w:bookmarkStart w:id="29" w:name="__RefHeading___Toc7673_3877972828"/>
      <w:bookmarkStart w:id="30" w:name="X0da147f34600ecb7c1b7badc73ccc12dc2f52c8"/>
      <w:bookmarkEnd w:id="29"/>
      <w:r>
        <w:rPr/>
        <w:t>2.2 Les plateformes de mise en marché en ligne et de vente à distance</w:t>
      </w:r>
    </w:p>
    <w:p>
      <w:pPr>
        <w:pStyle w:val="FirstParagraph"/>
        <w:rPr/>
      </w:pPr>
      <w:r>
        <w:rPr/>
        <w:t>Au-delà de la gestion interne, le numérique transforme également la manière dont les agroentrepreneurs accèdent aux marchés. Des plateformes de mise en relation entre producteurs et acheteurs, qu’il s’agisse de sites web dédiés, d’applications spécialisées dans la vente de produits agricoles, ou de groupes structurés sur des réseaux de messagerie, permettent aujourd’hui de vendre au-delà du cercle géographique traditionnellement accessible à pied ou en transport local.</w:t>
      </w:r>
    </w:p>
    <w:p>
      <w:pPr>
        <w:pStyle w:val="BodyText"/>
        <w:rPr/>
      </w:pPr>
      <w:r>
        <w:rPr/>
        <w:t>Ces plateformes fonctionnent selon des logiques variées : certaines permettent de publier une offre de produits disponibles (quantité, prix, lieu de retrait) consultable par des acheteurs potentiels ; d’autres organisent une mise en relation directe entre un groupement de producteurs et des acheteurs institutionnels comme des restaurants, des hôtels ou des supermarchés ; d’autres encore fonctionnent comme des places de marché numériques où plusieurs vendeurs proposent leurs produits à une communauté d’acheteurs enregistrés.</w:t>
      </w:r>
    </w:p>
    <w:p>
      <w:pPr>
        <w:pStyle w:val="BodyText"/>
        <w:rPr/>
      </w:pPr>
      <w:r>
        <w:rPr/>
        <w:t>L’histoire de Fatou, productrice de miel dans la région de Kayes au Mali, montre le potentiel de ces outils. Fatou vendait initialement son miel uniquement sur le marché hebdomadaire de son village, avec une clientèle limitée. En intégrant un groupe de vente en ligne rassemblant plusieurs producteurs de miel de sa région, ainsi qu’en publiant régulièrement des photos de ses pots de miel sur une plateforme de petites annonces locales, elle a progressivement élargi sa clientèle à des acheteurs de la capitale, qui passent commande à distance et se font livrer ou viennent récupérer leur commande lors de leurs déplacements. Ce canal complémentaire lui permet de lisser ses ventes sur l’année et de mieux valoriser certains lots de miel de qualité supérieure, pour lesquels la clientèle urbaine est prête à payer un prix plus élevé que sur le marché local.</w:t>
      </w:r>
    </w:p>
    <w:p>
      <w:pPr>
        <w:pStyle w:val="BodyText"/>
        <w:rPr/>
      </w:pPr>
      <w:bookmarkStart w:id="31" w:name="Xcda046ff0d42c7e6e6860fa7aaa87a561bb7981"/>
      <w:r>
        <w:rPr/>
        <w:t>Il est important de souligner que l’utilisation de ces plateformes suppose une certaine rigueur : il faut être capable d’honorer les commandes prises à distance (ce qui renvoie directement à la nécessité d’un bon suivi de stock, évoqué au point précédent), de gérer les modalités de livraison ou de retrait, et de construire une relation de confiance avec des clients que l’on ne rencontre pas nécessairement en personne. C’est un point qui sera approfondi dans la section consacrée à la communication et à l’e-réputation.</w:t>
      </w:r>
      <w:bookmarkEnd w:id="31"/>
    </w:p>
    <w:p>
      <w:pPr>
        <w:pStyle w:val="Heading3"/>
        <w:rPr/>
      </w:pPr>
      <w:bookmarkStart w:id="32" w:name="__RefHeading___Toc7675_3877972828"/>
      <w:bookmarkStart w:id="33" w:name="X9078dfa040a6725c77eadb9610f61473dec0c84"/>
      <w:bookmarkEnd w:id="32"/>
      <w:r>
        <w:rPr/>
        <w:t>2.3 L’articulation entre outils numériques et pratiques de gestion existantes</w:t>
      </w:r>
    </w:p>
    <w:p>
      <w:pPr>
        <w:pStyle w:val="FirstParagraph"/>
        <w:rPr/>
      </w:pPr>
      <w:r>
        <w:rPr/>
        <w:t>Un point essentiel, souvent négligé dans les formations centrées sur les outils eux-mêmes, concerne l’articulation entre les nouveaux outils numériques et les pratiques de gestion déjà en place chez l’agroentrepreneur. L’adoption d’une application de suivi de stock ou de ventes ne doit pas être perçue comme un objectif en soi, mais comme un moyen d’améliorer une pratique de gestion déjà existante, même rudimentaire.</w:t>
      </w:r>
    </w:p>
    <w:p>
      <w:pPr>
        <w:pStyle w:val="BodyText"/>
        <w:rPr/>
      </w:pPr>
      <w:r>
        <w:rPr/>
        <w:t>Dans de nombreux cas, les agroentrepreneurs disposent déjà d’habitudes de suivi, sous forme de cahiers, de carnets, ou de mémorisation informelle. La transition vers le numérique fonctionne mieux lorsqu’elle part de ces pratiques existantes plutôt que de les remplacer brutalement. Par exemple, un agroentrepreneur peut commencer par continuer à noter ses transactions sur un cahier tout en les reportant, une fois par semaine, dans une application numérique simple, le temps de se familiariser avec l’outil avant d’envisager, éventuellement, un abandon complet du support papier.</w:t>
      </w:r>
    </w:p>
    <w:p>
      <w:pPr>
        <w:pStyle w:val="BodyText"/>
        <w:rPr/>
      </w:pPr>
      <w:r>
        <w:rPr/>
        <w:t>Cette approche progressive est illustrée par le cas de Boubacar, producteur de riz dans la vallée du fleuve Sénégal, qui a d’abord testé une application de suivi de vente pendant une seule saison agricole, en parallèle de son cahier habituel, avant de constater que l’application lui faisait gagner un temps précieux lors du calcul de ses revenus en fin de campagne. Ce n’est qu’après cette période de test qu’il a définitivement basculé vers l’outil numérique comme support principal.</w:t>
      </w:r>
    </w:p>
    <w:p>
      <w:pPr>
        <w:pStyle w:val="BodyText"/>
        <w:rPr/>
      </w:pPr>
      <w:bookmarkStart w:id="34" w:name="Xb71dcad5c9a938a07b818d06802dbbe2266444d"/>
      <w:bookmarkStart w:id="35" w:name="X0da147f34600ecb7c1b7badc73ccc12dc2f52c8"/>
      <w:r>
        <w:rPr/>
        <w:t>Cette section rappelle également un point de vigilance pratique : la fiabilité de ces outils dépend fortement de la régularité de leur usage. Une application de suivi n’apporte de valeur que si les données y sont enregistrées de manière rigoureuse et récurrente ; à défaut, elle peut donner une image incomplète ou trompeuse de la situation réelle de l’activité, ce qui peut être plus préjudiciable qu’une absence totale de suivi si l’agroentrepreneur se fie aveuglément à des données partielles.</w:t>
      </w:r>
      <w:bookmarkEnd w:id="34"/>
      <w:bookmarkEnd w:id="35"/>
    </w:p>
    <w:p>
      <w:pPr>
        <w:pStyle w:val="Heading2"/>
        <w:rPr/>
      </w:pPr>
      <w:bookmarkStart w:id="36" w:name="__RefHeading___Toc7677_3877972828"/>
      <w:bookmarkStart w:id="37" w:name="X6e34cba772e43af0c0df3ec92d854e0be0387bc"/>
      <w:bookmarkEnd w:id="36"/>
      <w:r>
        <w:rPr/>
        <w:t>3. Les outils de communication et de marketing digital</w:t>
      </w:r>
    </w:p>
    <w:p>
      <w:pPr>
        <w:pStyle w:val="Heading3"/>
        <w:rPr/>
      </w:pPr>
      <w:bookmarkStart w:id="38" w:name="__RefHeading___Toc7679_3877972828"/>
      <w:bookmarkStart w:id="39" w:name="X09deebf9ea60b1a7c2edb888af243d2375e0143"/>
      <w:bookmarkEnd w:id="38"/>
      <w:r>
        <w:rPr/>
        <w:t>3.1 Les réseaux sociaux comme vitrine de l’activité agroentrepreneuriale</w:t>
      </w:r>
    </w:p>
    <w:p>
      <w:pPr>
        <w:pStyle w:val="FirstParagraph"/>
        <w:rPr/>
      </w:pPr>
      <w:r>
        <w:rPr/>
        <w:t>Les réseaux sociaux, initialement perçus comme des outils de loisir ou de communication personnelle, sont devenus pour de nombreux agroentrepreneurs africains un canal de promotion commerciale accessible et peu coûteux. Des plateformes largement utilisées sur le continent permettent de publier des photos de produits, de partager des informations sur les récoltes disponibles, de mettre en avant le savoir-faire de l’entreprise, ou encore de communiquer sur des événements comme une journée portes ouvertes de la ferme.</w:t>
      </w:r>
    </w:p>
    <w:p>
      <w:pPr>
        <w:pStyle w:val="BodyText"/>
        <w:rPr/>
      </w:pPr>
      <w:r>
        <w:rPr/>
        <w:t>L’exemple d’Awa, qui produit et transforme des jus de fruits naturels à Ouagadougou au Burkina Faso, est représentatif de cette dynamique. Awa a commencé à publier régulièrement des photos de ses jus, accompagnées de messages courts expliquant l’origine locale des fruits utilisés et les bienfaits de ses produits, sur un compte dédié à son activité. Progressivement, cette présence régulière a suscité l’intérêt de clients qu’elle n’aurait pas touchés par le seul bouche-à-oreille de son quartier, notamment des professionnels organisant des événements et cherchant des boissons locales pour leurs invités.</w:t>
      </w:r>
    </w:p>
    <w:p>
      <w:pPr>
        <w:pStyle w:val="BodyText"/>
        <w:rPr/>
      </w:pPr>
      <w:r>
        <w:rPr/>
        <w:t>Pour qu’une présence sur les réseaux sociaux soit réellement utile à un agroentrepreneur, quelques principes simples méritent d’être rappelés : la régularité des publications (mieux vaut publier modestement mais régulièrement que de manière sporadique), la clarté des informations essentielles (prix, disponibilité, modalités de commande et de livraison), et la qualité minimale des visuels, qui peut être obtenue sans matériel sophistiqué, avec un simple smartphone et un peu de soin dans la prise de vue (lumière naturelle, produit mis en valeur, arrière-plan sobre).</w:t>
      </w:r>
    </w:p>
    <w:p>
      <w:pPr>
        <w:pStyle w:val="BodyText"/>
        <w:rPr/>
      </w:pPr>
      <w:bookmarkStart w:id="40" w:name="X9078dfa040a6725c77eadb9610f61473dec0c84"/>
      <w:r>
        <w:rPr/>
        <w:t>Il est également important de rappeler que la présence sur les réseaux sociaux ne remplace pas les canaux de vente existants, mais vient les compléter. Un agroentrepreneur ne doit pas négliger sa clientèle de proximité au profit d’une audience en ligne encore incertaine, mais plutôt considérer le numérique comme un levier supplémentaire de développement progressif de sa clientèle.</w:t>
      </w:r>
      <w:bookmarkEnd w:id="40"/>
    </w:p>
    <w:p>
      <w:pPr>
        <w:pStyle w:val="Heading3"/>
        <w:rPr/>
      </w:pPr>
      <w:bookmarkStart w:id="41" w:name="__RefHeading___Toc7681_3877972828"/>
      <w:bookmarkStart w:id="42" w:name="X3f143c64ef28773d4861db84d85c4c8f64f8dcb"/>
      <w:bookmarkEnd w:id="41"/>
      <w:r>
        <w:rPr/>
        <w:t>3.2 La messagerie instantanée comme outil de relation client et de coordination</w:t>
      </w:r>
    </w:p>
    <w:p>
      <w:pPr>
        <w:pStyle w:val="FirstParagraph"/>
        <w:rPr/>
      </w:pPr>
      <w:r>
        <w:rPr/>
        <w:t>Les applications de messagerie instantanée jouent un rôle tout aussi important, sinon plus, que les réseaux sociaux dans le quotidien commercial des agroentrepreneurs. Elles permettent une communication directe, rapide et peu coûteuse avec les clients, les fournisseurs, et les autres membres d’un groupement ou d’une coopérative.</w:t>
      </w:r>
    </w:p>
    <w:p>
      <w:pPr>
        <w:pStyle w:val="BodyText"/>
        <w:rPr/>
      </w:pPr>
      <w:r>
        <w:rPr/>
        <w:t>Ces outils sont utilisés de multiples façons : pour recevoir des commandes de clients réguliers, pour envoyer une photo de la marchandise disponible avant qu’elle ne soit mise en vente sur un marché physique, pour organiser la logistique de livraison avec un transporteur, ou encore pour coordonner les activités d’un groupe de producteurs partageant un même point de collecte. Les fonctionnalités de groupes de discussion sont particulièrement utiles pour les coopératives ou groupements, qui peuvent ainsi diffuser rapidement une information à l’ensemble de leurs membres (par exemple, une date de collecte, un changement de prix, ou une alerte sanitaire sur les cultures).</w:t>
      </w:r>
    </w:p>
    <w:p>
      <w:pPr>
        <w:pStyle w:val="BodyText"/>
        <w:rPr/>
      </w:pPr>
      <w:r>
        <w:rPr/>
        <w:t>L’exemple du groupement de producteurs de tomates de la commune de Savalou, au Bénin, illustre cet usage collectif. Les responsables du groupement ont créé un groupe de discussion réunissant l’ensemble des producteurs affiliés, dans lequel sont partagées chaque semaine les informations sur les prix pratiqués sur les principaux marchés de la région, ainsi que les dates de passage du camion de collecte groupée. Cette circulation rapide de l’information a permis de réduire les cas où certains producteurs vendaient leur récolte à un prix nettement inférieur à celui du marché, faute d’information actualisée.</w:t>
      </w:r>
    </w:p>
    <w:p>
      <w:pPr>
        <w:pStyle w:val="BodyText"/>
        <w:rPr/>
      </w:pPr>
      <w:bookmarkStart w:id="43" w:name="X6e34cba772e43af0c0df3ec92d854e0be0387bc"/>
      <w:r>
        <w:rPr/>
        <w:t>Un point de vigilance mérite toutefois d’être signalé : la multiplication des groupes de discussion et des sollicitations peut aussi devenir une source de désorganisation ou de perte de temps si elle n’est pas encadrée par quelques règles simples, comme la définition d’horaires dédiés à la consultation des messages professionnels, ou la distinction claire entre les échanges personnels et les échanges liés à l’activité.</w:t>
      </w:r>
      <w:bookmarkEnd w:id="43"/>
    </w:p>
    <w:p>
      <w:pPr>
        <w:pStyle w:val="Heading3"/>
        <w:rPr/>
      </w:pPr>
      <w:bookmarkStart w:id="44" w:name="__RefHeading___Toc7683_3877972828"/>
      <w:bookmarkStart w:id="45" w:name="X2fc54161970b942870fd77422906f6b23ed83f4"/>
      <w:bookmarkEnd w:id="44"/>
      <w:r>
        <w:rPr/>
        <w:t>3.3 La construction d’une e-réputation simple et la gestion de l’image de l’entreprise</w:t>
      </w:r>
    </w:p>
    <w:p>
      <w:pPr>
        <w:pStyle w:val="FirstParagraph"/>
        <w:rPr/>
      </w:pPr>
      <w:r>
        <w:rPr/>
        <w:t>Au-delà de la simple publication de contenus, la notion d’e-réputation — c’est-à-dire l’image qu’une entreprise renvoie à travers sa présence numérique — devient progressivement pertinente, y compris pour de petites structures agroentrepreneuriales. Cette réputation se construit à travers plusieurs éléments : la régularité et la qualité des publications, mais aussi la manière dont l’entreprise répond aux commentaires, aux questions, voire aux critiques éventuelles de clients.</w:t>
      </w:r>
    </w:p>
    <w:p>
      <w:pPr>
        <w:pStyle w:val="BodyText"/>
        <w:rPr/>
      </w:pPr>
      <w:r>
        <w:rPr/>
        <w:t>Il est important pour l’agroentrepreneur de comprendre que la confiance numérique se construit progressivement, notamment à travers la cohérence entre ce qui est annoncé en ligne (qualité, disponibilité, prix) et ce qui est effectivement livré au client. Un décalage répété entre la promesse en ligne et la réalité de la prestation peut rapidement nuire à la réputation de l’entreprise, d’autant plus que les informations, positives comme négatives, circulent rapidement au sein des réseaux de clients et de connaissances.</w:t>
      </w:r>
    </w:p>
    <w:p>
      <w:pPr>
        <w:pStyle w:val="BodyText"/>
        <w:rPr/>
      </w:pPr>
      <w:r>
        <w:rPr/>
        <w:t>L’exemple de Moussa, producteur d’ananas dans la région d’Abidjan, illustre cette dimension. Après avoir reçu un commentaire d’un client mécontent concernant un retard de livraison, Moussa a pris le temps de répondre publiquement de manière posée, en présentant des excuses et en expliquant la cause du retard (une panne du véhicule de transport), avant de proposer une compensation pour la prochaine commande. Cette réponse, visible par l’ensemble de ses abonnés, a été perçue positivement par d’autres clients, qui ont souligné le sérieux et la transparence de l’entreprise, contribuant ainsi à renforcer plutôt qu’à affaiblir sa réputation malgré l’incident initial.</w:t>
      </w:r>
    </w:p>
    <w:p>
      <w:pPr>
        <w:pStyle w:val="BodyText"/>
        <w:rPr/>
      </w:pPr>
      <w:bookmarkStart w:id="46" w:name="X09deebf9ea60b1a7c2edb888af243d2375e0143"/>
      <w:bookmarkStart w:id="47" w:name="X3f143c64ef28773d4861db84d85c4c8f64f8dcb"/>
      <w:r>
        <w:rPr/>
        <w:t>Cette section invite donc l’agroentrepreneur à considérer sa présence numérique non pas comme un simple outil de promotion à sens unique, mais comme un espace de relation avec sa clientèle, nécessitant une attention et une réactivité minimales, proportionnées bien sûr au temps disponible et à la taille de l’activité.</w:t>
      </w:r>
      <w:bookmarkEnd w:id="46"/>
      <w:bookmarkEnd w:id="47"/>
    </w:p>
    <w:p>
      <w:pPr>
        <w:pStyle w:val="Heading2"/>
        <w:rPr/>
      </w:pPr>
      <w:bookmarkStart w:id="48" w:name="__RefHeading___Toc7685_3877972828"/>
      <w:bookmarkStart w:id="49" w:name="X6ee3977c0a1b8848233b5d9a19a614eb8ff9476"/>
      <w:bookmarkEnd w:id="48"/>
      <w:r>
        <w:rPr/>
        <w:t>4. Le cadre réglementaire régional et national</w:t>
      </w:r>
    </w:p>
    <w:p>
      <w:pPr>
        <w:pStyle w:val="Heading3"/>
        <w:rPr/>
      </w:pPr>
      <w:bookmarkStart w:id="50" w:name="__RefHeading___Toc7687_3877972828"/>
      <w:bookmarkStart w:id="51" w:name="X06960ce6db61229f812a6223d9271951b63e650"/>
      <w:bookmarkEnd w:id="50"/>
      <w:r>
        <w:rPr/>
        <w:t>4.1 Les grandes orientations des politiques agricoles régionales</w:t>
      </w:r>
    </w:p>
    <w:p>
      <w:pPr>
        <w:pStyle w:val="FirstParagraph"/>
        <w:rPr/>
      </w:pPr>
      <w:r>
        <w:rPr/>
        <w:t>Les agroentrepreneurs des pays membres de la CEDEAO évoluent dans un espace régional doté d’une politique agricole commune, généralement désignée par le sigle ECOWAP (Politique agricole de la CEDEAO). Cette politique régionale a été conçue pour orienter et coordonner les efforts des États membres en matière de développement agricole, avec pour ambition générale de renforcer la sécurité alimentaire, de soutenir la modernisation des exploitations familiales, et de favoriser une meilleure intégration des marchés agricoles à l’échelle de la sous-région.</w:t>
      </w:r>
    </w:p>
    <w:p>
      <w:pPr>
        <w:pStyle w:val="BodyText"/>
        <w:rPr/>
      </w:pPr>
      <w:r>
        <w:rPr/>
        <w:t>Sans entrer dans le détail des textes qui la fondent, il est utile pour un agroentrepreneur de comprendre l’esprit général de cette politique régionale : elle vise notamment à faciliter la circulation des produits agricoles entre pays membres, à encourager les investissements dans les filières considérées comme stratégiques pour la sécurité alimentaire régionale, et à soutenir des dispositifs d’accompagnement technique et financier destinés aux acteurs des chaînes de valeur agricoles, y compris les petites exploitations. Ces orientations se traduisent, selon les pays et les périodes, par des programmes d’appui, des mécanismes de financement dédiés, ou des initiatives de promotion des produits locaux à l’échelle régionale.</w:t>
      </w:r>
    </w:p>
    <w:p>
      <w:pPr>
        <w:pStyle w:val="BodyText"/>
        <w:rPr/>
      </w:pPr>
      <w:r>
        <w:rPr/>
        <w:t>De son côté, l’Union économique et monétaire ouest-africaine (UEMOA), qui rassemble un sous-ensemble des pays de la CEDEAO partageant une monnaie commune, développe également des orientations en matière de politique agricole, articulées avec celles de la CEDEAO, et portant une attention particulière à l’harmonisation des règles économiques entre ses pays membres, notamment en matière de fiscalité, de normes de qualité pour certains produits, et de facilitation des échanges commerciaux intracommunautaires.</w:t>
      </w:r>
    </w:p>
    <w:p>
      <w:pPr>
        <w:pStyle w:val="BodyText"/>
        <w:rPr/>
      </w:pPr>
      <w:bookmarkStart w:id="52" w:name="X2fc54161970b942870fd77422906f6b23ed83f4"/>
      <w:r>
        <w:rPr/>
        <w:t>Pour l’agroentrepreneur, l’intérêt pratique de connaître ces grandes orientations régionales n’est pas de maîtriser un contenu juridique précis, mais de comprendre que son activité s’inscrit dans une dynamique plus large de construction d’un marché régional agricole, ce qui peut se traduire concrètement par des opportunités : programmes de soutien accessibles à certaines filières, possibilités progressives d’exportation facilitée vers des pays voisins de la même zone régionale, ou encore normes de qualité communes qui, si elles sont respectées, peuvent ouvrir l’accès à des marchés plus larges que le seul marché national.</w:t>
      </w:r>
      <w:bookmarkEnd w:id="52"/>
    </w:p>
    <w:p>
      <w:pPr>
        <w:pStyle w:val="Heading3"/>
        <w:rPr/>
      </w:pPr>
      <w:bookmarkStart w:id="53" w:name="__RefHeading___Toc7689_3877972828"/>
      <w:bookmarkStart w:id="54" w:name="Xed2b0d926bfe768e3c0f19b481c966acd49c835"/>
      <w:bookmarkEnd w:id="53"/>
      <w:r>
        <w:rPr/>
        <w:t>4.2 Notions de fiscalité simplifiée pour les petites activités agricoles</w:t>
      </w:r>
    </w:p>
    <w:p>
      <w:pPr>
        <w:pStyle w:val="FirstParagraph"/>
        <w:rPr/>
      </w:pPr>
      <w:r>
        <w:rPr/>
        <w:t>La question fiscale suscite souvent une appréhension importante chez les agroentrepreneurs, en particulier ceux qui opèrent depuis longtemps dans l’informalité. Il est important de rappeler, de manière générale et sans se référer à un régime fiscal précis (les règles variant d’un pays à l’autre au sein de la région), que la plupart des pays de la zone CEDEAO/UEMOA ont mis en place des régimes fiscaux dits « simplifiés » ou « synthétiques », spécifiquement destinés aux petites et très petites entreprises, y compris dans le secteur agricole et agroalimentaire.</w:t>
      </w:r>
    </w:p>
    <w:p>
      <w:pPr>
        <w:pStyle w:val="BodyText"/>
        <w:rPr/>
      </w:pPr>
      <w:r>
        <w:rPr/>
        <w:t>Ces régimes simplifiés reposent généralement sur une logique commune : plutôt que d’exiger une comptabilité complète et complexe, ils prévoient un mode de calcul de l’impôt simplifié, souvent basé sur le chiffre d’affaires estimé ou déclaré de l’activité, avec des taux et des seuils adaptés aux petites structures. L’objectif de ces dispositifs est précisément de rendre la fiscalité accessible et compréhensible pour des entrepreneurs ne disposant pas nécessairement de compétences comptables poussées, tout en les intégrant progressivement dans le système fiscal national.</w:t>
      </w:r>
    </w:p>
    <w:p>
      <w:pPr>
        <w:pStyle w:val="BodyText"/>
        <w:rPr/>
      </w:pPr>
      <w:r>
        <w:rPr/>
        <w:t>Il faut également souligner que, dans de nombreux pays de la région, certaines activités agricoles de base (production primaire non transformée, à petite échelle) bénéficient parfois d’exonérations ou de régimes particuliers, reflétant une volonté des pouvoirs publics de ne pas pénaliser excessivement les petits producteurs. En revanche, les activités de transformation, de commercialisation à plus grande échelle, ou les entreprises structurées sous forme de sociétés, relèvent plus généralement des régimes fiscaux de droit commun ou de régimes intermédiaires, dont les modalités précises doivent être vérifiées auprès des administrations fiscales nationales ou de structures d’accompagnement compétentes.</w:t>
      </w:r>
    </w:p>
    <w:p>
      <w:pPr>
        <w:pStyle w:val="BodyText"/>
        <w:rPr/>
      </w:pPr>
      <w:bookmarkStart w:id="55" w:name="X6ee3977c0a1b8848233b5d9a19a614eb8ff9476"/>
      <w:r>
        <w:rPr/>
        <w:t>Pour l’agroentrepreneur, le message essentiel de cette section est le suivant : il existe, dans la plupart des pays de la région, des dispositifs pensés pour permettre une entrée progressive et adaptée dans la fiscalité, et il est recommandé de se renseigner localement, par exemple auprès d’une chambre de commerce, d’une chambre d’agriculture, ou d’un centre de formalités des entreprises, plutôt que de se fier à des idées reçues ou à des informations informelles qui peuvent être obsolètes ou inexactes.</w:t>
      </w:r>
      <w:bookmarkEnd w:id="55"/>
    </w:p>
    <w:p>
      <w:pPr>
        <w:pStyle w:val="Heading3"/>
        <w:rPr/>
      </w:pPr>
      <w:bookmarkStart w:id="56" w:name="__RefHeading___Toc7691_3877972828"/>
      <w:bookmarkStart w:id="57" w:name="X26c69aba9a194faee408eeec2106262541568f9"/>
      <w:bookmarkEnd w:id="56"/>
      <w:r>
        <w:rPr/>
        <w:t>4.3 L’importance de la formalisation dans une perspective de développement des chaînes de valeur</w:t>
      </w:r>
    </w:p>
    <w:p>
      <w:pPr>
        <w:pStyle w:val="FirstParagraph"/>
        <w:rPr/>
      </w:pPr>
      <w:r>
        <w:rPr/>
        <w:t>Le cadre réglementaire régional et national n’a de sens, pour un agroentrepreneur, que s’il est mis en perspective avec les enjeux concrets de développement de son activité. La formalisation d’une entreprise agricole s’inscrit dans cette perspective : elle ne constitue pas une fin en soi, mais un moyen de consolider et de faire grandir une activité, en particulier lorsque celle-ci ambitionne de s’intégrer plus fortement dans une chaîne de valeur agricole durable, avec des partenaires commerciaux plus exigeants (transformateurs industriels, exportateurs, grande distribution, marchés publics).</w:t>
      </w:r>
    </w:p>
    <w:p>
      <w:pPr>
        <w:pStyle w:val="BodyText"/>
        <w:rPr/>
      </w:pPr>
      <w:r>
        <w:rPr/>
        <w:t>De nombreux appels d’offres, programmes d’appui financier, ou partenariats commerciaux structurés exigent en effet, à un moment ou à un autre, la présentation de documents attestant de l’existence légale de l’entreprise : un numéro d’enregistrement, une immatriculation fiscale, ou un statut juridique reconnu. Un agroentrepreneur qui reste durablement dans l’informalité peut ainsi se voir exclu de certaines opportunités de développement, même lorsque la qualité de ses produits ou de son savoir-faire seraient par ailleurs tout à fait compétitifs.</w:t>
      </w:r>
    </w:p>
    <w:p>
      <w:pPr>
        <w:pStyle w:val="BodyText"/>
        <w:rPr/>
      </w:pPr>
      <w:bookmarkStart w:id="58" w:name="X06960ce6db61229f812a6223d9271951b63e650"/>
      <w:bookmarkStart w:id="59" w:name="Xed2b0d926bfe768e3c0f19b481c966acd49c835"/>
      <w:r>
        <w:rPr/>
        <w:t>Cette dimension réglementaire régionale et nationale doit donc être perçue par l’agroentrepreneur non comme une contrainte administrative isolée, mais comme un élément structurant de sa trajectoire de développement, en cohérence avec les objectifs plus larges de professionnalisation et de consolidation économique abordés dans les modules précédents de ce programme de formation. Les sections suivantes de ce module détaillent plus concrètement les démarches pratiques permettant d’avancer sur ce chemin de la formalisation, de manière progressive et adaptée à la réalité de chaque activité.</w:t>
      </w:r>
      <w:bookmarkEnd w:id="58"/>
      <w:bookmarkEnd w:id="59"/>
    </w:p>
    <w:p>
      <w:pPr>
        <w:pStyle w:val="Heading2"/>
        <w:rPr/>
      </w:pPr>
      <w:bookmarkStart w:id="60" w:name="__RefHeading___Toc7693_3877972828"/>
      <w:bookmarkStart w:id="61" w:name="X9e6a30bd545ab87b04b165ce47ca79294d07dc7"/>
      <w:bookmarkEnd w:id="60"/>
      <w:r>
        <w:rPr/>
        <w:t>5. Les démarches pratiques de formalisation d’une activité agricole</w:t>
      </w:r>
    </w:p>
    <w:p>
      <w:pPr>
        <w:pStyle w:val="Heading3"/>
        <w:rPr/>
      </w:pPr>
      <w:bookmarkStart w:id="62" w:name="__RefHeading___Toc7695_3877972828"/>
      <w:bookmarkStart w:id="63" w:name="Xf657978e9f8408077c4c523b4176d8bb091219b"/>
      <w:bookmarkEnd w:id="62"/>
      <w:r>
        <w:rPr/>
        <w:t>5.1 Les étapes générales d’une démarche de formalisation</w:t>
      </w:r>
    </w:p>
    <w:p>
      <w:pPr>
        <w:pStyle w:val="FirstParagraph"/>
        <w:rPr/>
      </w:pPr>
      <w:r>
        <w:rPr/>
        <w:t>Bien que les procédures précises varient d’un pays à l’autre, la plupart des démarches de formalisation d’une activité économique, y compris agricole, suivent une logique générale assez comparable au sein de la région. Il est utile pour l’agroentrepreneur de connaître ces grandes étapes, même s’il devra ensuite se renseigner sur les modalités exactes applicables dans son pays.</w:t>
      </w:r>
    </w:p>
    <w:p>
      <w:pPr>
        <w:pStyle w:val="BodyText"/>
        <w:rPr/>
      </w:pPr>
      <w:r>
        <w:rPr/>
        <w:t>La première étape consiste généralement à choisir une forme juridique adaptée à son activité : entreprise individuelle (parfois appelée entreprenant ou statut équivalent selon les pays, destiné aux très petites activités), société à responsabilité limitée pour des structures plus développées, ou encore forme coopérative pour des regroupements de producteurs. Ce choix dépend de plusieurs facteurs : la taille de l’activité, le nombre de personnes associées, les perspectives de croissance, et le niveau de responsabilité que l’entrepreneur est prêt à assumer personnellement.</w:t>
      </w:r>
    </w:p>
    <w:p>
      <w:pPr>
        <w:pStyle w:val="BodyText"/>
        <w:rPr/>
      </w:pPr>
      <w:r>
        <w:rPr/>
        <w:t>La deuxième étape correspond généralement à l’enregistrement de l’entreprise auprès d’un registre officiel, souvent appelé registre du commerce et du crédit mobilier dans plusieurs pays de la région, qui permet d’obtenir une existence légale reconnue et un numéro d’identification unique. De nombreux pays ont mis en place des guichets uniques ou des centres de formalités des entreprises, destinés à simplifier cette étape en centralisant plusieurs démarches administratives en un seul lieu, ce qui réduit considérablement les délais et la complexité par rapport à une multiplication de démarches séparées.</w:t>
      </w:r>
    </w:p>
    <w:p>
      <w:pPr>
        <w:pStyle w:val="BodyText"/>
        <w:rPr/>
      </w:pPr>
      <w:bookmarkStart w:id="64" w:name="X26c69aba9a194faee408eeec2106262541568f9"/>
      <w:r>
        <w:rPr/>
        <w:t>La troisième étape concerne généralement l’immatriculation fiscale, qui permet à l’entreprise d’être identifiée par l’administration des impôts et de choisir, ou de se voir attribuer, le régime fiscal adapté à sa taille (souvent l’un des régimes simplifiés évoqués précédemment pour les petites structures). Selon les activités et les pays, d’autres démarches complémentaires peuvent s’ajouter : affiliation à un régime de sécurité sociale pour les employés éventuels, obtention d’autorisations sanitaires spécifiques pour certaines activités de transformation alimentaire, ou enregistrement auprès d’organismes professionnels agricoles.</w:t>
      </w:r>
      <w:bookmarkEnd w:id="64"/>
    </w:p>
    <w:p>
      <w:pPr>
        <w:pStyle w:val="Heading3"/>
        <w:rPr/>
      </w:pPr>
      <w:bookmarkStart w:id="65" w:name="__RefHeading___Toc7697_3877972828"/>
      <w:bookmarkStart w:id="66" w:name="X4923e21217956c61c38f42d5033072554dd1971"/>
      <w:bookmarkEnd w:id="65"/>
      <w:r>
        <w:rPr/>
        <w:t>5.2 Les avantages concrets de la formalisation pour un agroentrepreneur</w:t>
      </w:r>
    </w:p>
    <w:p>
      <w:pPr>
        <w:pStyle w:val="FirstParagraph"/>
        <w:rPr/>
      </w:pPr>
      <w:r>
        <w:rPr/>
        <w:t>La formalisation, bien qu’elle représente un investissement de temps et parfois de moyens financiers modestes, procure des avantages concrets qui méritent d’être clairement présentés à l’agroentrepreneur, afin qu’il puisse évaluer sereinement l’opportunité de franchir cette étape pour son activité.</w:t>
      </w:r>
    </w:p>
    <w:p>
      <w:pPr>
        <w:pStyle w:val="BodyText"/>
        <w:rPr/>
      </w:pPr>
      <w:r>
        <w:rPr/>
        <w:t>Le premier avantage, déjà évoqué, concerne l’accès facilité à certains financements. De nombreuses institutions financières, qu’il s’agisse de banques classiques ou de structures de microfinance, demandent une preuve d’existence légale de l’activité avant d’accorder un crédit, en particulier au-delà d’un certain montant. Une entreprise formalisée, disposant d’un minimum de suivi comptable (facilité, comme évoqué plus haut, par les outils numériques de gestion de trésorerie), inspire davantage confiance auprès des institutions financières et peut ainsi accéder plus facilement à des montants de financement plus importants, nécessaires par exemple pour investir dans un équipement de transformation ou agrandir une exploitation.</w:t>
      </w:r>
    </w:p>
    <w:p>
      <w:pPr>
        <w:pStyle w:val="BodyText"/>
        <w:rPr/>
      </w:pPr>
      <w:r>
        <w:rPr/>
        <w:t>Le deuxième avantage concerne l’accès à des marchés plus structurés et potentiellement plus rémunérateurs, tels que les marchés publics, les partenariats avec des transformateurs industriels, ou les circuits d’exportation, qui exigent généralement une existence légale de leurs fournisseurs. Le troisième avantage, moins souvent mentionné mais tout aussi important, concerne la protection juridique qu’apporte la formalisation en cas de litige commercial : un entrepreneur formalisé dispose de recours juridiques plus clairs en cas de non-paiement d’un client, de litige avec un fournisseur, ou de conflit lié à l’activité, alors qu’un entrepreneur informel se trouve souvent démuni dans ce type de situation.</w:t>
      </w:r>
    </w:p>
    <w:p>
      <w:pPr>
        <w:pStyle w:val="BodyText"/>
        <w:rPr/>
      </w:pPr>
      <w:bookmarkStart w:id="67" w:name="X9e6a30bd545ab87b04b165ce47ca79294d07dc7"/>
      <w:r>
        <w:rPr/>
        <w:t>Enfin, la formalisation peut également faciliter l’accès à certains appuis techniques ou programmes d’accompagnement portés par des institutions publiques ou des partenaires de développement, qui ciblent parfois prioritairement les entreprises formellement enregistrées, dans une logique de traçabilité et de mesure d’impact de leurs interventions.</w:t>
      </w:r>
      <w:bookmarkEnd w:id="67"/>
    </w:p>
    <w:p>
      <w:pPr>
        <w:pStyle w:val="Heading3"/>
        <w:rPr/>
      </w:pPr>
      <w:bookmarkStart w:id="68" w:name="__RefHeading___Toc7699_3877972828"/>
      <w:bookmarkStart w:id="69" w:name="X1d8c3a444346e7dcf890f2b579b87eac479f0e7"/>
      <w:bookmarkEnd w:id="68"/>
      <w:r>
        <w:rPr/>
        <w:t>5.3 Les inconvénients et points de vigilance à anticiper</w:t>
      </w:r>
    </w:p>
    <w:p>
      <w:pPr>
        <w:pStyle w:val="FirstParagraph"/>
        <w:rPr/>
      </w:pPr>
      <w:r>
        <w:rPr/>
        <w:t>Il serait toutefois incomplet, et malhonnête pédagogiquement, de présenter la formalisation comme une démarche sans contrepartie. Plusieurs points de vigilance méritent d’être clairement exposés à l’agroentrepreneur, afin qu’il puisse prendre une décision éclairée et adaptée à sa situation réelle, plutôt que de subir une pression extérieure à formaliser son activité sans en mesurer les implications.</w:t>
      </w:r>
    </w:p>
    <w:p>
      <w:pPr>
        <w:pStyle w:val="BodyText"/>
        <w:rPr/>
      </w:pPr>
      <w:r>
        <w:rPr/>
        <w:t>Le premier point concerne le coût, en temps et parfois en argent, des démarches elles-mêmes : frais d’enregistrement, éventuels frais de conseil pour être accompagné dans les démarches, temps passé à réunir les documents nécessaires et à effectuer les déplacements requis. Pour une activité de très petite taille, dégageant des revenus limités, ce coût initial peut représenter une charge non négligeable, qu’il convient d’anticiper.</w:t>
      </w:r>
    </w:p>
    <w:p>
      <w:pPr>
        <w:pStyle w:val="BodyText"/>
        <w:rPr/>
      </w:pPr>
      <w:r>
        <w:rPr/>
        <w:t>Le deuxième point concerne les obligations qui accompagnent la formalisation, notamment fiscales et parfois sociales : une fois enregistrée, l’entreprise doit en principe respecter certaines obligations déclaratives régulières, même simplifiées, ce qui suppose un minimum d’organisation et de suivi. Un agroentrepreneur qui formalise son activité sans se préparer à ces obligations risque de se retrouver en situation de non-conformité, ce qui peut à terme générer des difficultés plus importantes que celles qu’il cherchait à éviter en restant informel.</w:t>
      </w:r>
    </w:p>
    <w:p>
      <w:pPr>
        <w:pStyle w:val="BodyText"/>
        <w:rPr/>
      </w:pPr>
      <w:r>
        <w:rPr/>
        <w:t>Le troisième point, plus stratégique, concerne le moment choisi pour formaliser son activité. Une formalisation trop précoce, alors que l’activité est encore très fragile ou en phase de test, peut s’avérer prématurée et générer des charges disproportionnées par rapport aux bénéfices attendus. À l’inverse, une formalisation trop tardive peut faire perdre des opportunités de développement, comme évoqué précédemment. Il revient donc à chaque agroentrepreneur, idéalement en s’appuyant sur les outils de diagnostic et de plan d’affaires abordés dans les modules précédents de ce programme, d’évaluer le moment le plus opportun pour engager cette démarche, plutôt que de l’aborder de manière isolée ou précipitée.</w:t>
      </w:r>
    </w:p>
    <w:p>
      <w:pPr>
        <w:pStyle w:val="BodyText"/>
        <w:rPr/>
      </w:pPr>
      <w:bookmarkStart w:id="70" w:name="Xf657978e9f8408077c4c523b4176d8bb091219b"/>
      <w:bookmarkStart w:id="71" w:name="X4923e21217956c61c38f42d5033072554dd1971"/>
      <w:r>
        <w:rPr/>
        <w:t>Cette approche équilibrée, présentant à la fois les avantages et les limites de la formalisation, permet à l’agroentrepreneur de construire une décision réfléchie, adaptée à la trajectoire spécifique de son activité, dans une logique progressive plutôt que dans une application uniforme et automatique d’une même recommandation à toutes les situations.</w:t>
      </w:r>
      <w:bookmarkEnd w:id="70"/>
      <w:bookmarkEnd w:id="71"/>
    </w:p>
    <w:p>
      <w:pPr>
        <w:pStyle w:val="Normal"/>
        <w:jc w:val="center"/>
        <w:rPr/>
      </w:pPr>
      <w:bookmarkStart w:id="72" w:name="étude-de-cas"/>
      <w:r>
        <w:rPr/>
        <w:drawing>
          <wp:inline distT="0" distB="0" distL="0" distR="0">
            <wp:extent cx="3657600" cy="186309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3657600" cy="1863090"/>
                    </a:xfrm>
                    <a:prstGeom prst="rect">
                      <a:avLst/>
                    </a:prstGeom>
                  </pic:spPr>
                </pic:pic>
              </a:graphicData>
            </a:graphic>
          </wp:inline>
        </w:drawing>
      </w:r>
    </w:p>
    <w:p>
      <w:pPr>
        <w:pStyle w:val="Normal"/>
        <w:spacing w:before="0" w:after="320"/>
        <w:jc w:val="center"/>
        <w:rPr/>
      </w:pPr>
      <w:r>
        <w:rPr>
          <w:i/>
          <w:color w:val="666666"/>
          <w:sz w:val="19"/>
        </w:rPr>
        <w:t>Illustration — Le numérique au service de la gestion et de la commercialisation agricole</w:t>
      </w:r>
    </w:p>
    <w:p>
      <w:pPr>
        <w:pStyle w:val="Heading2"/>
        <w:rPr/>
      </w:pPr>
      <w:bookmarkStart w:id="73" w:name="__RefHeading___Toc7701_3877972828"/>
      <w:bookmarkEnd w:id="73"/>
      <w:r>
        <w:rPr/>
        <w:t>Étude de cas</w:t>
      </w:r>
    </w:p>
    <w:p>
      <w:pPr>
        <w:pStyle w:val="FirstParagraph"/>
        <w:rPr/>
      </w:pPr>
      <w:r>
        <w:rPr>
          <w:b/>
          <w:bCs/>
        </w:rPr>
        <w:t>Le parcours de Ndeye Fatou Diagne, transformatrice de fruits séchés au Sénégal</w:t>
      </w:r>
    </w:p>
    <w:p>
      <w:pPr>
        <w:pStyle w:val="BodyText"/>
        <w:rPr/>
      </w:pPr>
      <w:r>
        <w:rPr/>
        <w:t>Ndeye Fatou Diagne exploite depuis six ans une petite unité de transformation de fruits séchés (mangues, bananes et papayes) dans la région de Ziguinchor, au sud du Sénégal. Formée initialement par sa mère, qui pratiquait déjà le séchage traditionnel de fruits pour la consommation familiale et la vente locale, Ndeye Fatou a progressivement développé cette activité, sans jamais l’avoir formalisée ni s’être appuyée sur des outils numériques particuliers, se contentant d’un carnet pour noter approximativement ses ventes et d’un réseau de clientes fidèles dans son quartier.</w:t>
      </w:r>
    </w:p>
    <w:p>
      <w:pPr>
        <w:pStyle w:val="BodyText"/>
        <w:rPr/>
      </w:pPr>
      <w:r>
        <w:rPr/>
        <w:t>Il y a un an, Ndeye Fatou a été invitée par une organisation d’appui aux entrepreneurs agricoles à participer à une formation courte sur les outils numériques et la formalisation des activités, dans le cadre d’un programme plus large de soutien aux femmes transformatrices de sa région. Cette formation a constitué un déclic dans sa trajectoire entrepreneuriale.</w:t>
      </w:r>
    </w:p>
    <w:p>
      <w:pPr>
        <w:pStyle w:val="BodyText"/>
        <w:rPr/>
      </w:pPr>
      <w:r>
        <w:rPr/>
        <w:t>La première transformation concrète a concerné la gestion financière de son activité. Ndeye Fatou a commencé par ouvrir un compte de paiement mobile, initialement pour recevoir plus facilement le règlement de ses clientes habituelles qui, jusque-là, devaient se déplacer physiquement pour la payer en espèces. Rapidement, elle a constaté que plusieurs clientes, notamment celles travaillant dans des bureaux de la ville, appréciaient de pouvoir régler leurs commandes de fruits séchés directement depuis leur téléphone, sans avoir à passer par son atelier. Cette évolution lui a permis d’élargir sa clientèle à des personnes qu’elle n’aurait pas nécessairement rencontrées auparavant, ces dernières recommandant à leur tour ses produits à des collègues.</w:t>
      </w:r>
    </w:p>
    <w:p>
      <w:pPr>
        <w:pStyle w:val="BodyText"/>
        <w:rPr/>
      </w:pPr>
      <w:r>
        <w:rPr/>
        <w:t>Parallèlement, Ndeye Fatou a commencé à utiliser une application simple de suivi de trésorerie, dans laquelle elle enregistre chaque semaine ses achats de fruits frais, ses frais d’emballage, et ses ventes. Cette pratique, modeste mais régulière, lui a permis de découvrir, après quelques mois d’utilisation, que sa marge sur les fruits séchés de papaye était nettement inférieure à celle des mangues séchées, en raison d’un taux de perte plus élevé lors du processus de séchage de la papaye. Sur la base de cette information, qu’elle n’avait jamais mesurée aussi précisément auparavant, elle a décidé de réajuster ses proportions de production, en privilégiant davantage la mangue et la banane, tout en cherchant à améliorer sa technique de séchage pour la papaye.</w:t>
      </w:r>
    </w:p>
    <w:p>
      <w:pPr>
        <w:pStyle w:val="BodyText"/>
        <w:rPr/>
      </w:pPr>
      <w:r>
        <w:rPr/>
        <w:t>Sur le plan commercial, Ndeye Fatou a également ouvert un compte sur un réseau social, sur lequel elle publie régulièrement des photos de ses produits, accompagnées d’informations sur les bienfaits nutritionnels des fruits séchés et sur son processus de fabrication artisanal, mettant en avant l’origine locale de ses matières premières. Cette présence, entretenue avec l’aide de sa fille aînée, plus à l’aise avec les outils numériques, lui a permis de recevoir des commandes de particuliers organisant des événements familiaux, ainsi que l’intérêt d’une petite épicerie fine de Dakar souhaitant référencer ses produits.</w:t>
      </w:r>
    </w:p>
    <w:p>
      <w:pPr>
        <w:pStyle w:val="BodyText"/>
        <w:rPr/>
      </w:pPr>
      <w:r>
        <w:rPr/>
        <w:t>C’est précisément cette opportunité avec l’épicerie de Dakar qui a conduit Ndeye Fatou à s’intéresser sérieusement à la formalisation de son activité. L’épicerie, pour pouvoir la référencer officiellement comme fournisseur et honorer ses paiements par virement, lui a en effet demandé de disposer d’un numéro d’immatriculation. Accompagnée par la structure d’appui qui avait organisé sa formation initiale, Ndeye Fatou a entamé les démarches d’enregistrement de son activité sous la forme d’une entreprise individuelle, une forme juridique adaptée à la taille modeste mais croissante de son activité. Ce processus, qu’elle appréhendait beaucoup au départ, s’est avéré plus simple qu’elle ne le craignait, grâce à l’accompagnement reçu et à l’existence d’un guichet unique dans sa région, qui lui a permis de centraliser plusieurs démarches en un minimum de déplacements.</w:t>
      </w:r>
    </w:p>
    <w:p>
      <w:pPr>
        <w:pStyle w:val="BodyText"/>
        <w:rPr/>
      </w:pPr>
      <w:bookmarkStart w:id="74" w:name="X1d8c3a444346e7dcf890f2b579b87eac479f0e7"/>
      <w:r>
        <w:rPr/>
        <w:t>Un an après cette série de transformations, Ndeye Fatou constate que son activité s’est significativement consolidée : elle dispose désormais d’une meilleure visibilité sur la rentabilité réelle de ses différents produits, elle a élargi sa clientèle grâce à sa présence numérique, et elle a pu formaliser un partenariat commercial stable avec l’épicerie de Dakar, qui représente aujourd’hui une part croissante et régulière de ses revenus. Elle reconnaît volontiers que ce parcours n’a pas été instantané, et qu’elle a dû apprendre progressivement, avec l’aide de sa fille pour les aspects numériques et d’une structure d’accompagnement pour les aspects administratifs, mais elle considère aujourd’hui que ces investissements en temps ont été largement compensés par les bénéfices obtenus pour son activité.</w:t>
      </w:r>
      <w:bookmarkEnd w:id="74"/>
    </w:p>
    <w:p>
      <w:pPr>
        <w:pStyle w:val="Heading2"/>
        <w:rPr/>
      </w:pPr>
      <w:bookmarkStart w:id="75" w:name="__RefHeading___Toc7703_3877972828"/>
      <w:bookmarkStart w:id="76" w:name="outils-pratiques"/>
      <w:bookmarkEnd w:id="75"/>
      <w:r>
        <w:rPr/>
        <w:t>Outils pratiques</w:t>
      </w:r>
    </w:p>
    <w:p>
      <w:pPr>
        <w:pStyle w:val="FirstParagraph"/>
        <w:rPr/>
      </w:pPr>
      <w:r>
        <w:rPr>
          <w:b/>
          <w:bCs/>
        </w:rPr>
        <w:t>Tableau comparatif d’outils numériques utiles par fonction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7"/>
        <w:gridCol w:w="1479"/>
        <w:gridCol w:w="2122"/>
        <w:gridCol w:w="2326"/>
        <w:gridCol w:w="2296"/>
      </w:tblGrid>
      <w:tr>
        <w:trPr>
          <w:tblHeader w:val="true"/>
        </w:trPr>
        <w:tc>
          <w:tcPr>
            <w:tcW w:w="1137"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Fonction</w:t>
            </w:r>
          </w:p>
        </w:tc>
        <w:tc>
          <w:tcPr>
            <w:tcW w:w="1479"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Type d’outil</w:t>
            </w:r>
          </w:p>
        </w:tc>
        <w:tc>
          <w:tcPr>
            <w:tcW w:w="212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Exemples illustratifs</w:t>
            </w:r>
          </w:p>
        </w:tc>
        <w:tc>
          <w:tcPr>
            <w:tcW w:w="2326"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Avantages principaux</w:t>
            </w:r>
          </w:p>
        </w:tc>
        <w:tc>
          <w:tcPr>
            <w:tcW w:w="2296"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Points de vigilance</w:t>
            </w:r>
          </w:p>
        </w:tc>
      </w:tr>
      <w:tr>
        <w:trPr/>
        <w:tc>
          <w:tcPr>
            <w:tcW w:w="113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Paiement</w:t>
            </w:r>
          </w:p>
        </w:tc>
        <w:tc>
          <w:tcPr>
            <w:tcW w:w="14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Solutions de paiement mobile</w:t>
            </w:r>
          </w:p>
        </w:tc>
        <w:tc>
          <w:tcPr>
            <w:tcW w:w="212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Wave, Orange Money, Free Money, Mobile Money (selon opérateurs nationaux)</w:t>
            </w:r>
          </w:p>
        </w:tc>
        <w:tc>
          <w:tcPr>
            <w:tcW w:w="23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Rapidité, sécurité, traçabilité des transactions, élargissement de la zone de clientèle</w:t>
            </w:r>
          </w:p>
        </w:tc>
        <w:tc>
          <w:tcPr>
            <w:tcW w:w="229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Frais de transaction variables, risques de fraude par faux messages, vérification systématique nécessaire</w:t>
            </w:r>
          </w:p>
        </w:tc>
      </w:tr>
      <w:tr>
        <w:trPr/>
        <w:tc>
          <w:tcPr>
            <w:tcW w:w="113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Épargne et crédit</w:t>
            </w:r>
          </w:p>
        </w:tc>
        <w:tc>
          <w:tcPr>
            <w:tcW w:w="14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Épargne mobile et micro-crédit adossé au mobile money</w:t>
            </w:r>
          </w:p>
        </w:tc>
        <w:tc>
          <w:tcPr>
            <w:tcW w:w="212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Fonctionnalités d’épargne intégrées aux comptes mobiles</w:t>
            </w:r>
          </w:p>
        </w:tc>
        <w:tc>
          <w:tcPr>
            <w:tcW w:w="23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Lissage des revenus saisonniers, discipline d’épargne facilitée, historique utile pour un futur financement</w:t>
            </w:r>
          </w:p>
        </w:tc>
        <w:tc>
          <w:tcPr>
            <w:tcW w:w="229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Taux d’intérêt du micro-crédit à vérifier, risque de surendettement si usage multiple non maîtrisé</w:t>
            </w:r>
          </w:p>
        </w:tc>
      </w:tr>
      <w:tr>
        <w:trPr/>
        <w:tc>
          <w:tcPr>
            <w:tcW w:w="113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Gestion financière</w:t>
            </w:r>
          </w:p>
        </w:tc>
        <w:tc>
          <w:tcPr>
            <w:tcW w:w="14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Applications de suivi de trésorerie</w:t>
            </w:r>
          </w:p>
        </w:tc>
        <w:tc>
          <w:tcPr>
            <w:tcW w:w="212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Applications simples de comptabilité de trésorerie pour petites activités, tableurs mobiles</w:t>
            </w:r>
          </w:p>
        </w:tc>
        <w:tc>
          <w:tcPr>
            <w:tcW w:w="23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Vision claire des recettes/dépenses, aide à la décision, base utile pour un dossier de financement</w:t>
            </w:r>
          </w:p>
        </w:tc>
        <w:tc>
          <w:tcPr>
            <w:tcW w:w="229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Fiabilité dépendante de la régularité de la saisie</w:t>
            </w:r>
          </w:p>
        </w:tc>
      </w:tr>
      <w:tr>
        <w:trPr/>
        <w:tc>
          <w:tcPr>
            <w:tcW w:w="113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Suivi de stock et ventes</w:t>
            </w:r>
          </w:p>
        </w:tc>
        <w:tc>
          <w:tcPr>
            <w:tcW w:w="14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Applications de gestion de stock</w:t>
            </w:r>
          </w:p>
        </w:tc>
        <w:tc>
          <w:tcPr>
            <w:tcW w:w="212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Applications mobiles légères de suivi des entrées/sorties de marchandises</w:t>
            </w:r>
          </w:p>
        </w:tc>
        <w:tc>
          <w:tcPr>
            <w:tcW w:w="23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Anticipation des ruptures, réduction des pertes, meilleure réponse aux commandes groupées</w:t>
            </w:r>
          </w:p>
        </w:tc>
        <w:tc>
          <w:tcPr>
            <w:tcW w:w="229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Nécessite une saisie rigoureuse et partagée en cas d’usage collectif</w:t>
            </w:r>
          </w:p>
        </w:tc>
      </w:tr>
      <w:tr>
        <w:trPr/>
        <w:tc>
          <w:tcPr>
            <w:tcW w:w="113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Mise en marché</w:t>
            </w:r>
          </w:p>
        </w:tc>
        <w:tc>
          <w:tcPr>
            <w:tcW w:w="14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Plateformes de vente en ligne et groupes de vente</w:t>
            </w:r>
          </w:p>
        </w:tc>
        <w:tc>
          <w:tcPr>
            <w:tcW w:w="212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Sites de petites annonces, groupes de vente sur messagerie, plateformes spécialisées agricoles</w:t>
            </w:r>
          </w:p>
        </w:tc>
        <w:tc>
          <w:tcPr>
            <w:tcW w:w="23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Élargissement de la zone de chalandise, valorisation de produits de qualité, ventes à distance</w:t>
            </w:r>
          </w:p>
        </w:tc>
        <w:tc>
          <w:tcPr>
            <w:tcW w:w="229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Nécessite fiabilité logistique et bon suivi des stocks pour honorer les commandes</w:t>
            </w:r>
          </w:p>
        </w:tc>
      </w:tr>
      <w:tr>
        <w:trPr/>
        <w:tc>
          <w:tcPr>
            <w:tcW w:w="113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Communication</w:t>
            </w:r>
          </w:p>
        </w:tc>
        <w:tc>
          <w:tcPr>
            <w:tcW w:w="14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Réseaux sociaux</w:t>
            </w:r>
          </w:p>
        </w:tc>
        <w:tc>
          <w:tcPr>
            <w:tcW w:w="212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Comptes dédiés à l’activité sur des plateformes de partage de photos et de messages courts</w:t>
            </w:r>
          </w:p>
        </w:tc>
        <w:tc>
          <w:tcPr>
            <w:tcW w:w="23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Visibilité, promotion à faible coût, construction progressive d’une clientèle</w:t>
            </w:r>
          </w:p>
        </w:tc>
        <w:tc>
          <w:tcPr>
            <w:tcW w:w="229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Nécessite régularité, qualité minimale des visuels, cohérence entre promesse et réalité</w:t>
            </w:r>
          </w:p>
        </w:tc>
      </w:tr>
      <w:tr>
        <w:trPr/>
        <w:tc>
          <w:tcPr>
            <w:tcW w:w="113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Relation client et coordination</w:t>
            </w:r>
          </w:p>
        </w:tc>
        <w:tc>
          <w:tcPr>
            <w:tcW w:w="14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Messagerie instantanée</w:t>
            </w:r>
          </w:p>
        </w:tc>
        <w:tc>
          <w:tcPr>
            <w:tcW w:w="212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Applications de messagerie avec fonctionnalité de groupes de discussion</w:t>
            </w:r>
          </w:p>
        </w:tc>
        <w:tc>
          <w:tcPr>
            <w:tcW w:w="232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Réactivité, coordination logistique, diffusion rapide d’informations à un groupe</w:t>
            </w:r>
          </w:p>
        </w:tc>
        <w:tc>
          <w:tcPr>
            <w:tcW w:w="229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Risque de désorganisation si non encadré par des règles d’usage simples</w:t>
            </w:r>
          </w:p>
        </w:tc>
      </w:tr>
    </w:tbl>
    <w:p>
      <w:pPr>
        <w:pStyle w:val="BodyText"/>
        <w:rPr/>
      </w:pPr>
      <w:r>
        <w:rPr>
          <w:b/>
          <w:bCs/>
        </w:rPr>
        <w:t>Checklist des démarches de formalisation</w:t>
      </w:r>
    </w:p>
    <w:p>
      <w:pPr>
        <w:pStyle w:val="Compact"/>
        <w:numPr>
          <w:ilvl w:val="0"/>
          <w:numId w:val="3"/>
        </w:numPr>
        <w:rPr/>
      </w:pPr>
      <w:r>
        <w:rPr/>
        <w:t xml:space="preserve">☐ </w:t>
      </w:r>
      <w:r>
        <w:rPr/>
        <w:t>S’informer localement (chambre de commerce, chambre d’agriculture, guichet unique, structure d’appui) sur les démarches applicables dans son pays.</w:t>
      </w:r>
    </w:p>
    <w:p>
      <w:pPr>
        <w:pStyle w:val="Compact"/>
        <w:numPr>
          <w:ilvl w:val="0"/>
          <w:numId w:val="3"/>
        </w:numPr>
        <w:rPr/>
      </w:pPr>
      <w:r>
        <w:rPr/>
        <w:t xml:space="preserve">☐ </w:t>
      </w:r>
      <w:r>
        <w:rPr/>
        <w:t>Choisir une forme juridique adaptée à la taille et aux perspectives de l’activité (entreprise individuelle, société, coopérative).</w:t>
      </w:r>
    </w:p>
    <w:p>
      <w:pPr>
        <w:pStyle w:val="Compact"/>
        <w:numPr>
          <w:ilvl w:val="0"/>
          <w:numId w:val="3"/>
        </w:numPr>
        <w:rPr/>
      </w:pPr>
      <w:r>
        <w:rPr/>
        <w:t xml:space="preserve">☐ </w:t>
      </w:r>
      <w:r>
        <w:rPr/>
        <w:t>Réunir les pièces d’identité et documents personnels généralement demandés (pièce d’identité, justificatif d’adresse, éventuellement casier judiciaire selon les pays).</w:t>
      </w:r>
    </w:p>
    <w:p>
      <w:pPr>
        <w:pStyle w:val="Compact"/>
        <w:numPr>
          <w:ilvl w:val="0"/>
          <w:numId w:val="3"/>
        </w:numPr>
        <w:rPr/>
      </w:pPr>
      <w:r>
        <w:rPr/>
        <w:t xml:space="preserve">☐ </w:t>
      </w:r>
      <w:r>
        <w:rPr/>
        <w:t>Procéder à l’enregistrement de l’entreprise auprès du registre officiel compétent (souvent via un guichet unique ou centre de formalités).</w:t>
      </w:r>
    </w:p>
    <w:p>
      <w:pPr>
        <w:pStyle w:val="Compact"/>
        <w:numPr>
          <w:ilvl w:val="0"/>
          <w:numId w:val="3"/>
        </w:numPr>
        <w:rPr/>
      </w:pPr>
      <w:r>
        <w:rPr/>
        <w:t xml:space="preserve">☐ </w:t>
      </w:r>
      <w:r>
        <w:rPr/>
        <w:t>Effectuer l’immatriculation fiscale et se renseigner sur le régime fiscal simplifié éventuellement applicable à l’activité.</w:t>
      </w:r>
    </w:p>
    <w:p>
      <w:pPr>
        <w:pStyle w:val="Compact"/>
        <w:numPr>
          <w:ilvl w:val="0"/>
          <w:numId w:val="3"/>
        </w:numPr>
        <w:rPr/>
      </w:pPr>
      <w:r>
        <w:rPr/>
        <w:t xml:space="preserve">☐ </w:t>
      </w:r>
      <w:r>
        <w:rPr/>
        <w:t>Vérifier si des autorisations spécifiques sont requises (autorisation sanitaire pour la transformation alimentaire, agrément particulier selon la filière).</w:t>
      </w:r>
    </w:p>
    <w:p>
      <w:pPr>
        <w:pStyle w:val="Compact"/>
        <w:numPr>
          <w:ilvl w:val="0"/>
          <w:numId w:val="3"/>
        </w:numPr>
        <w:rPr/>
      </w:pPr>
      <w:r>
        <w:rPr/>
        <w:t xml:space="preserve">☐ </w:t>
      </w:r>
      <w:r>
        <w:rPr/>
        <w:t>Mettre en place, en parallèle, un minimum de suivi de gestion (trésorerie, stocks) pour être en mesure de respecter les obligations déclaratives une fois formalisé.</w:t>
      </w:r>
    </w:p>
    <w:p>
      <w:pPr>
        <w:pStyle w:val="Compact"/>
        <w:numPr>
          <w:ilvl w:val="0"/>
          <w:numId w:val="3"/>
        </w:numPr>
        <w:rPr/>
      </w:pPr>
      <w:r>
        <w:rPr/>
        <w:t xml:space="preserve">☐ </w:t>
      </w:r>
      <w:r>
        <w:rPr/>
        <w:t>Anticiper les coûts et le temps nécessaires à ces démarches dans le plan de trésorerie de l’activité.</w:t>
      </w:r>
    </w:p>
    <w:p>
      <w:pPr>
        <w:pStyle w:val="Compact"/>
        <w:numPr>
          <w:ilvl w:val="0"/>
          <w:numId w:val="3"/>
        </w:numPr>
        <w:rPr/>
      </w:pPr>
      <w:r>
        <w:rPr/>
        <w:t xml:space="preserve">☐ </w:t>
      </w:r>
      <w:r>
        <w:rPr/>
        <w:t>Solliciter, si possible, l’accompagnement d’une structure d’appui aux entrepreneurs pour faciliter les démarches.</w:t>
      </w:r>
    </w:p>
    <w:p>
      <w:pPr>
        <w:pStyle w:val="Compact"/>
        <w:numPr>
          <w:ilvl w:val="0"/>
          <w:numId w:val="3"/>
        </w:numPr>
        <w:rPr/>
      </w:pPr>
      <w:r>
        <w:rPr/>
        <w:t xml:space="preserve">☐ </w:t>
      </w:r>
      <w:r>
        <w:rPr/>
        <w:t>Réévaluer périodiquement, à mesure que l’activité se développe, l’adéquation entre le statut choisi et la réalité de l’entreprise.</w:t>
      </w:r>
      <w:bookmarkEnd w:id="72"/>
    </w:p>
    <w:p>
      <w:pPr>
        <w:pStyle w:val="Heading2"/>
        <w:rPr/>
      </w:pPr>
      <w:bookmarkStart w:id="77" w:name="__RefHeading___Toc7705_3877972828"/>
      <w:bookmarkStart w:id="78" w:name="points-clés-à-retenir"/>
      <w:bookmarkEnd w:id="77"/>
      <w:r>
        <w:rPr/>
        <w:t>Points clés à retenir</w:t>
      </w:r>
    </w:p>
    <w:p>
      <w:pPr>
        <w:pStyle w:val="Compact"/>
        <w:numPr>
          <w:ilvl w:val="0"/>
          <w:numId w:val="25"/>
        </w:numPr>
        <w:rPr/>
      </w:pPr>
      <w:r>
        <w:rPr/>
        <w:t>Le paiement mobile (Wave, Orange Money, Free Money, et autres solutions équivalentes) constitue un outil désormais central pour sécuriser et faciliter les transactions des agroentrepreneurs.</w:t>
      </w:r>
    </w:p>
    <w:p>
      <w:pPr>
        <w:pStyle w:val="Compact"/>
        <w:numPr>
          <w:ilvl w:val="0"/>
          <w:numId w:val="26"/>
        </w:numPr>
        <w:rPr/>
      </w:pPr>
      <w:r>
        <w:rPr/>
        <w:t>L’épargne mobile permet de lisser des revenus souvent saisonniers et de constituer une réserve pour les périodes plus difficiles ou pour la prochaine campagne.</w:t>
      </w:r>
    </w:p>
    <w:p>
      <w:pPr>
        <w:pStyle w:val="Compact"/>
        <w:numPr>
          <w:ilvl w:val="0"/>
          <w:numId w:val="27"/>
        </w:numPr>
        <w:rPr/>
      </w:pPr>
      <w:r>
        <w:rPr/>
        <w:t>Un suivi de trésorerie simple, même réalisé avec des outils numériques basiques, améliore considérablement la qualité des décisions de gestion.</w:t>
      </w:r>
    </w:p>
    <w:p>
      <w:pPr>
        <w:pStyle w:val="Compact"/>
        <w:numPr>
          <w:ilvl w:val="0"/>
          <w:numId w:val="28"/>
        </w:numPr>
        <w:rPr/>
      </w:pPr>
      <w:r>
        <w:rPr/>
        <w:t>Les applications de suivi de stock et de ventes aident à limiter les pertes et à mieux répondre aux commandes, y compris dans un cadre collectif comme une coopérative.</w:t>
      </w:r>
    </w:p>
    <w:p>
      <w:pPr>
        <w:pStyle w:val="Compact"/>
        <w:numPr>
          <w:ilvl w:val="0"/>
          <w:numId w:val="29"/>
        </w:numPr>
        <w:rPr/>
      </w:pPr>
      <w:r>
        <w:rPr/>
        <w:t>Les plateformes de vente en ligne et les groupes de messagerie élargissent la zone de commercialisation au-delà du marché local traditionnel.</w:t>
      </w:r>
    </w:p>
    <w:p>
      <w:pPr>
        <w:pStyle w:val="Compact"/>
        <w:numPr>
          <w:ilvl w:val="0"/>
          <w:numId w:val="30"/>
        </w:numPr>
        <w:rPr/>
      </w:pPr>
      <w:r>
        <w:rPr/>
        <w:t>Les réseaux sociaux et la messagerie instantanée sont des outils accessibles de promotion et de relation client, à condition d’être utilisés avec régularité et cohérence.</w:t>
      </w:r>
    </w:p>
    <w:p>
      <w:pPr>
        <w:pStyle w:val="Compact"/>
        <w:numPr>
          <w:ilvl w:val="0"/>
          <w:numId w:val="31"/>
        </w:numPr>
        <w:rPr/>
      </w:pPr>
      <w:r>
        <w:rPr/>
        <w:t>La CEDEAO (à travers l’ECOWAP) et l’UEMOA définissent de grandes orientations communes en matière de politique agricole régionale et de sécurité alimentaire, dans lesquelles s’inscrit l’activité de chaque agroentrepreneur.</w:t>
      </w:r>
    </w:p>
    <w:p>
      <w:pPr>
        <w:pStyle w:val="Compact"/>
        <w:numPr>
          <w:ilvl w:val="0"/>
          <w:numId w:val="32"/>
        </w:numPr>
        <w:rPr/>
      </w:pPr>
      <w:r>
        <w:rPr/>
        <w:t>La plupart des pays de la région proposent des régimes fiscaux simplifiés adaptés aux petites activités, qu’il convient de connaître avant de formaliser son activité.</w:t>
      </w:r>
    </w:p>
    <w:p>
      <w:pPr>
        <w:pStyle w:val="Compact"/>
        <w:numPr>
          <w:ilvl w:val="0"/>
          <w:numId w:val="33"/>
        </w:numPr>
        <w:rPr/>
      </w:pPr>
      <w:r>
        <w:rPr/>
        <w:t>La formalisation d’une activité agricole facilite l’accès au crédit, à des marchés plus structurés, et apporte une meilleure protection juridique, mais représente aussi un coût et des obligations à anticiper.</w:t>
      </w:r>
    </w:p>
    <w:p>
      <w:pPr>
        <w:pStyle w:val="Compact"/>
        <w:numPr>
          <w:ilvl w:val="0"/>
          <w:numId w:val="34"/>
        </w:numPr>
        <w:rPr/>
      </w:pPr>
      <w:bookmarkStart w:id="79" w:name="outils-pratiques"/>
      <w:r>
        <w:rPr/>
        <w:t>Le choix du moment et des modalités de formalisation doit être adapté à la trajectoire spécifique de chaque activité, sans précipitation ni retard excessif.</w:t>
      </w:r>
      <w:bookmarkEnd w:id="79"/>
    </w:p>
    <w:p>
      <w:pPr>
        <w:pStyle w:val="Heading2"/>
        <w:rPr/>
      </w:pPr>
      <w:bookmarkStart w:id="80" w:name="__RefHeading___Toc7707_3877972828"/>
      <w:bookmarkStart w:id="81" w:name="mode-dévaluation-qcm"/>
      <w:bookmarkEnd w:id="80"/>
      <w:r>
        <w:rPr/>
        <w:t>Mode d’évaluation : QCM</w:t>
      </w:r>
    </w:p>
    <w:p>
      <w:pPr>
        <w:pStyle w:val="Compact"/>
        <w:numPr>
          <w:ilvl w:val="0"/>
          <w:numId w:val="35"/>
        </w:numPr>
        <w:rPr/>
      </w:pPr>
      <w:r>
        <w:rPr/>
        <w:t>Parmi les outils suivants, lequel est un exemple de solution de paiement mobile utilisée en Afrique de l’Ouest ?</w:t>
      </w:r>
    </w:p>
    <w:p>
      <w:pPr>
        <w:pStyle w:val="Compact"/>
        <w:numPr>
          <w:ilvl w:val="1"/>
          <w:numId w:val="36"/>
        </w:numPr>
        <w:rPr/>
      </w:pPr>
      <w:r>
        <w:rPr/>
        <w:t>Une application de messagerie instantanée classique</w:t>
      </w:r>
    </w:p>
    <w:p>
      <w:pPr>
        <w:pStyle w:val="Compact"/>
        <w:numPr>
          <w:ilvl w:val="1"/>
          <w:numId w:val="6"/>
        </w:numPr>
        <w:rPr/>
      </w:pPr>
      <w:r>
        <w:rPr/>
        <w:t>Wave, Orange Money ou Free Money</w:t>
      </w:r>
    </w:p>
    <w:p>
      <w:pPr>
        <w:pStyle w:val="Compact"/>
        <w:numPr>
          <w:ilvl w:val="1"/>
          <w:numId w:val="6"/>
        </w:numPr>
        <w:rPr/>
      </w:pPr>
      <w:r>
        <w:rPr/>
        <w:t>Un tableur de bureau installé sur ordinateur</w:t>
      </w:r>
    </w:p>
    <w:p>
      <w:pPr>
        <w:pStyle w:val="Compact"/>
        <w:numPr>
          <w:ilvl w:val="1"/>
          <w:numId w:val="6"/>
        </w:numPr>
        <w:rPr/>
      </w:pPr>
      <w:r>
        <w:rPr/>
        <w:t>Un logiciel de comptabilité destiné aux grandes entreprises</w:t>
      </w:r>
    </w:p>
    <w:p>
      <w:pPr>
        <w:pStyle w:val="Compact"/>
        <w:numPr>
          <w:ilvl w:val="0"/>
          <w:numId w:val="37"/>
        </w:numPr>
        <w:rPr/>
      </w:pPr>
      <w:r>
        <w:rPr/>
        <w:t>Quel est l’un des principaux avantages du paiement mobile pour un agroentrepreneur ?</w:t>
      </w:r>
    </w:p>
    <w:p>
      <w:pPr>
        <w:pStyle w:val="Compact"/>
        <w:numPr>
          <w:ilvl w:val="1"/>
          <w:numId w:val="38"/>
        </w:numPr>
        <w:rPr/>
      </w:pPr>
      <w:r>
        <w:rPr/>
        <w:t>Il supprime totalement tout risque lié aux transactions commerciales</w:t>
      </w:r>
    </w:p>
    <w:p>
      <w:pPr>
        <w:pStyle w:val="Compact"/>
        <w:numPr>
          <w:ilvl w:val="1"/>
          <w:numId w:val="39"/>
        </w:numPr>
        <w:rPr/>
      </w:pPr>
      <w:r>
        <w:rPr/>
        <w:t>Il oblige à disposer obligatoirement d’un compte bancaire classique</w:t>
      </w:r>
    </w:p>
    <w:p>
      <w:pPr>
        <w:pStyle w:val="Compact"/>
        <w:numPr>
          <w:ilvl w:val="1"/>
          <w:numId w:val="40"/>
        </w:numPr>
        <w:rPr/>
      </w:pPr>
      <w:r>
        <w:rPr/>
        <w:t>Il permet de recevoir et d’envoyer de l’argent rapidement, en réduisant la manipulation d’espèces</w:t>
      </w:r>
    </w:p>
    <w:p>
      <w:pPr>
        <w:pStyle w:val="Compact"/>
        <w:numPr>
          <w:ilvl w:val="1"/>
          <w:numId w:val="41"/>
        </w:numPr>
        <w:rPr/>
      </w:pPr>
      <w:r>
        <w:rPr/>
        <w:t>Il remplace automatiquement la nécessité de tenir un suivi de trésorerie</w:t>
      </w:r>
    </w:p>
    <w:p>
      <w:pPr>
        <w:pStyle w:val="Compact"/>
        <w:numPr>
          <w:ilvl w:val="0"/>
          <w:numId w:val="42"/>
        </w:numPr>
        <w:rPr/>
      </w:pPr>
      <w:r>
        <w:rPr/>
        <w:t>À quoi sert principalement une application de suivi de stock pour un agroentrepreneur ?</w:t>
      </w:r>
    </w:p>
    <w:p>
      <w:pPr>
        <w:pStyle w:val="Compact"/>
        <w:numPr>
          <w:ilvl w:val="1"/>
          <w:numId w:val="43"/>
        </w:numPr>
        <w:rPr/>
      </w:pPr>
      <w:r>
        <w:rPr/>
        <w:t>Uniquement à publier des photos de produits sur les réseaux sociaux</w:t>
      </w:r>
    </w:p>
    <w:p>
      <w:pPr>
        <w:pStyle w:val="Compact"/>
        <w:numPr>
          <w:ilvl w:val="1"/>
          <w:numId w:val="44"/>
        </w:numPr>
        <w:rPr/>
      </w:pPr>
      <w:r>
        <w:rPr/>
        <w:t>À connaître les niveaux de marchandises disponibles et à anticiper les ruptures ou les pertes</w:t>
      </w:r>
    </w:p>
    <w:p>
      <w:pPr>
        <w:pStyle w:val="Compact"/>
        <w:numPr>
          <w:ilvl w:val="1"/>
          <w:numId w:val="45"/>
        </w:numPr>
        <w:rPr/>
      </w:pPr>
      <w:r>
        <w:rPr/>
        <w:t>À remplacer entièrement la nécessité de vendre ses produits sur un marché physique</w:t>
      </w:r>
    </w:p>
    <w:p>
      <w:pPr>
        <w:pStyle w:val="Compact"/>
        <w:numPr>
          <w:ilvl w:val="1"/>
          <w:numId w:val="46"/>
        </w:numPr>
        <w:rPr/>
      </w:pPr>
      <w:r>
        <w:rPr/>
        <w:t>À calculer automatiquement les impôts dus par l’entreprise</w:t>
      </w:r>
    </w:p>
    <w:p>
      <w:pPr>
        <w:pStyle w:val="Compact"/>
        <w:numPr>
          <w:ilvl w:val="0"/>
          <w:numId w:val="47"/>
        </w:numPr>
        <w:rPr/>
      </w:pPr>
      <w:r>
        <w:rPr/>
        <w:t>Quel usage les groupes de discussion sur les applications de messagerie peuvent-ils avoir pour un groupement de producteurs ?</w:t>
      </w:r>
    </w:p>
    <w:p>
      <w:pPr>
        <w:pStyle w:val="Compact"/>
        <w:numPr>
          <w:ilvl w:val="1"/>
          <w:numId w:val="48"/>
        </w:numPr>
        <w:rPr/>
      </w:pPr>
      <w:r>
        <w:rPr/>
        <w:t>Uniquement des échanges personnels sans lien avec l’activité</w:t>
      </w:r>
    </w:p>
    <w:p>
      <w:pPr>
        <w:pStyle w:val="Compact"/>
        <w:numPr>
          <w:ilvl w:val="1"/>
          <w:numId w:val="49"/>
        </w:numPr>
        <w:rPr/>
      </w:pPr>
      <w:r>
        <w:rPr/>
        <w:t>La diffusion rapide d’informations comme les prix du marché ou les dates de collecte</w:t>
      </w:r>
    </w:p>
    <w:p>
      <w:pPr>
        <w:pStyle w:val="Compact"/>
        <w:numPr>
          <w:ilvl w:val="1"/>
          <w:numId w:val="50"/>
        </w:numPr>
        <w:rPr/>
      </w:pPr>
      <w:r>
        <w:rPr/>
        <w:t>Le remplacement complet des réunions physiques du groupement</w:t>
      </w:r>
    </w:p>
    <w:p>
      <w:pPr>
        <w:pStyle w:val="Compact"/>
        <w:numPr>
          <w:ilvl w:val="1"/>
          <w:numId w:val="51"/>
        </w:numPr>
        <w:rPr/>
      </w:pPr>
      <w:r>
        <w:rPr/>
        <w:t>La gestion automatique de la fiscalité du groupement</w:t>
      </w:r>
    </w:p>
    <w:p>
      <w:pPr>
        <w:pStyle w:val="Compact"/>
        <w:numPr>
          <w:ilvl w:val="0"/>
          <w:numId w:val="52"/>
        </w:numPr>
        <w:rPr/>
      </w:pPr>
      <w:r>
        <w:rPr/>
        <w:t>Que désigne, de manière générale, l’ECOWAP dans le contexte de la CEDEAO ?</w:t>
      </w:r>
    </w:p>
    <w:p>
      <w:pPr>
        <w:pStyle w:val="Compact"/>
        <w:numPr>
          <w:ilvl w:val="1"/>
          <w:numId w:val="53"/>
        </w:numPr>
        <w:rPr/>
      </w:pPr>
      <w:r>
        <w:rPr/>
        <w:t>Une application mobile de paiement utilisée dans la sous-région</w:t>
      </w:r>
    </w:p>
    <w:p>
      <w:pPr>
        <w:pStyle w:val="Compact"/>
        <w:numPr>
          <w:ilvl w:val="1"/>
          <w:numId w:val="54"/>
        </w:numPr>
        <w:rPr/>
      </w:pPr>
      <w:r>
        <w:rPr/>
        <w:t>Un régime fiscal simplifié destiné aux petites entreprises</w:t>
      </w:r>
    </w:p>
    <w:p>
      <w:pPr>
        <w:pStyle w:val="Compact"/>
        <w:numPr>
          <w:ilvl w:val="1"/>
          <w:numId w:val="55"/>
        </w:numPr>
        <w:rPr/>
      </w:pPr>
      <w:r>
        <w:rPr/>
        <w:t>La politique agricole commune définie à l’échelle de la CEDEAO</w:t>
      </w:r>
    </w:p>
    <w:p>
      <w:pPr>
        <w:pStyle w:val="Compact"/>
        <w:numPr>
          <w:ilvl w:val="1"/>
          <w:numId w:val="56"/>
        </w:numPr>
        <w:rPr/>
      </w:pPr>
      <w:r>
        <w:rPr/>
        <w:t>Un registre national d’enregistrement des entreprises</w:t>
      </w:r>
    </w:p>
    <w:p>
      <w:pPr>
        <w:pStyle w:val="Compact"/>
        <w:numPr>
          <w:ilvl w:val="0"/>
          <w:numId w:val="57"/>
        </w:numPr>
        <w:rPr/>
      </w:pPr>
      <w:r>
        <w:rPr/>
        <w:t>L’UEMOA et la CEDEAO sont des organisations régionales qui définissent notamment des orientations communes en matière de :</w:t>
      </w:r>
    </w:p>
    <w:p>
      <w:pPr>
        <w:pStyle w:val="Compact"/>
        <w:numPr>
          <w:ilvl w:val="1"/>
          <w:numId w:val="58"/>
        </w:numPr>
        <w:rPr/>
      </w:pPr>
      <w:r>
        <w:rPr/>
        <w:t>Gestion individuelle des comptes bancaires personnels</w:t>
      </w:r>
    </w:p>
    <w:p>
      <w:pPr>
        <w:pStyle w:val="Compact"/>
        <w:numPr>
          <w:ilvl w:val="1"/>
          <w:numId w:val="59"/>
        </w:numPr>
        <w:rPr/>
      </w:pPr>
      <w:r>
        <w:rPr/>
        <w:t>Sécurité agricole et alimentaire, et d’intégration économique régionale</w:t>
      </w:r>
    </w:p>
    <w:p>
      <w:pPr>
        <w:pStyle w:val="Compact"/>
        <w:numPr>
          <w:ilvl w:val="1"/>
          <w:numId w:val="60"/>
        </w:numPr>
        <w:rPr/>
      </w:pPr>
      <w:r>
        <w:rPr/>
        <w:t>Choix des cultures à privilégier par chaque exploitation familiale</w:t>
      </w:r>
    </w:p>
    <w:p>
      <w:pPr>
        <w:pStyle w:val="Compact"/>
        <w:numPr>
          <w:ilvl w:val="1"/>
          <w:numId w:val="61"/>
        </w:numPr>
        <w:rPr/>
      </w:pPr>
      <w:r>
        <w:rPr/>
        <w:t>Fixation directe des prix de vente sur les marchés locaux</w:t>
      </w:r>
    </w:p>
    <w:p>
      <w:pPr>
        <w:pStyle w:val="Compact"/>
        <w:numPr>
          <w:ilvl w:val="0"/>
          <w:numId w:val="62"/>
        </w:numPr>
        <w:rPr/>
      </w:pPr>
      <w:r>
        <w:rPr/>
        <w:t>Que propose généralement un régime fiscal simplifié destiné aux petites activités dans plusieurs pays de la région ?</w:t>
      </w:r>
    </w:p>
    <w:p>
      <w:pPr>
        <w:pStyle w:val="Compact"/>
        <w:numPr>
          <w:ilvl w:val="1"/>
          <w:numId w:val="63"/>
        </w:numPr>
        <w:rPr/>
      </w:pPr>
      <w:r>
        <w:rPr/>
        <w:t>Une exonération totale et permanente de toute forme de fiscalité</w:t>
      </w:r>
    </w:p>
    <w:p>
      <w:pPr>
        <w:pStyle w:val="Compact"/>
        <w:numPr>
          <w:ilvl w:val="1"/>
          <w:numId w:val="64"/>
        </w:numPr>
        <w:rPr/>
      </w:pPr>
      <w:r>
        <w:rPr/>
        <w:t>Un mode de calcul de l’impôt adapté et simplifié, souvent basé sur le chiffre d’affaires</w:t>
      </w:r>
    </w:p>
    <w:p>
      <w:pPr>
        <w:pStyle w:val="Compact"/>
        <w:numPr>
          <w:ilvl w:val="1"/>
          <w:numId w:val="65"/>
        </w:numPr>
        <w:rPr/>
      </w:pPr>
      <w:r>
        <w:rPr/>
        <w:t>Une obligation de tenir une comptabilité complète équivalente à celle des grandes entreprises</w:t>
      </w:r>
    </w:p>
    <w:p>
      <w:pPr>
        <w:pStyle w:val="Compact"/>
        <w:numPr>
          <w:ilvl w:val="1"/>
          <w:numId w:val="66"/>
        </w:numPr>
        <w:rPr/>
      </w:pPr>
      <w:r>
        <w:rPr/>
        <w:t>Un accès automatique à un compte bancaire international</w:t>
      </w:r>
    </w:p>
    <w:p>
      <w:pPr>
        <w:pStyle w:val="Compact"/>
        <w:numPr>
          <w:ilvl w:val="0"/>
          <w:numId w:val="67"/>
        </w:numPr>
        <w:rPr/>
      </w:pPr>
      <w:r>
        <w:rPr/>
        <w:t>Formaliser son activité agricole peut notamment permettre :</w:t>
      </w:r>
    </w:p>
    <w:p>
      <w:pPr>
        <w:pStyle w:val="Compact"/>
        <w:numPr>
          <w:ilvl w:val="1"/>
          <w:numId w:val="68"/>
        </w:numPr>
        <w:rPr/>
      </w:pPr>
      <w:r>
        <w:rPr/>
        <w:t>D’être automatiquement exempté de toute démarche administrative future</w:t>
      </w:r>
    </w:p>
    <w:p>
      <w:pPr>
        <w:pStyle w:val="Compact"/>
        <w:numPr>
          <w:ilvl w:val="1"/>
          <w:numId w:val="69"/>
        </w:numPr>
        <w:rPr/>
      </w:pPr>
      <w:r>
        <w:rPr/>
        <w:t>D’accéder plus facilement à certains financements et à des marchés plus structurés</w:t>
      </w:r>
    </w:p>
    <w:p>
      <w:pPr>
        <w:pStyle w:val="Compact"/>
        <w:numPr>
          <w:ilvl w:val="1"/>
          <w:numId w:val="70"/>
        </w:numPr>
        <w:rPr/>
      </w:pPr>
      <w:r>
        <w:rPr/>
        <w:t>De supprimer toute nécessité de suivi de trésorerie</w:t>
      </w:r>
    </w:p>
    <w:p>
      <w:pPr>
        <w:pStyle w:val="Compact"/>
        <w:numPr>
          <w:ilvl w:val="1"/>
          <w:numId w:val="71"/>
        </w:numPr>
        <w:rPr/>
      </w:pPr>
      <w:r>
        <w:rPr/>
        <w:t>D’obtenir instantanément une clientèle plus nombreuse sans effort commercial</w:t>
      </w:r>
    </w:p>
    <w:p>
      <w:pPr>
        <w:pStyle w:val="Compact"/>
        <w:numPr>
          <w:ilvl w:val="0"/>
          <w:numId w:val="72"/>
        </w:numPr>
        <w:rPr/>
      </w:pPr>
      <w:r>
        <w:rPr/>
        <w:t>Quel est un inconvénient ou un point de vigilance à anticiper avant de formaliser son activité ?</w:t>
      </w:r>
    </w:p>
    <w:p>
      <w:pPr>
        <w:pStyle w:val="Compact"/>
        <w:numPr>
          <w:ilvl w:val="1"/>
          <w:numId w:val="73"/>
        </w:numPr>
        <w:rPr/>
      </w:pPr>
      <w:r>
        <w:rPr/>
        <w:t>L’impossibilité totale d’accéder à un financement une fois l’entreprise enregistrée</w:t>
      </w:r>
    </w:p>
    <w:p>
      <w:pPr>
        <w:pStyle w:val="Compact"/>
        <w:numPr>
          <w:ilvl w:val="1"/>
          <w:numId w:val="74"/>
        </w:numPr>
        <w:rPr/>
      </w:pPr>
      <w:r>
        <w:rPr/>
        <w:t>Le coût en temps et parfois en argent des démarches, ainsi que les obligations déclaratives qui en découlent</w:t>
      </w:r>
    </w:p>
    <w:p>
      <w:pPr>
        <w:pStyle w:val="Compact"/>
        <w:numPr>
          <w:ilvl w:val="1"/>
          <w:numId w:val="75"/>
        </w:numPr>
        <w:rPr/>
      </w:pPr>
      <w:r>
        <w:rPr/>
        <w:t>L’obligation immédiate de cesser toute activité informelle antérieure</w:t>
      </w:r>
    </w:p>
    <w:p>
      <w:pPr>
        <w:pStyle w:val="Compact"/>
        <w:numPr>
          <w:ilvl w:val="1"/>
          <w:numId w:val="76"/>
        </w:numPr>
        <w:rPr/>
      </w:pPr>
      <w:r>
        <w:rPr/>
        <w:t>La disparition automatique de tout risque commercial</w:t>
      </w:r>
    </w:p>
    <w:p>
      <w:pPr>
        <w:pStyle w:val="Compact"/>
        <w:numPr>
          <w:ilvl w:val="0"/>
          <w:numId w:val="77"/>
        </w:numPr>
        <w:rPr/>
      </w:pPr>
      <w:r>
        <w:rPr/>
        <w:t>Quelle attitude est recommandée pour bâtir une e-réputation solide sur les réseaux sociaux en tant qu’agroentrepreneur ?</w:t>
      </w:r>
    </w:p>
    <w:p>
      <w:pPr>
        <w:pStyle w:val="Compact"/>
        <w:numPr>
          <w:ilvl w:val="1"/>
          <w:numId w:val="78"/>
        </w:numPr>
        <w:rPr/>
      </w:pPr>
      <w:r>
        <w:rPr/>
        <w:t>Publier de manière irrégulière et ignorer les commentaires des clients</w:t>
      </w:r>
    </w:p>
    <w:p>
      <w:pPr>
        <w:pStyle w:val="Compact"/>
        <w:numPr>
          <w:ilvl w:val="1"/>
          <w:numId w:val="79"/>
        </w:numPr>
        <w:rPr/>
      </w:pPr>
      <w:r>
        <w:rPr/>
        <w:t>Promettre des caractéristiques de produits que l’on ne peut pas réellement garantir</w:t>
      </w:r>
    </w:p>
    <w:p>
      <w:pPr>
        <w:pStyle w:val="Compact"/>
        <w:numPr>
          <w:ilvl w:val="1"/>
          <w:numId w:val="80"/>
        </w:numPr>
        <w:rPr/>
      </w:pPr>
      <w:r>
        <w:rPr/>
        <w:t>Publier régulièrement, répondre avec sérieux aux clients et rester cohérent entre ce qui est annoncé et ce qui est livré</w:t>
      </w:r>
    </w:p>
    <w:p>
      <w:pPr>
        <w:pStyle w:val="Compact"/>
        <w:numPr>
          <w:ilvl w:val="1"/>
          <w:numId w:val="81"/>
        </w:numPr>
        <w:rPr/>
      </w:pPr>
      <w:bookmarkStart w:id="82" w:name="points-clés-à-retenir"/>
      <w:r>
        <w:rPr/>
        <w:t>Se concentrer uniquement sur les réseaux sociaux en abandonnant les canaux de vente existants</w:t>
      </w:r>
      <w:bookmarkEnd w:id="82"/>
    </w:p>
    <w:p>
      <w:pPr>
        <w:pStyle w:val="Heading2"/>
        <w:rPr/>
      </w:pPr>
      <w:bookmarkStart w:id="83" w:name="__RefHeading___Toc7709_3877972828"/>
      <w:bookmarkStart w:id="84" w:name="pour-aller-plus-loin"/>
      <w:bookmarkEnd w:id="83"/>
      <w:r>
        <w:rPr/>
        <w:t>Pour aller plus loin</w:t>
      </w:r>
    </w:p>
    <w:p>
      <w:pPr>
        <w:pStyle w:val="Compact"/>
        <w:numPr>
          <w:ilvl w:val="0"/>
          <w:numId w:val="82"/>
        </w:numPr>
        <w:rPr/>
      </w:pPr>
      <w:r>
        <w:rPr/>
        <w:t>Se rapprocher des structures locales d’appui à l’entrepreneuriat (chambres de commerce, chambres d’agriculture, incubateurs, organisations professionnelles agricoles) pour obtenir des informations actualisées sur les démarches de formalisation applicables dans son pays.</w:t>
      </w:r>
    </w:p>
    <w:p>
      <w:pPr>
        <w:pStyle w:val="Compact"/>
        <w:numPr>
          <w:ilvl w:val="0"/>
          <w:numId w:val="83"/>
        </w:numPr>
        <w:rPr/>
      </w:pPr>
      <w:r>
        <w:rPr/>
        <w:t>Échanger avec d’autres agroentrepreneurs ayant déjà digitalisé une partie de leur gestion, afin de recueillir des retours d’expérience concrets sur les outils numériques les mieux adaptés à des contextes similaires.</w:t>
      </w:r>
    </w:p>
    <w:p>
      <w:pPr>
        <w:pStyle w:val="Compact"/>
        <w:numPr>
          <w:ilvl w:val="0"/>
          <w:numId w:val="84"/>
        </w:numPr>
        <w:rPr/>
      </w:pPr>
      <w:r>
        <w:rPr/>
        <w:t>Explorer, lors de sessions pratiques encadrées, les fonctionnalités de base d’une application de suivi de trésorerie ou de stock, en les testant sur des données réelles de sa propre activité.</w:t>
      </w:r>
    </w:p>
    <w:p>
      <w:pPr>
        <w:pStyle w:val="Compact"/>
        <w:numPr>
          <w:ilvl w:val="0"/>
          <w:numId w:val="85"/>
        </w:numPr>
        <w:rPr/>
      </w:pPr>
      <w:r>
        <w:rPr/>
        <w:t>S’informer régulièrement sur les évolutions des politiques agricoles régionales et nationales, par exemple à travers les communications des institutions professionnelles agricoles de son pays.</w:t>
      </w:r>
    </w:p>
    <w:p>
      <w:pPr>
        <w:pStyle w:val="Compact"/>
        <w:numPr>
          <w:ilvl w:val="0"/>
          <w:numId w:val="86"/>
        </w:numPr>
        <w:rPr/>
      </w:pPr>
      <w:bookmarkStart w:id="85" w:name="mode-dévaluation-qcm"/>
      <w:r>
        <w:rPr/>
        <w:t>Envisager la mise en place progressive d’un plan de digitalisation et de formalisation de son activité, en cohérence avec les outils de plan d’affaires et de gestion abordés dans les modules précédents de ce programme.</w:t>
      </w:r>
      <w:bookmarkEnd w:id="85"/>
    </w:p>
    <w:p>
      <w:pPr>
        <w:pStyle w:val="Heading2"/>
        <w:rPr/>
      </w:pPr>
      <w:bookmarkStart w:id="86" w:name="__RefHeading___Toc7711_3877972828"/>
      <w:bookmarkStart w:id="87" w:name="glossaire"/>
      <w:bookmarkEnd w:id="86"/>
      <w:r>
        <w:rPr/>
        <w:t>Glossaire</w:t>
      </w:r>
    </w:p>
    <w:p>
      <w:pPr>
        <w:pStyle w:val="Compact"/>
        <w:numPr>
          <w:ilvl w:val="0"/>
          <w:numId w:val="87"/>
        </w:numPr>
        <w:rPr/>
      </w:pPr>
      <w:r>
        <w:rPr>
          <w:b/>
          <w:bCs/>
        </w:rPr>
        <w:t>Agroentrepreneur</w:t>
      </w:r>
      <w:r>
        <w:rPr/>
        <w:t xml:space="preserve"> : personne qui conduit une activité économique liée à la production, la transformation ou la commercialisation de produits agricoles, dans une logique entrepreneuriale.</w:t>
      </w:r>
    </w:p>
    <w:p>
      <w:pPr>
        <w:pStyle w:val="Compact"/>
        <w:numPr>
          <w:ilvl w:val="0"/>
          <w:numId w:val="88"/>
        </w:numPr>
        <w:rPr/>
      </w:pPr>
      <w:r>
        <w:rPr>
          <w:b/>
          <w:bCs/>
        </w:rPr>
        <w:t>Paiement mobile (mobile money)</w:t>
      </w:r>
      <w:r>
        <w:rPr/>
        <w:t xml:space="preserve"> : service financier permettant d’envoyer, de recevoir et de conserver de l’argent à partir d’un téléphone portable, sans nécessiter de compte bancaire classique.</w:t>
      </w:r>
    </w:p>
    <w:p>
      <w:pPr>
        <w:pStyle w:val="Compact"/>
        <w:numPr>
          <w:ilvl w:val="0"/>
          <w:numId w:val="89"/>
        </w:numPr>
        <w:rPr/>
      </w:pPr>
      <w:r>
        <w:rPr>
          <w:b/>
          <w:bCs/>
        </w:rPr>
        <w:t>Épargne mobile</w:t>
      </w:r>
      <w:r>
        <w:rPr/>
        <w:t xml:space="preserve"> : fonctionnalité associée à certains comptes de paiement mobile, permettant de mettre de côté de l’argent, parfois avec une rémunération modeste.</w:t>
      </w:r>
    </w:p>
    <w:p>
      <w:pPr>
        <w:pStyle w:val="Compact"/>
        <w:numPr>
          <w:ilvl w:val="0"/>
          <w:numId w:val="90"/>
        </w:numPr>
        <w:rPr/>
      </w:pPr>
      <w:r>
        <w:rPr>
          <w:b/>
          <w:bCs/>
        </w:rPr>
        <w:t>Trésorerie</w:t>
      </w:r>
      <w:r>
        <w:rPr/>
        <w:t xml:space="preserve"> : ensemble des flux d’argent (entrées et sorties) d’une activité sur une période donnée, dont le suivi permet de connaître la situation financière courante de l’entreprise.</w:t>
      </w:r>
    </w:p>
    <w:p>
      <w:pPr>
        <w:pStyle w:val="Compact"/>
        <w:numPr>
          <w:ilvl w:val="0"/>
          <w:numId w:val="91"/>
        </w:numPr>
        <w:rPr/>
      </w:pPr>
      <w:r>
        <w:rPr>
          <w:b/>
          <w:bCs/>
        </w:rPr>
        <w:t>CEDEAO</w:t>
      </w:r>
      <w:r>
        <w:rPr/>
        <w:t xml:space="preserve"> : Communauté économique des États de l’Afrique de l’Ouest, organisation régionale regroupant plusieurs pays ouest-africains, qui coordonne notamment des politiques communes dans divers domaines, dont l’agriculture.</w:t>
      </w:r>
    </w:p>
    <w:p>
      <w:pPr>
        <w:pStyle w:val="Compact"/>
        <w:numPr>
          <w:ilvl w:val="0"/>
          <w:numId w:val="92"/>
        </w:numPr>
        <w:rPr/>
      </w:pPr>
      <w:r>
        <w:rPr>
          <w:b/>
          <w:bCs/>
        </w:rPr>
        <w:t>ECOWAP</w:t>
      </w:r>
      <w:r>
        <w:rPr/>
        <w:t xml:space="preserve"> : nom généralement donné à la politique agricole commune définie à l’échelle de la CEDEAO, visant à orienter le développement agricole et la sécurité alimentaire régionale.</w:t>
      </w:r>
    </w:p>
    <w:p>
      <w:pPr>
        <w:pStyle w:val="Compact"/>
        <w:numPr>
          <w:ilvl w:val="0"/>
          <w:numId w:val="93"/>
        </w:numPr>
        <w:rPr/>
      </w:pPr>
      <w:r>
        <w:rPr>
          <w:b/>
          <w:bCs/>
        </w:rPr>
        <w:t>UEMOA</w:t>
      </w:r>
      <w:r>
        <w:rPr/>
        <w:t xml:space="preserve"> : Union économique et monétaire ouest-africaine, organisation régionale regroupant un sous-ensemble des pays de la CEDEAO partageant une monnaie commune et des orientations économiques harmonisées.</w:t>
      </w:r>
    </w:p>
    <w:p>
      <w:pPr>
        <w:pStyle w:val="Compact"/>
        <w:numPr>
          <w:ilvl w:val="0"/>
          <w:numId w:val="94"/>
        </w:numPr>
        <w:rPr/>
      </w:pPr>
      <w:r>
        <w:rPr>
          <w:b/>
          <w:bCs/>
        </w:rPr>
        <w:t>Formalisation</w:t>
      </w:r>
      <w:r>
        <w:rPr/>
        <w:t xml:space="preserve"> : ensemble des démarches administratives permettant à une activité économique d’acquérir une existence légale reconnue par les autorités compétentes.</w:t>
      </w:r>
    </w:p>
    <w:p>
      <w:pPr>
        <w:pStyle w:val="Compact"/>
        <w:numPr>
          <w:ilvl w:val="0"/>
          <w:numId w:val="95"/>
        </w:numPr>
        <w:rPr/>
      </w:pPr>
      <w:r>
        <w:rPr>
          <w:b/>
          <w:bCs/>
        </w:rPr>
        <w:t>Régime fiscal simplifié</w:t>
      </w:r>
      <w:r>
        <w:rPr/>
        <w:t xml:space="preserve"> : dispositif fiscal adapté aux petites entreprises, généralement basé sur des règles de calcul et des obligations déclaratives allégées par rapport au régime fiscal de droit commun.</w:t>
      </w:r>
    </w:p>
    <w:p>
      <w:pPr>
        <w:pStyle w:val="Compact"/>
        <w:numPr>
          <w:ilvl w:val="0"/>
          <w:numId w:val="96"/>
        </w:numPr>
        <w:rPr/>
      </w:pPr>
      <w:r>
        <w:rPr>
          <w:b/>
          <w:bCs/>
        </w:rPr>
        <w:t>Guichet unique / centre de formalités des entreprises</w:t>
      </w:r>
      <w:r>
        <w:rPr/>
        <w:t xml:space="preserve"> : structure administrative centralisant plusieurs démarches d’enregistrement d’une entreprise, afin de simplifier et d’accélérer le processus de formalisation.</w:t>
      </w:r>
    </w:p>
    <w:p>
      <w:pPr>
        <w:pStyle w:val="Compact"/>
        <w:numPr>
          <w:ilvl w:val="0"/>
          <w:numId w:val="97"/>
        </w:numPr>
        <w:rPr/>
      </w:pPr>
      <w:r>
        <w:rPr>
          <w:b/>
          <w:bCs/>
        </w:rPr>
        <w:t>E-réputation</w:t>
      </w:r>
      <w:r>
        <w:rPr/>
        <w:t xml:space="preserve"> : image qu’une entreprise ou un entrepreneur renvoie à travers sa présence et ses interactions sur les outils numériques, notamment les réseaux sociaux.</w:t>
      </w:r>
    </w:p>
    <w:p>
      <w:pPr>
        <w:pStyle w:val="Compact"/>
        <w:numPr>
          <w:ilvl w:val="0"/>
          <w:numId w:val="98"/>
        </w:numPr>
        <w:spacing w:before="36" w:after="36"/>
        <w:rPr/>
      </w:pPr>
      <w:r>
        <w:rPr>
          <w:b/>
          <w:bCs/>
        </w:rPr>
        <w:t>Chaîne de valeur agricole durable (CVAD)</w:t>
      </w:r>
      <w:r>
        <w:rPr/>
        <w:t xml:space="preserve"> : ensemble structuré des acteurs et des étapes, de la production à la consommation, impliqués dans un produit agricole, organisé selon des principes de durabilité économique, sociale et environnementale.</w:t>
      </w:r>
      <w:bookmarkEnd w:id="84"/>
      <w:bookmarkEnd w:id="8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7">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8">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9">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10">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11">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12">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13">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14">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15">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
    <w:lvlOverride w:ilvl="0">
      <w:startOverride w:val="1"/>
    </w:lvlOverride>
  </w:num>
  <w:num w:numId="20">
    <w:abstractNumId w:val="1"/>
    <w:lvlOverride w:ilvl="0">
      <w:startOverride w:val="1"/>
    </w:lvlOverride>
  </w:num>
  <w:num w:numId="21">
    <w:abstractNumId w:val="1"/>
  </w:num>
  <w:num w:numId="22">
    <w:abstractNumId w:val="1"/>
  </w:num>
  <w:num w:numId="23">
    <w:abstractNumId w:val="1"/>
  </w:num>
  <w:num w:numId="24">
    <w:abstractNumId w:val="1"/>
  </w:num>
  <w:num w:numId="25">
    <w:abstractNumId w:val="1"/>
    <w:lvlOverride w:ilvl="0">
      <w:startOverride w:val="1"/>
    </w:lvlOverride>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lvlOverride w:ilvl="0">
      <w:startOverride w:val="1"/>
    </w:lvlOverride>
  </w:num>
  <w:num w:numId="36">
    <w:abstractNumId w:val="6"/>
    <w:lvlOverride w:ilvl="0">
      <w:startOverride w:val="1"/>
    </w:lvlOverride>
    <w:lvlOverride w:ilvl="1">
      <w:startOverride w:val="1"/>
    </w:lvlOverride>
  </w:num>
  <w:num w:numId="37">
    <w:abstractNumId w:val="1"/>
  </w:num>
  <w:num w:numId="38">
    <w:abstractNumId w:val="6"/>
    <w:lvlOverride w:ilvl="0">
      <w:startOverride w:val="1"/>
    </w:lvlOverride>
    <w:lvlOverride w:ilvl="1">
      <w:startOverride w:val="1"/>
    </w:lvlOverride>
  </w:num>
  <w:num w:numId="39">
    <w:abstractNumId w:val="6"/>
  </w:num>
  <w:num w:numId="40">
    <w:abstractNumId w:val="6"/>
  </w:num>
  <w:num w:numId="41">
    <w:abstractNumId w:val="6"/>
  </w:num>
  <w:num w:numId="42">
    <w:abstractNumId w:val="1"/>
  </w:num>
  <w:num w:numId="43">
    <w:abstractNumId w:val="6"/>
    <w:lvlOverride w:ilvl="0">
      <w:startOverride w:val="1"/>
    </w:lvlOverride>
    <w:lvlOverride w:ilvl="1">
      <w:startOverride w:val="1"/>
    </w:lvlOverride>
  </w:num>
  <w:num w:numId="44">
    <w:abstractNumId w:val="6"/>
  </w:num>
  <w:num w:numId="45">
    <w:abstractNumId w:val="6"/>
  </w:num>
  <w:num w:numId="46">
    <w:abstractNumId w:val="6"/>
  </w:num>
  <w:num w:numId="47">
    <w:abstractNumId w:val="1"/>
  </w:num>
  <w:num w:numId="48">
    <w:abstractNumId w:val="6"/>
    <w:lvlOverride w:ilvl="0">
      <w:startOverride w:val="1"/>
    </w:lvlOverride>
    <w:lvlOverride w:ilvl="1">
      <w:startOverride w:val="1"/>
    </w:lvlOverride>
  </w:num>
  <w:num w:numId="49">
    <w:abstractNumId w:val="6"/>
  </w:num>
  <w:num w:numId="50">
    <w:abstractNumId w:val="6"/>
  </w:num>
  <w:num w:numId="51">
    <w:abstractNumId w:val="6"/>
  </w:num>
  <w:num w:numId="52">
    <w:abstractNumId w:val="1"/>
  </w:num>
  <w:num w:numId="53">
    <w:abstractNumId w:val="6"/>
    <w:lvlOverride w:ilvl="0">
      <w:startOverride w:val="1"/>
    </w:lvlOverride>
    <w:lvlOverride w:ilvl="1">
      <w:startOverride w:val="1"/>
    </w:lvlOverride>
  </w:num>
  <w:num w:numId="54">
    <w:abstractNumId w:val="6"/>
  </w:num>
  <w:num w:numId="55">
    <w:abstractNumId w:val="6"/>
  </w:num>
  <w:num w:numId="56">
    <w:abstractNumId w:val="6"/>
  </w:num>
  <w:num w:numId="57">
    <w:abstractNumId w:val="1"/>
  </w:num>
  <w:num w:numId="58">
    <w:abstractNumId w:val="6"/>
    <w:lvlOverride w:ilvl="0">
      <w:startOverride w:val="1"/>
    </w:lvlOverride>
    <w:lvlOverride w:ilvl="1">
      <w:startOverride w:val="1"/>
    </w:lvlOverride>
  </w:num>
  <w:num w:numId="59">
    <w:abstractNumId w:val="6"/>
  </w:num>
  <w:num w:numId="60">
    <w:abstractNumId w:val="6"/>
  </w:num>
  <w:num w:numId="61">
    <w:abstractNumId w:val="6"/>
  </w:num>
  <w:num w:numId="62">
    <w:abstractNumId w:val="1"/>
  </w:num>
  <w:num w:numId="63">
    <w:abstractNumId w:val="6"/>
    <w:lvlOverride w:ilvl="0">
      <w:startOverride w:val="1"/>
    </w:lvlOverride>
    <w:lvlOverride w:ilvl="1">
      <w:startOverride w:val="1"/>
    </w:lvlOverride>
  </w:num>
  <w:num w:numId="64">
    <w:abstractNumId w:val="6"/>
  </w:num>
  <w:num w:numId="65">
    <w:abstractNumId w:val="6"/>
  </w:num>
  <w:num w:numId="66">
    <w:abstractNumId w:val="6"/>
  </w:num>
  <w:num w:numId="67">
    <w:abstractNumId w:val="1"/>
  </w:num>
  <w:num w:numId="68">
    <w:abstractNumId w:val="6"/>
    <w:lvlOverride w:ilvl="0">
      <w:startOverride w:val="1"/>
    </w:lvlOverride>
    <w:lvlOverride w:ilvl="1">
      <w:startOverride w:val="1"/>
    </w:lvlOverride>
  </w:num>
  <w:num w:numId="69">
    <w:abstractNumId w:val="6"/>
  </w:num>
  <w:num w:numId="70">
    <w:abstractNumId w:val="6"/>
  </w:num>
  <w:num w:numId="71">
    <w:abstractNumId w:val="6"/>
  </w:num>
  <w:num w:numId="72">
    <w:abstractNumId w:val="1"/>
  </w:num>
  <w:num w:numId="73">
    <w:abstractNumId w:val="6"/>
    <w:lvlOverride w:ilvl="0">
      <w:startOverride w:val="1"/>
    </w:lvlOverride>
    <w:lvlOverride w:ilvl="1">
      <w:startOverride w:val="1"/>
    </w:lvlOverride>
  </w:num>
  <w:num w:numId="74">
    <w:abstractNumId w:val="6"/>
  </w:num>
  <w:num w:numId="75">
    <w:abstractNumId w:val="6"/>
  </w:num>
  <w:num w:numId="76">
    <w:abstractNumId w:val="6"/>
  </w:num>
  <w:num w:numId="77">
    <w:abstractNumId w:val="1"/>
  </w:num>
  <w:num w:numId="78">
    <w:abstractNumId w:val="6"/>
    <w:lvlOverride w:ilvl="0">
      <w:startOverride w:val="1"/>
    </w:lvlOverride>
    <w:lvlOverride w:ilvl="1">
      <w:startOverride w:val="1"/>
    </w:lvlOverride>
  </w:num>
  <w:num w:numId="79">
    <w:abstractNumId w:val="6"/>
  </w:num>
  <w:num w:numId="80">
    <w:abstractNumId w:val="6"/>
  </w:num>
  <w:num w:numId="81">
    <w:abstractNumId w:val="6"/>
  </w:num>
  <w:num w:numId="82">
    <w:abstractNumId w:val="3"/>
  </w:num>
  <w:num w:numId="83">
    <w:abstractNumId w:val="3"/>
  </w:num>
  <w:num w:numId="84">
    <w:abstractNumId w:val="3"/>
  </w:num>
  <w:num w:numId="85">
    <w:abstractNumId w:val="3"/>
  </w:num>
  <w:num w:numId="86">
    <w:abstractNumId w:val="3"/>
  </w:num>
  <w:num w:numId="87">
    <w:abstractNumId w:val="3"/>
  </w:num>
  <w:num w:numId="88">
    <w:abstractNumId w:val="3"/>
  </w:num>
  <w:num w:numId="89">
    <w:abstractNumId w:val="3"/>
  </w:num>
  <w:num w:numId="90">
    <w:abstractNumId w:val="3"/>
  </w:num>
  <w:num w:numId="91">
    <w:abstractNumId w:val="3"/>
  </w:num>
  <w:num w:numId="92">
    <w:abstractNumId w:val="3"/>
  </w:num>
  <w:num w:numId="93">
    <w:abstractNumId w:val="3"/>
  </w:num>
  <w:num w:numId="94">
    <w:abstractNumId w:val="3"/>
  </w:num>
  <w:num w:numId="95">
    <w:abstractNumId w:val="3"/>
  </w:num>
  <w:num w:numId="96">
    <w:abstractNumId w:val="3"/>
  </w:num>
  <w:num w:numId="97">
    <w:abstractNumId w:val="3"/>
  </w:num>
  <w:num w:numId="98">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276" w:before="0" w:after="160"/>
      <w:jc w:val="left"/>
    </w:pPr>
    <w:rPr>
      <w:rFonts w:ascii="Calibri" w:hAnsi="Calibri" w:eastAsia="Cambria" w:cs=""/>
      <w:color w:val="222222"/>
      <w:kern w:val="0"/>
      <w:sz w:val="22"/>
      <w:szCs w:val="24"/>
      <w:lang w:val="en-US" w:eastAsia="en-US" w:bidi="ar-SA"/>
    </w:rPr>
  </w:style>
  <w:style w:type="paragraph" w:styleId="Heading1">
    <w:name w:val="Heading 1"/>
    <w:basedOn w:val="Normal"/>
    <w:next w:val="BodyText"/>
    <w:uiPriority w:val="9"/>
    <w:qFormat/>
    <w:pPr>
      <w:keepNext w:val="true"/>
      <w:keepLines/>
      <w:spacing w:before="400" w:after="200"/>
      <w:outlineLvl w:val="0"/>
    </w:pPr>
    <w:rPr>
      <w:rFonts w:ascii="Calibri" w:hAnsi="Calibri" w:eastAsia="" w:cs="" w:asciiTheme="majorHAnsi" w:cstheme="majorBidi" w:eastAsiaTheme="majorEastAsia" w:hAnsiTheme="majorHAnsi"/>
      <w:b/>
      <w:bCs/>
      <w:color w:val="2E7D32"/>
      <w:sz w:val="36"/>
      <w:szCs w:val="32"/>
    </w:rPr>
  </w:style>
  <w:style w:type="paragraph" w:styleId="Heading2">
    <w:name w:val="Heading 2"/>
    <w:basedOn w:val="Normal"/>
    <w:next w:val="BodyText"/>
    <w:uiPriority w:val="9"/>
    <w:unhideWhenUsed/>
    <w:qFormat/>
    <w:pPr>
      <w:keepNext w:val="true"/>
      <w:keepLines/>
      <w:spacing w:before="320" w:after="160"/>
      <w:outlineLvl w:val="1"/>
    </w:pPr>
    <w:rPr>
      <w:rFonts w:ascii="Calibri" w:hAnsi="Calibri" w:eastAsia="" w:cs="" w:asciiTheme="majorHAnsi" w:cstheme="majorBidi" w:eastAsiaTheme="majorEastAsia" w:hAnsiTheme="majorHAnsi"/>
      <w:b/>
      <w:bCs/>
      <w:color w:val="1B5E20"/>
      <w:sz w:val="28"/>
      <w:szCs w:val="28"/>
    </w:rPr>
  </w:style>
  <w:style w:type="paragraph" w:styleId="Heading3">
    <w:name w:val="Heading 3"/>
    <w:basedOn w:val="Normal"/>
    <w:next w:val="BodyText"/>
    <w:uiPriority w:val="9"/>
    <w:unhideWhenUsed/>
    <w:qFormat/>
    <w:pPr>
      <w:keepNext w:val="true"/>
      <w:keepLines/>
      <w:spacing w:before="240" w:after="120"/>
      <w:outlineLvl w:val="2"/>
    </w:pPr>
    <w:rPr>
      <w:rFonts w:ascii="Calibri" w:hAnsi="Calibri" w:eastAsia="" w:cs="" w:asciiTheme="majorHAnsi" w:cstheme="majorBidi" w:eastAsiaTheme="majorEastAsia" w:hAnsiTheme="majorHAnsi"/>
      <w:b/>
      <w:bCs/>
      <w:color w:val="333333"/>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360"/>
      <w:jc w:val="center"/>
    </w:pPr>
    <w:rPr>
      <w:rFonts w:ascii="Calibri" w:hAnsi="Calibri" w:eastAsia="" w:cs="" w:asciiTheme="majorHAnsi" w:cstheme="majorBidi" w:eastAsiaTheme="majorEastAsia" w:hAnsiTheme="majorHAnsi"/>
      <w:b/>
      <w:bCs/>
      <w:color w:val="1B5E20"/>
      <w:sz w:val="52"/>
      <w:szCs w:val="36"/>
    </w:rPr>
  </w:style>
  <w:style w:type="paragraph" w:styleId="Subtitle">
    <w:name w:val="Subtitle"/>
    <w:basedOn w:val="Title"/>
    <w:next w:val="BodyText"/>
    <w:qFormat/>
    <w:pPr>
      <w:keepNext w:val="true"/>
      <w:keepLines/>
      <w:spacing w:before="240" w:after="240"/>
      <w:jc w:val="center"/>
    </w:pPr>
    <w:rPr>
      <w:rFonts w:ascii="Calibri" w:hAnsi="Calibri"/>
      <w:i/>
      <w:color w:val="555555"/>
      <w:sz w:val="26"/>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20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2.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22</Pages>
  <Words>8599</Words>
  <Characters>50554</Characters>
  <CharactersWithSpaces>58783</CharactersWithSpaces>
  <Paragraphs>289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2017-12-27T05:22:50Z</dcterms:created>
  <dc:creator>Author</dc:creator>
  <dc:description/>
  <dc:language>en-US</dc:language>
  <cp:lastModifiedBy/>
  <dcterms:modified xsi:type="dcterms:W3CDTF">2026-09-03T17:18:05Z</dcterms:modified>
  <cp:revision>1</cp:revision>
  <dc:subject/>
  <dc:title>Title</dc:title>
</cp:coreProperties>
</file>

<file path=docProps/custom.xml><?xml version="1.0" encoding="utf-8"?>
<Properties xmlns="http://schemas.openxmlformats.org/officeDocument/2006/custom-properties" xmlns:vt="http://schemas.openxmlformats.org/officeDocument/2006/docPropsVTypes"/>
</file>