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806" w:rsidRDefault="004F2806" w:rsidP="002001F6">
      <w:pPr>
        <w:spacing w:after="100" w:afterAutospacing="1"/>
      </w:pPr>
    </w:p>
    <w:tbl>
      <w:tblPr>
        <w:tblpPr w:leftFromText="141" w:rightFromText="141" w:vertAnchor="page" w:horzAnchor="margin" w:tblpXSpec="center" w:tblpY="1121"/>
        <w:tblW w:w="0" w:type="auto"/>
        <w:tblLook w:val="01E0" w:firstRow="1" w:lastRow="1" w:firstColumn="1" w:lastColumn="1" w:noHBand="0" w:noVBand="0"/>
      </w:tblPr>
      <w:tblGrid>
        <w:gridCol w:w="8065"/>
      </w:tblGrid>
      <w:tr w:rsidR="004F2806" w:rsidRPr="00980632" w:rsidTr="00B42242">
        <w:trPr>
          <w:trHeight w:val="66"/>
        </w:trPr>
        <w:tc>
          <w:tcPr>
            <w:tcW w:w="8065" w:type="dxa"/>
          </w:tcPr>
          <w:p w:rsidR="004F2806" w:rsidRPr="00E47AEE" w:rsidRDefault="004F2806" w:rsidP="004F2806">
            <w:pPr>
              <w:pStyle w:val="Default"/>
              <w:jc w:val="center"/>
              <w:rPr>
                <w:b/>
                <w:bCs/>
              </w:rPr>
            </w:pPr>
            <w:r w:rsidRPr="00E47AEE">
              <w:rPr>
                <w:b/>
                <w:bCs/>
              </w:rPr>
              <w:t>République du Sénégal</w:t>
            </w:r>
          </w:p>
          <w:p w:rsidR="004F2806" w:rsidRPr="00980632" w:rsidRDefault="004F2806" w:rsidP="004F2806">
            <w:pPr>
              <w:pStyle w:val="Default"/>
              <w:jc w:val="center"/>
              <w:rPr>
                <w:b/>
                <w:bCs/>
                <w:sz w:val="16"/>
                <w:szCs w:val="16"/>
              </w:rPr>
            </w:pPr>
            <w:r w:rsidRPr="00E47AEE">
              <w:rPr>
                <w:b/>
                <w:bCs/>
                <w:sz w:val="16"/>
                <w:szCs w:val="16"/>
              </w:rPr>
              <w:t>Un Peuple - Un But - Une Foi</w:t>
            </w:r>
          </w:p>
        </w:tc>
      </w:tr>
      <w:tr w:rsidR="004F2806" w:rsidTr="00B42242">
        <w:trPr>
          <w:trHeight w:val="272"/>
        </w:trPr>
        <w:tc>
          <w:tcPr>
            <w:tcW w:w="8065" w:type="dxa"/>
          </w:tcPr>
          <w:p w:rsidR="004F2806" w:rsidRDefault="004F2806" w:rsidP="004F2806">
            <w:pPr>
              <w:jc w:val="center"/>
            </w:pPr>
            <w:r w:rsidRPr="00B21B86">
              <w:rPr>
                <w:noProof/>
                <w:lang w:eastAsia="fr-FR"/>
              </w:rPr>
              <w:drawing>
                <wp:inline distT="0" distB="0" distL="0" distR="0" wp14:anchorId="71110A44" wp14:editId="35C3C21F">
                  <wp:extent cx="1113155" cy="1057275"/>
                  <wp:effectExtent l="0" t="0" r="0" b="9525"/>
                  <wp:docPr id="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3155" cy="1057275"/>
                          </a:xfrm>
                          <a:prstGeom prst="rect">
                            <a:avLst/>
                          </a:prstGeom>
                          <a:noFill/>
                          <a:ln>
                            <a:noFill/>
                          </a:ln>
                        </pic:spPr>
                      </pic:pic>
                    </a:graphicData>
                  </a:graphic>
                </wp:inline>
              </w:drawing>
            </w:r>
          </w:p>
        </w:tc>
      </w:tr>
      <w:tr w:rsidR="004F2806" w:rsidTr="00B42242">
        <w:trPr>
          <w:trHeight w:val="321"/>
        </w:trPr>
        <w:tc>
          <w:tcPr>
            <w:tcW w:w="8065" w:type="dxa"/>
          </w:tcPr>
          <w:p w:rsidR="004F2806" w:rsidRDefault="004F2806" w:rsidP="004F2806">
            <w:pPr>
              <w:jc w:val="center"/>
            </w:pPr>
          </w:p>
        </w:tc>
      </w:tr>
    </w:tbl>
    <w:p w:rsidR="00B42242" w:rsidRPr="008555A6" w:rsidRDefault="008555A6" w:rsidP="00B42242">
      <w:pPr>
        <w:jc w:val="center"/>
        <w:rPr>
          <w:b/>
          <w:noProof/>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pPr>
      <w:r w:rsidRPr="008555A6">
        <w:rPr>
          <w:b/>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t>INDICE DU CHIFFRE D’AFFAIRE</w:t>
      </w:r>
      <w:r w:rsidR="001769CF">
        <w:rPr>
          <w:b/>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t>S</w:t>
      </w:r>
      <w:r w:rsidRPr="008555A6">
        <w:rPr>
          <w:b/>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t xml:space="preserve"> DANS LA CONSTRUCTION</w:t>
      </w:r>
    </w:p>
    <w:p w:rsidR="004658BD" w:rsidRPr="008555A6" w:rsidRDefault="004658BD" w:rsidP="004F2806">
      <w:pPr>
        <w:jc w:val="center"/>
        <w:rPr>
          <w:b/>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pPr>
      <w:r w:rsidRPr="008555A6">
        <w:rPr>
          <w:b/>
          <w:color w:val="0E57C4" w:themeColor="background2" w:themeShade="80"/>
          <w:sz w:val="36"/>
          <w:szCs w:val="72"/>
          <w14:textOutline w14:w="0" w14:cap="flat" w14:cmpd="sng" w14:algn="ctr">
            <w14:noFill/>
            <w14:prstDash w14:val="solid"/>
            <w14:round/>
          </w14:textOutline>
          <w14:props3d w14:extrusionH="57150" w14:contourW="0" w14:prstMaterial="softEdge">
            <w14:bevelT w14:w="25400" w14:h="38100" w14:prst="circle"/>
          </w14:props3d>
        </w:rPr>
        <w:t>(ICAC)</w:t>
      </w:r>
    </w:p>
    <w:p w:rsidR="004658BD" w:rsidRDefault="004658BD" w:rsidP="004658BD">
      <w:pPr>
        <w:spacing w:after="0" w:line="240" w:lineRule="auto"/>
        <w:jc w:val="center"/>
        <w:rPr>
          <w:rFonts w:ascii="Times New Roman" w:eastAsiaTheme="minorEastAsia" w:hAnsi="Times New Roman" w:cs="Times New Roman"/>
          <w:b/>
          <w:sz w:val="24"/>
          <w:szCs w:val="72"/>
          <w:lang w:eastAsia="fr-FR"/>
          <w14:shadow w14:blurRad="50800" w14:dist="38100" w14:dir="2700000" w14:sx="100000" w14:sy="100000" w14:kx="0" w14:ky="0" w14:algn="tl">
            <w14:srgbClr w14:val="000000">
              <w14:alpha w14:val="60000"/>
            </w14:srgbClr>
          </w14:shadow>
        </w:rPr>
      </w:pPr>
    </w:p>
    <w:p w:rsidR="00B42242" w:rsidRDefault="009C39F5" w:rsidP="004F2806">
      <w:pPr>
        <w:jc w:val="center"/>
      </w:pPr>
      <w:r w:rsidRPr="004658BD">
        <w:rPr>
          <w:b/>
          <w:noProof/>
          <w:color w:val="0E57C4" w:themeColor="background2" w:themeShade="80"/>
          <w:sz w:val="48"/>
          <w:szCs w:val="72"/>
          <w:lang w:eastAsia="fr-FR"/>
          <w14:textOutline w14:w="0" w14:cap="flat" w14:cmpd="sng" w14:algn="ctr">
            <w14:noFill/>
            <w14:prstDash w14:val="solid"/>
            <w14:round/>
          </w14:textOutline>
          <w14:props3d w14:extrusionH="57150" w14:contourW="0" w14:prstMaterial="softEdge">
            <w14:bevelT w14:w="25400" w14:h="38100" w14:prst="circle"/>
          </w14:props3d>
        </w:rPr>
        <mc:AlternateContent>
          <mc:Choice Requires="wps">
            <w:drawing>
              <wp:anchor distT="0" distB="0" distL="114300" distR="114300" simplePos="0" relativeHeight="251659264" behindDoc="0" locked="0" layoutInCell="1" allowOverlap="1" wp14:anchorId="67D2130C" wp14:editId="0131B1C4">
                <wp:simplePos x="0" y="0"/>
                <wp:positionH relativeFrom="margin">
                  <wp:posOffset>215496</wp:posOffset>
                </wp:positionH>
                <wp:positionV relativeFrom="paragraph">
                  <wp:posOffset>9871</wp:posOffset>
                </wp:positionV>
                <wp:extent cx="5396345" cy="4066021"/>
                <wp:effectExtent l="0" t="0" r="13970" b="10795"/>
                <wp:wrapNone/>
                <wp:docPr id="5" name="Zone de texte 5"/>
                <wp:cNvGraphicFramePr/>
                <a:graphic xmlns:a="http://schemas.openxmlformats.org/drawingml/2006/main">
                  <a:graphicData uri="http://schemas.microsoft.com/office/word/2010/wordprocessingShape">
                    <wps:wsp>
                      <wps:cNvSpPr txBox="1"/>
                      <wps:spPr>
                        <a:xfrm>
                          <a:off x="0" y="0"/>
                          <a:ext cx="5396345" cy="4066021"/>
                        </a:xfrm>
                        <a:prstGeom prst="rect">
                          <a:avLst/>
                        </a:prstGeom>
                        <a:solidFill>
                          <a:schemeClr val="lt1"/>
                        </a:solidFill>
                        <a:ln w="190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002001F6" w:rsidRDefault="002001F6" w:rsidP="00EE7F1B">
                            <w:pPr>
                              <w:spacing w:after="0"/>
                              <w:rPr>
                                <w14:textOutline w14:w="9525" w14:cap="rnd" w14:cmpd="sng" w14:algn="ctr">
                                  <w14:solidFill>
                                    <w14:schemeClr w14:val="accent1">
                                      <w14:lumMod w14:val="75000"/>
                                    </w14:schemeClr>
                                  </w14:solidFill>
                                  <w14:prstDash w14:val="solid"/>
                                  <w14:bevel/>
                                </w14:textOutline>
                              </w:rPr>
                            </w:pPr>
                            <w:r>
                              <w:rPr>
                                <w:noProof/>
                                <w:lang w:eastAsia="fr-FR"/>
                              </w:rPr>
                              <w:drawing>
                                <wp:inline distT="0" distB="0" distL="0" distR="0" wp14:anchorId="75F54986" wp14:editId="5E129A41">
                                  <wp:extent cx="5243945" cy="2667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0002" cy="2878601"/>
                                          </a:xfrm>
                                          <a:prstGeom prst="rect">
                                            <a:avLst/>
                                          </a:prstGeom>
                                        </pic:spPr>
                                      </pic:pic>
                                    </a:graphicData>
                                  </a:graphic>
                                </wp:inline>
                              </w:drawing>
                            </w:r>
                          </w:p>
                          <w:p w:rsidR="00EE7F1B" w:rsidRPr="002001F6" w:rsidRDefault="00EE7F1B">
                            <w:pPr>
                              <w:rPr>
                                <w14:textOutline w14:w="9525" w14:cap="rnd" w14:cmpd="sng" w14:algn="ctr">
                                  <w14:solidFill>
                                    <w14:schemeClr w14:val="accent1">
                                      <w14:lumMod w14:val="75000"/>
                                    </w14:schemeClr>
                                  </w14:solidFill>
                                  <w14:prstDash w14:val="solid"/>
                                  <w14:bevel/>
                                </w14:textOutline>
                              </w:rPr>
                            </w:pPr>
                            <w:r>
                              <w:rPr>
                                <w:noProof/>
                                <w:lang w:eastAsia="fr-FR"/>
                              </w:rPr>
                              <w:drawing>
                                <wp:inline distT="0" distB="0" distL="0" distR="0" wp14:anchorId="0AB4A421" wp14:editId="4F094AC6">
                                  <wp:extent cx="4010718" cy="1343602"/>
                                  <wp:effectExtent l="0" t="0" r="0" b="952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4411950" cy="1478016"/>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D2130C" id="_x0000_t202" coordsize="21600,21600" o:spt="202" path="m,l,21600r21600,l21600,xe">
                <v:stroke joinstyle="miter"/>
                <v:path gradientshapeok="t" o:connecttype="rect"/>
              </v:shapetype>
              <v:shape id="Zone de texte 5" o:spid="_x0000_s1026" type="#_x0000_t202" style="position:absolute;left:0;text-align:left;margin-left:16.95pt;margin-top:.8pt;width:424.9pt;height:32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" fillcolor="white [3201]" strokecolor="#0e56c3 [1614]" strokeweight="1.5pt">
                <v:textbox>
                  <w:txbxContent>
                    <w:p w:rsidR="002001F6" w:rsidRDefault="002001F6" w:rsidP="00EE7F1B">
                      <w:pPr>
                        <w:spacing w:after="0"/>
                        <w:rPr>
                          <w14:textOutline w14:w="9525" w14:cap="rnd" w14:cmpd="sng" w14:algn="ctr">
                            <w14:solidFill>
                              <w14:schemeClr w14:val="accent1">
                                <w14:lumMod w14:val="75000"/>
                              </w14:schemeClr>
                            </w14:solidFill>
                            <w14:prstDash w14:val="solid"/>
                            <w14:bevel/>
                          </w14:textOutline>
                        </w:rPr>
                      </w:pPr>
                      <w:r>
                        <w:rPr>
                          <w:noProof/>
                          <w:lang w:eastAsia="fr-FR"/>
                        </w:rPr>
                        <w:drawing>
                          <wp:inline distT="0" distB="0" distL="0" distR="0" wp14:anchorId="75F54986" wp14:editId="5E129A41">
                            <wp:extent cx="5243945" cy="2667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0002" cy="2878601"/>
                                    </a:xfrm>
                                    <a:prstGeom prst="rect">
                                      <a:avLst/>
                                    </a:prstGeom>
                                  </pic:spPr>
                                </pic:pic>
                              </a:graphicData>
                            </a:graphic>
                          </wp:inline>
                        </w:drawing>
                      </w:r>
                    </w:p>
                    <w:p w:rsidR="00EE7F1B" w:rsidRPr="002001F6" w:rsidRDefault="00EE7F1B">
                      <w:pPr>
                        <w:rPr>
                          <w14:textOutline w14:w="9525" w14:cap="rnd" w14:cmpd="sng" w14:algn="ctr">
                            <w14:solidFill>
                              <w14:schemeClr w14:val="accent1">
                                <w14:lumMod w14:val="75000"/>
                              </w14:schemeClr>
                            </w14:solidFill>
                            <w14:prstDash w14:val="solid"/>
                            <w14:bevel/>
                          </w14:textOutline>
                        </w:rPr>
                      </w:pPr>
                      <w:r>
                        <w:rPr>
                          <w:noProof/>
                          <w:lang w:eastAsia="fr-FR"/>
                        </w:rPr>
                        <w:drawing>
                          <wp:inline distT="0" distB="0" distL="0" distR="0" wp14:anchorId="0AB4A421" wp14:editId="4F094AC6">
                            <wp:extent cx="4010718" cy="1343602"/>
                            <wp:effectExtent l="0" t="0" r="0" b="952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4411950" cy="1478016"/>
                                    </a:xfrm>
                                    <a:prstGeom prst="rect">
                                      <a:avLst/>
                                    </a:prstGeom>
                                    <a:ln>
                                      <a:noFill/>
                                    </a:ln>
                                  </pic:spPr>
                                </pic:pic>
                              </a:graphicData>
                            </a:graphic>
                          </wp:inline>
                        </w:drawing>
                      </w:r>
                    </w:p>
                  </w:txbxContent>
                </v:textbox>
                <w10:wrap anchorx="margin"/>
              </v:shape>
            </w:pict>
          </mc:Fallback>
        </mc:AlternateContent>
      </w:r>
    </w:p>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Pr="00B42242" w:rsidRDefault="00B42242" w:rsidP="00B42242"/>
    <w:p w:rsidR="00B42242" w:rsidRDefault="00B42242" w:rsidP="00B42242"/>
    <w:p w:rsidR="00B42242" w:rsidRDefault="00B42242" w:rsidP="00B42242">
      <w:pPr>
        <w:spacing w:after="0" w:line="240" w:lineRule="auto"/>
        <w:jc w:val="center"/>
        <w:rPr>
          <w:rFonts w:ascii="Times New Roman" w:eastAsiaTheme="minorEastAsia" w:hAnsi="Times New Roman" w:cs="Times New Roman"/>
          <w:b/>
          <w:sz w:val="24"/>
          <w:szCs w:val="72"/>
          <w:lang w:eastAsia="fr-FR"/>
          <w14:shadow w14:blurRad="50800" w14:dist="38100" w14:dir="2700000" w14:sx="100000" w14:sy="100000" w14:kx="0" w14:ky="0" w14:algn="tl">
            <w14:srgbClr w14:val="000000">
              <w14:alpha w14:val="60000"/>
            </w14:srgbClr>
          </w14:shadow>
        </w:rPr>
      </w:pPr>
    </w:p>
    <w:p w:rsidR="00B42242" w:rsidRDefault="00B42242" w:rsidP="00B42242">
      <w:pPr>
        <w:spacing w:after="0" w:line="240" w:lineRule="auto"/>
        <w:jc w:val="center"/>
        <w:rPr>
          <w:rFonts w:ascii="Times New Roman" w:eastAsiaTheme="minorEastAsia" w:hAnsi="Times New Roman" w:cs="Times New Roman"/>
          <w:b/>
          <w:sz w:val="24"/>
          <w:szCs w:val="72"/>
          <w:lang w:eastAsia="fr-FR"/>
          <w14:shadow w14:blurRad="50800" w14:dist="38100" w14:dir="2700000" w14:sx="100000" w14:sy="100000" w14:kx="0" w14:ky="0" w14:algn="tl">
            <w14:srgbClr w14:val="000000">
              <w14:alpha w14:val="60000"/>
            </w14:srgbClr>
          </w14:shadow>
        </w:rPr>
      </w:pPr>
    </w:p>
    <w:p w:rsidR="00B42242" w:rsidRPr="00D97CC0" w:rsidRDefault="00B42242" w:rsidP="00B42242">
      <w:pPr>
        <w:spacing w:after="0" w:line="240" w:lineRule="auto"/>
        <w:jc w:val="center"/>
        <w:rPr>
          <w:rFonts w:ascii="Times New Roman" w:eastAsiaTheme="minorEastAsia" w:hAnsi="Times New Roman" w:cs="Times New Roman"/>
          <w:b/>
          <w:sz w:val="72"/>
          <w:szCs w:val="72"/>
          <w:lang w:eastAsia="fr-FR"/>
          <w14:shadow w14:blurRad="50800" w14:dist="38100" w14:dir="2700000" w14:sx="100000" w14:sy="100000" w14:kx="0" w14:ky="0" w14:algn="tl">
            <w14:srgbClr w14:val="000000">
              <w14:alpha w14:val="60000"/>
            </w14:srgbClr>
          </w14:shadow>
        </w:rPr>
      </w:pPr>
      <w:r w:rsidRPr="00D97CC0">
        <w:rPr>
          <w:rFonts w:ascii="Times New Roman" w:eastAsiaTheme="minorEastAsia" w:hAnsi="Times New Roman" w:cs="Times New Roman"/>
          <w:b/>
          <w:sz w:val="72"/>
          <w:szCs w:val="72"/>
          <w:lang w:eastAsia="fr-FR"/>
          <w14:shadow w14:blurRad="50800" w14:dist="38100" w14:dir="2700000" w14:sx="100000" w14:sy="100000" w14:kx="0" w14:ky="0" w14:algn="tl">
            <w14:srgbClr w14:val="000000">
              <w14:alpha w14:val="60000"/>
            </w14:srgbClr>
          </w14:shadow>
        </w:rPr>
        <w:t xml:space="preserve">Note </w:t>
      </w:r>
      <w:r w:rsidR="00D97CC0" w:rsidRPr="00D97CC0">
        <w:rPr>
          <w:rFonts w:ascii="Times New Roman" w:eastAsiaTheme="minorEastAsia" w:hAnsi="Times New Roman" w:cs="Times New Roman"/>
          <w:b/>
          <w:sz w:val="72"/>
          <w:szCs w:val="72"/>
          <w:lang w:eastAsia="fr-FR"/>
          <w14:shadow w14:blurRad="50800" w14:dist="38100" w14:dir="2700000" w14:sx="100000" w14:sy="100000" w14:kx="0" w14:ky="0" w14:algn="tl">
            <w14:srgbClr w14:val="000000">
              <w14:alpha w14:val="60000"/>
            </w14:srgbClr>
          </w14:shadow>
        </w:rPr>
        <w:t>méthodologique</w:t>
      </w:r>
      <w:r w:rsidRPr="00D97CC0">
        <w:rPr>
          <w:rFonts w:ascii="Times New Roman" w:eastAsiaTheme="minorEastAsia" w:hAnsi="Times New Roman" w:cs="Times New Roman"/>
          <w:b/>
          <w:sz w:val="72"/>
          <w:szCs w:val="72"/>
          <w:lang w:eastAsia="fr-FR"/>
          <w14:shadow w14:blurRad="50800" w14:dist="38100" w14:dir="2700000" w14:sx="100000" w14:sy="100000" w14:kx="0" w14:ky="0" w14:algn="tl">
            <w14:srgbClr w14:val="000000">
              <w14:alpha w14:val="60000"/>
            </w14:srgbClr>
          </w14:shadow>
        </w:rPr>
        <w:t xml:space="preserve"> </w:t>
      </w:r>
    </w:p>
    <w:p w:rsidR="009C39F5" w:rsidRDefault="009C39F5" w:rsidP="00B42242">
      <w:pPr>
        <w:spacing w:after="0" w:line="240" w:lineRule="auto"/>
        <w:jc w:val="center"/>
        <w:rPr>
          <w:rFonts w:ascii="Times New Roman" w:eastAsiaTheme="minorEastAsia" w:hAnsi="Times New Roman" w:cs="Times New Roman"/>
          <w:b/>
          <w:sz w:val="24"/>
          <w:szCs w:val="72"/>
          <w:lang w:eastAsia="fr-FR"/>
          <w14:shadow w14:blurRad="50800" w14:dist="38100" w14:dir="2700000" w14:sx="100000" w14:sy="100000" w14:kx="0" w14:ky="0" w14:algn="tl">
            <w14:srgbClr w14:val="000000">
              <w14:alpha w14:val="60000"/>
            </w14:srgbClr>
          </w14:shadow>
        </w:rPr>
        <w:sectPr w:rsidR="009C39F5" w:rsidSect="007645B6">
          <w:footerReference w:type="default" r:id="rId10"/>
          <w:pgSz w:w="11906" w:h="16838"/>
          <w:pgMar w:top="1417" w:right="1417" w:bottom="1417" w:left="1417"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rsidR="004B0DFE" w:rsidRPr="004B0DFE" w:rsidRDefault="00E369A9" w:rsidP="004B0DFE">
      <w:pPr>
        <w:tabs>
          <w:tab w:val="left" w:pos="1625"/>
        </w:tabs>
      </w:pPr>
      <w:bookmarkStart w:id="0" w:name="_GoBack"/>
      <w:bookmarkEnd w:id="0"/>
      <w:r>
        <w:rPr>
          <w:noProof/>
          <w:lang w:eastAsia="fr-FR"/>
        </w:rPr>
        <w:lastRenderedPageBreak/>
        <mc:AlternateContent>
          <mc:Choice Requires="wps">
            <w:drawing>
              <wp:anchor distT="0" distB="0" distL="114300" distR="114300" simplePos="0" relativeHeight="251665408" behindDoc="0" locked="0" layoutInCell="1" allowOverlap="1" wp14:anchorId="7705F421" wp14:editId="3A738F73">
                <wp:simplePos x="0" y="0"/>
                <wp:positionH relativeFrom="column">
                  <wp:posOffset>6985</wp:posOffset>
                </wp:positionH>
                <wp:positionV relativeFrom="paragraph">
                  <wp:posOffset>29845</wp:posOffset>
                </wp:positionV>
                <wp:extent cx="5715000" cy="6957060"/>
                <wp:effectExtent l="19050" t="19050" r="19050" b="1524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6957060"/>
                        </a:xfrm>
                        <a:prstGeom prst="rect">
                          <a:avLst/>
                        </a:prstGeom>
                        <a:solidFill>
                          <a:srgbClr val="FFFFFF"/>
                        </a:solidFill>
                        <a:ln w="38100" cmpd="dbl">
                          <a:solidFill>
                            <a:srgbClr val="000000"/>
                          </a:solidFill>
                          <a:miter lim="800000"/>
                          <a:headEnd/>
                          <a:tailEnd/>
                        </a:ln>
                      </wps:spPr>
                      <wps:txbx>
                        <w:txbxContent>
                          <w:p w:rsidR="0053627A" w:rsidRPr="00B97116" w:rsidRDefault="0053627A" w:rsidP="0053627A">
                            <w:pPr>
                              <w:spacing w:after="120" w:line="276" w:lineRule="auto"/>
                              <w:jc w:val="both"/>
                              <w:rPr>
                                <w:b/>
                                <w:bCs/>
                                <w:i/>
                                <w:iCs/>
                                <w:sz w:val="18"/>
                                <w:szCs w:val="20"/>
                              </w:rPr>
                            </w:pPr>
                            <w:r w:rsidRPr="00B97116">
                              <w:rPr>
                                <w:b/>
                                <w:bCs/>
                                <w:i/>
                                <w:iCs/>
                                <w:sz w:val="18"/>
                                <w:szCs w:val="20"/>
                              </w:rPr>
                              <w:t>Champ couvert</w:t>
                            </w:r>
                          </w:p>
                          <w:p w:rsidR="000E3ABC" w:rsidRPr="00155F55" w:rsidRDefault="0053627A" w:rsidP="000E3ABC">
                            <w:pPr>
                              <w:spacing w:after="120" w:line="276" w:lineRule="auto"/>
                              <w:jc w:val="both"/>
                              <w:rPr>
                                <w:i/>
                                <w:iCs/>
                                <w:sz w:val="18"/>
                                <w:szCs w:val="20"/>
                                <w:lang w:val="fr-BE"/>
                              </w:rPr>
                            </w:pPr>
                            <w:r w:rsidRPr="00155F55">
                              <w:rPr>
                                <w:i/>
                                <w:iCs/>
                                <w:sz w:val="18"/>
                                <w:szCs w:val="20"/>
                                <w:lang w:val="fr-BE"/>
                              </w:rPr>
                              <w:t xml:space="preserve">Le champ d’application de l’ICAC suivant les nouvelles recommandations se définit par rapport à la CITI rev4/NAEMA rev1. </w:t>
                            </w:r>
                            <w:r w:rsidR="000E3ABC" w:rsidRPr="00155F55">
                              <w:rPr>
                                <w:i/>
                                <w:iCs/>
                                <w:sz w:val="18"/>
                                <w:szCs w:val="20"/>
                                <w:lang w:val="fr-BE"/>
                              </w:rPr>
                              <w:t>Ainsi, l’ICAC couvre</w:t>
                            </w:r>
                            <w:r w:rsidR="009B4881" w:rsidRPr="00155F55">
                              <w:rPr>
                                <w:i/>
                                <w:iCs/>
                                <w:sz w:val="18"/>
                                <w:szCs w:val="20"/>
                                <w:lang w:val="fr-BE"/>
                              </w:rPr>
                              <w:t xml:space="preserve"> la </w:t>
                            </w:r>
                            <w:r w:rsidR="000E3ABC" w:rsidRPr="00155F55">
                              <w:rPr>
                                <w:i/>
                                <w:iCs/>
                                <w:sz w:val="18"/>
                                <w:szCs w:val="20"/>
                                <w:lang w:val="fr-BE"/>
                              </w:rPr>
                              <w:t>const</w:t>
                            </w:r>
                            <w:r w:rsidR="009B4881" w:rsidRPr="00155F55">
                              <w:rPr>
                                <w:i/>
                                <w:iCs/>
                                <w:sz w:val="18"/>
                                <w:szCs w:val="20"/>
                                <w:lang w:val="fr-BE"/>
                              </w:rPr>
                              <w:t>ruction de bâtiments</w:t>
                            </w:r>
                            <w:r w:rsidR="000E3ABC" w:rsidRPr="00155F55">
                              <w:rPr>
                                <w:i/>
                                <w:iCs/>
                                <w:sz w:val="18"/>
                                <w:szCs w:val="20"/>
                                <w:lang w:val="fr-BE"/>
                              </w:rPr>
                              <w:t xml:space="preserve"> entiers </w:t>
                            </w:r>
                            <w:r w:rsidR="009B4881" w:rsidRPr="00155F55">
                              <w:rPr>
                                <w:i/>
                                <w:iCs/>
                                <w:sz w:val="18"/>
                                <w:szCs w:val="20"/>
                                <w:lang w:val="fr-BE"/>
                              </w:rPr>
                              <w:t xml:space="preserve">(habitations, bureaux, </w:t>
                            </w:r>
                            <w:r w:rsidR="000E3ABC" w:rsidRPr="00155F55">
                              <w:rPr>
                                <w:i/>
                                <w:iCs/>
                                <w:sz w:val="18"/>
                                <w:szCs w:val="20"/>
                                <w:lang w:val="fr-BE"/>
                              </w:rPr>
                              <w:t>magasins</w:t>
                            </w:r>
                            <w:r w:rsidR="009B4881" w:rsidRPr="00155F55">
                              <w:rPr>
                                <w:i/>
                                <w:iCs/>
                                <w:sz w:val="18"/>
                                <w:szCs w:val="20"/>
                                <w:lang w:val="fr-BE"/>
                              </w:rPr>
                              <w:t xml:space="preserve"> et autres bâtiments publics, </w:t>
                            </w:r>
                            <w:r w:rsidR="000E3ABC" w:rsidRPr="00155F55">
                              <w:rPr>
                                <w:i/>
                                <w:iCs/>
                                <w:sz w:val="18"/>
                                <w:szCs w:val="20"/>
                                <w:lang w:val="fr-BE"/>
                              </w:rPr>
                              <w:t>in</w:t>
                            </w:r>
                            <w:r w:rsidR="009B4881" w:rsidRPr="00155F55">
                              <w:rPr>
                                <w:i/>
                                <w:iCs/>
                                <w:sz w:val="18"/>
                                <w:szCs w:val="20"/>
                                <w:lang w:val="fr-BE"/>
                              </w:rPr>
                              <w:t xml:space="preserve">dustriels, agricoles, </w:t>
                            </w:r>
                            <w:r w:rsidR="000E3ABC" w:rsidRPr="00155F55">
                              <w:rPr>
                                <w:i/>
                                <w:iCs/>
                                <w:sz w:val="18"/>
                                <w:szCs w:val="20"/>
                                <w:lang w:val="fr-BE"/>
                              </w:rPr>
                              <w:t xml:space="preserve">etc.), la construction d'ouvrages complets de génie civil tels que </w:t>
                            </w:r>
                            <w:r w:rsidR="00FE5808">
                              <w:rPr>
                                <w:i/>
                                <w:iCs/>
                                <w:sz w:val="18"/>
                                <w:szCs w:val="20"/>
                                <w:lang w:val="fr-BE"/>
                              </w:rPr>
                              <w:t xml:space="preserve">les </w:t>
                            </w:r>
                            <w:r w:rsidR="000E3ABC" w:rsidRPr="00155F55">
                              <w:rPr>
                                <w:i/>
                                <w:iCs/>
                                <w:sz w:val="18"/>
                                <w:szCs w:val="20"/>
                                <w:lang w:val="fr-BE"/>
                              </w:rPr>
                              <w:t xml:space="preserve">réseaux routiers ou ferroviaires, les </w:t>
                            </w:r>
                            <w:r w:rsidR="009B4881" w:rsidRPr="00155F55">
                              <w:rPr>
                                <w:i/>
                                <w:iCs/>
                                <w:sz w:val="18"/>
                                <w:szCs w:val="20"/>
                                <w:lang w:val="fr-BE"/>
                              </w:rPr>
                              <w:t>ponts, tunn</w:t>
                            </w:r>
                            <w:r w:rsidR="000E7BC7" w:rsidRPr="00155F55">
                              <w:rPr>
                                <w:i/>
                                <w:iCs/>
                                <w:sz w:val="18"/>
                                <w:szCs w:val="20"/>
                                <w:lang w:val="fr-BE"/>
                              </w:rPr>
                              <w:t>els, ports et aéroports</w:t>
                            </w:r>
                            <w:r w:rsidR="000E3ABC" w:rsidRPr="00155F55">
                              <w:rPr>
                                <w:i/>
                                <w:iCs/>
                                <w:sz w:val="18"/>
                                <w:szCs w:val="20"/>
                                <w:lang w:val="fr-BE"/>
                              </w:rPr>
                              <w:t>, installatio</w:t>
                            </w:r>
                            <w:r w:rsidR="009B4881" w:rsidRPr="00155F55">
                              <w:rPr>
                                <w:i/>
                                <w:iCs/>
                                <w:sz w:val="18"/>
                                <w:szCs w:val="20"/>
                                <w:lang w:val="fr-BE"/>
                              </w:rPr>
                              <w:t xml:space="preserve">ns industrielles ou sportives, </w:t>
                            </w:r>
                            <w:r w:rsidR="000E3ABC" w:rsidRPr="00155F55">
                              <w:rPr>
                                <w:i/>
                                <w:iCs/>
                                <w:sz w:val="18"/>
                                <w:szCs w:val="20"/>
                                <w:lang w:val="fr-BE"/>
                              </w:rPr>
                              <w:t xml:space="preserve">etc. Ces travaux peuvent être réalisés pour compte </w:t>
                            </w:r>
                            <w:r w:rsidR="009B4881" w:rsidRPr="00155F55">
                              <w:rPr>
                                <w:i/>
                                <w:iCs/>
                                <w:sz w:val="18"/>
                                <w:szCs w:val="20"/>
                                <w:lang w:val="fr-BE"/>
                              </w:rPr>
                              <w:t>propre en vue de la vente (promotion imm</w:t>
                            </w:r>
                            <w:r w:rsidR="000E7BC7" w:rsidRPr="00155F55">
                              <w:rPr>
                                <w:i/>
                                <w:iCs/>
                                <w:sz w:val="18"/>
                                <w:szCs w:val="20"/>
                                <w:lang w:val="fr-BE"/>
                              </w:rPr>
                              <w:t>obilière notamment).</w:t>
                            </w:r>
                          </w:p>
                          <w:p w:rsidR="0053627A" w:rsidRPr="00B97116" w:rsidRDefault="0053627A" w:rsidP="0053627A">
                            <w:pPr>
                              <w:spacing w:after="120" w:line="276" w:lineRule="auto"/>
                              <w:jc w:val="both"/>
                              <w:rPr>
                                <w:b/>
                                <w:bCs/>
                                <w:i/>
                                <w:iCs/>
                                <w:sz w:val="18"/>
                                <w:szCs w:val="20"/>
                              </w:rPr>
                            </w:pPr>
                            <w:r w:rsidRPr="00B97116">
                              <w:rPr>
                                <w:b/>
                                <w:bCs/>
                                <w:i/>
                                <w:iCs/>
                                <w:sz w:val="18"/>
                                <w:szCs w:val="20"/>
                              </w:rPr>
                              <w:t>Modalité de tirage de l’échantillon</w:t>
                            </w:r>
                          </w:p>
                          <w:p w:rsidR="0053627A" w:rsidRPr="00B97116" w:rsidRDefault="0053627A" w:rsidP="0053627A">
                            <w:pPr>
                              <w:spacing w:after="120" w:line="276" w:lineRule="auto"/>
                              <w:jc w:val="both"/>
                              <w:rPr>
                                <w:i/>
                                <w:iCs/>
                                <w:sz w:val="18"/>
                                <w:szCs w:val="20"/>
                                <w:lang w:val="fr-BE"/>
                              </w:rPr>
                            </w:pPr>
                            <w:r w:rsidRPr="00155F55">
                              <w:rPr>
                                <w:i/>
                                <w:iCs/>
                                <w:sz w:val="18"/>
                                <w:szCs w:val="20"/>
                                <w:lang w:val="fr-BE"/>
                              </w:rPr>
                              <w:t>Pour le tirage de l’échantillon, il est fait recours aux méthodes non probabilistes subjectives (choix raisonné) et basées sur le seuil d’inclusion. La technique utilisée est celle de l’exhaustif tronqué (</w:t>
                            </w:r>
                            <w:proofErr w:type="spellStart"/>
                            <w:r w:rsidRPr="00155F55">
                              <w:rPr>
                                <w:i/>
                                <w:iCs/>
                                <w:sz w:val="18"/>
                                <w:szCs w:val="20"/>
                                <w:lang w:val="fr-BE"/>
                              </w:rPr>
                              <w:t>cut</w:t>
                            </w:r>
                            <w:proofErr w:type="spellEnd"/>
                            <w:r w:rsidRPr="00155F55">
                              <w:rPr>
                                <w:i/>
                                <w:iCs/>
                                <w:sz w:val="18"/>
                                <w:szCs w:val="20"/>
                                <w:lang w:val="fr-BE"/>
                              </w:rPr>
                              <w:t>‐off) visant à assurer la c</w:t>
                            </w:r>
                            <w:r w:rsidR="00B97116" w:rsidRPr="00155F55">
                              <w:rPr>
                                <w:i/>
                                <w:iCs/>
                                <w:sz w:val="18"/>
                                <w:szCs w:val="20"/>
                                <w:lang w:val="fr-BE"/>
                              </w:rPr>
                              <w:t>ouverture maximale du secteur</w:t>
                            </w:r>
                            <w:r w:rsidRPr="00155F55">
                              <w:rPr>
                                <w:i/>
                                <w:iCs/>
                                <w:sz w:val="18"/>
                                <w:szCs w:val="20"/>
                                <w:lang w:val="fr-BE"/>
                              </w:rPr>
                              <w:t xml:space="preserve">. La méthode consiste à faire un </w:t>
                            </w:r>
                            <w:r w:rsidRPr="00B97116">
                              <w:rPr>
                                <w:i/>
                                <w:iCs/>
                                <w:sz w:val="18"/>
                                <w:szCs w:val="20"/>
                                <w:lang w:val="fr-BE"/>
                              </w:rPr>
                              <w:t xml:space="preserve">tri des entreprises par taille décroissante du chiffre d’affaires au niveau de chaque sous-branche d’activités. Ensuite, le calcul des proportions du CA des entreprises et celui des proportions cumulées est effectué. Il est fixé un seuil de pourcentage cumulé de CA, une borne au-delà de laquelle toutes les entreprises sont retenues. Cependant, pour une meilleure représentativité de l’échantillon, certaines entreprises qui </w:t>
                            </w:r>
                            <w:r w:rsidR="00FE5808">
                              <w:rPr>
                                <w:i/>
                                <w:iCs/>
                                <w:sz w:val="18"/>
                                <w:szCs w:val="20"/>
                                <w:lang w:val="fr-BE"/>
                              </w:rPr>
                              <w:t xml:space="preserve"> se </w:t>
                            </w:r>
                            <w:r w:rsidRPr="00B97116">
                              <w:rPr>
                                <w:i/>
                                <w:iCs/>
                                <w:sz w:val="18"/>
                                <w:szCs w:val="20"/>
                                <w:lang w:val="fr-BE"/>
                              </w:rPr>
                              <w:t xml:space="preserve">situent en deçà du seuil sont repêchées.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Une mise à jour de l’échantillon est effectuée chaque année en tenant compte des modifications dans le tissu industriel. </w:t>
                            </w:r>
                          </w:p>
                          <w:p w:rsidR="0053627A" w:rsidRPr="00155F55" w:rsidRDefault="0053627A" w:rsidP="0053627A">
                            <w:pPr>
                              <w:spacing w:after="120" w:line="276" w:lineRule="auto"/>
                              <w:jc w:val="both"/>
                              <w:rPr>
                                <w:i/>
                                <w:iCs/>
                                <w:sz w:val="18"/>
                                <w:szCs w:val="20"/>
                                <w:lang w:val="fr-BE"/>
                              </w:rPr>
                            </w:pPr>
                            <w:r w:rsidRPr="00155F55">
                              <w:rPr>
                                <w:i/>
                                <w:iCs/>
                                <w:sz w:val="18"/>
                                <w:szCs w:val="20"/>
                                <w:lang w:val="fr-BE"/>
                              </w:rPr>
                              <w:t>La base de sondage utilisée est celle du Centre Unique de Collecte de l’Information (CUCI) de l’ANSD. Celle-ci est une liste exhaustive de toutes les entreprises du secteur moderne ayant déposé un état financier.</w:t>
                            </w:r>
                          </w:p>
                          <w:p w:rsidR="0053627A" w:rsidRPr="00B97116" w:rsidRDefault="0053627A" w:rsidP="0053627A">
                            <w:pPr>
                              <w:spacing w:after="120" w:line="276" w:lineRule="auto"/>
                              <w:jc w:val="both"/>
                              <w:rPr>
                                <w:b/>
                                <w:bCs/>
                                <w:i/>
                                <w:iCs/>
                                <w:sz w:val="18"/>
                                <w:szCs w:val="20"/>
                              </w:rPr>
                            </w:pPr>
                            <w:r w:rsidRPr="00B97116">
                              <w:rPr>
                                <w:b/>
                                <w:bCs/>
                                <w:i/>
                                <w:iCs/>
                                <w:sz w:val="18"/>
                                <w:szCs w:val="20"/>
                              </w:rPr>
                              <w:t>Modalité de calcul des indices</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sont calculés de façon hiérarchique à partir des indices élémentaires des </w:t>
                            </w:r>
                            <w:r w:rsidR="00B97116" w:rsidRPr="00B97116">
                              <w:rPr>
                                <w:i/>
                                <w:iCs/>
                                <w:sz w:val="18"/>
                                <w:szCs w:val="20"/>
                                <w:lang w:val="fr-BE"/>
                              </w:rPr>
                              <w:t xml:space="preserve">gammes d’activités </w:t>
                            </w:r>
                            <w:r w:rsidRPr="00B97116">
                              <w:rPr>
                                <w:i/>
                                <w:iCs/>
                                <w:sz w:val="18"/>
                                <w:szCs w:val="20"/>
                                <w:lang w:val="fr-BE"/>
                              </w:rPr>
                              <w:t xml:space="preserve">jusqu’à l’indice d’ensemble. Selon la nature des formules utilisées dans le calcul, deux types d’indices sont identifiés : les indices élémentaires des gammes et les indices de niveaux agrégés.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élémentaires représentent le rapport chiffre d’affaires  au cours du trimestre courant à celui correspondant à la moyenne de l’année de base ou de référence.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aux niveaux agrégés de la nomenclature sont calculés à partir de la formule de l’indice de </w:t>
                            </w:r>
                            <w:proofErr w:type="spellStart"/>
                            <w:r w:rsidRPr="00B97116">
                              <w:rPr>
                                <w:i/>
                                <w:iCs/>
                                <w:sz w:val="18"/>
                                <w:szCs w:val="20"/>
                                <w:lang w:val="fr-BE"/>
                              </w:rPr>
                              <w:t>Laspeyres</w:t>
                            </w:r>
                            <w:proofErr w:type="spellEnd"/>
                            <w:r w:rsidRPr="00B97116">
                              <w:rPr>
                                <w:i/>
                                <w:iCs/>
                                <w:sz w:val="18"/>
                                <w:szCs w:val="20"/>
                                <w:lang w:val="fr-BE"/>
                              </w:rPr>
                              <w:t>. Ils concernent les indices classes, groupes, divisions, et d’ensemble. Ces indices sont obtenus par une moyenne arithmétique pondérée des sous indices qui les composent.</w:t>
                            </w:r>
                          </w:p>
                          <w:p w:rsidR="0053627A" w:rsidRPr="00B97116" w:rsidRDefault="0053627A" w:rsidP="0053627A">
                            <w:pPr>
                              <w:spacing w:before="120" w:after="120" w:line="276" w:lineRule="auto"/>
                              <w:jc w:val="both"/>
                              <w:rPr>
                                <w:sz w:val="20"/>
                              </w:rPr>
                            </w:pPr>
                            <w:r w:rsidRPr="00B97116">
                              <w:rPr>
                                <w:i/>
                                <w:iCs/>
                                <w:sz w:val="18"/>
                                <w:szCs w:val="20"/>
                                <w:lang w:val="fr-BE"/>
                              </w:rPr>
                              <w:t xml:space="preserve"> Les nouvelles recommandations internationales de 2008 requièrent l’utilisation d’un système de double pondération dynamique avec comme variables la valeur ajoutée et les chiffres d’affaires. Les chiffres d’affaires sont utilisés jusqu’au niveau classe (catégorie à quatre chiffres de la NAEMA rev1) et les valeurs ajoutées à partir du niveau groupe (catégorie à trois chiffres de la NAEMA rev1). Chaque année, les pondérations sont actualisées, par changement de la période de référence.</w:t>
                            </w:r>
                          </w:p>
                          <w:p w:rsidR="0053627A" w:rsidRPr="00B97116" w:rsidRDefault="0053627A" w:rsidP="0053627A">
                            <w:pPr>
                              <w:spacing w:after="120" w:line="276" w:lineRule="auto"/>
                              <w:jc w:val="both"/>
                              <w:rPr>
                                <w:b/>
                                <w:bCs/>
                                <w:i/>
                                <w:iCs/>
                                <w:sz w:val="18"/>
                                <w:szCs w:val="20"/>
                              </w:rPr>
                            </w:pPr>
                            <w:r w:rsidRPr="00B97116">
                              <w:rPr>
                                <w:b/>
                                <w:bCs/>
                                <w:i/>
                                <w:iCs/>
                                <w:sz w:val="18"/>
                                <w:szCs w:val="20"/>
                              </w:rPr>
                              <w:t>Diffusion</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 Les indices sont présentés dans un tableau au niveau branche et sous-branche selon la nomenclature des activités et produits des Etats membres d’AFRISTAT. Ce tableau comporte les indices du </w:t>
                            </w:r>
                            <w:r w:rsidR="006E49A6">
                              <w:rPr>
                                <w:i/>
                                <w:iCs/>
                                <w:sz w:val="18"/>
                                <w:szCs w:val="20"/>
                                <w:lang w:val="fr-BE"/>
                              </w:rPr>
                              <w:t>trimestre</w:t>
                            </w:r>
                            <w:r w:rsidRPr="00B97116">
                              <w:rPr>
                                <w:i/>
                                <w:iCs/>
                                <w:sz w:val="18"/>
                                <w:szCs w:val="20"/>
                                <w:lang w:val="fr-BE"/>
                              </w:rPr>
                              <w:t xml:space="preserve">, les indices des </w:t>
                            </w:r>
                            <w:r w:rsidR="006E49A6">
                              <w:rPr>
                                <w:i/>
                                <w:iCs/>
                                <w:sz w:val="18"/>
                                <w:szCs w:val="20"/>
                                <w:lang w:val="fr-BE"/>
                              </w:rPr>
                              <w:t>trimestres</w:t>
                            </w:r>
                            <w:r w:rsidRPr="00B97116">
                              <w:rPr>
                                <w:i/>
                                <w:iCs/>
                                <w:sz w:val="18"/>
                                <w:szCs w:val="20"/>
                                <w:lang w:val="fr-BE"/>
                              </w:rPr>
                              <w:t xml:space="preserve"> précédents de l’année en cours, les indices du même </w:t>
                            </w:r>
                            <w:r w:rsidR="006E49A6">
                              <w:rPr>
                                <w:i/>
                                <w:iCs/>
                                <w:sz w:val="18"/>
                                <w:szCs w:val="20"/>
                                <w:lang w:val="fr-BE"/>
                              </w:rPr>
                              <w:t>trimestre</w:t>
                            </w:r>
                            <w:r w:rsidRPr="00B97116">
                              <w:rPr>
                                <w:i/>
                                <w:iCs/>
                                <w:sz w:val="18"/>
                                <w:szCs w:val="20"/>
                                <w:lang w:val="fr-BE"/>
                              </w:rPr>
                              <w:t xml:space="preserve"> de l’année précédente, les variations entre le </w:t>
                            </w:r>
                            <w:r w:rsidR="006E49A6">
                              <w:rPr>
                                <w:i/>
                                <w:iCs/>
                                <w:sz w:val="18"/>
                                <w:szCs w:val="20"/>
                                <w:lang w:val="fr-BE"/>
                              </w:rPr>
                              <w:t>trimestre</w:t>
                            </w:r>
                            <w:r w:rsidRPr="00B97116">
                              <w:rPr>
                                <w:i/>
                                <w:iCs/>
                                <w:sz w:val="18"/>
                                <w:szCs w:val="20"/>
                                <w:lang w:val="fr-BE"/>
                              </w:rPr>
                              <w:t xml:space="preserve"> courant et le même </w:t>
                            </w:r>
                            <w:r w:rsidR="006E49A6">
                              <w:rPr>
                                <w:i/>
                                <w:iCs/>
                                <w:sz w:val="18"/>
                                <w:szCs w:val="20"/>
                                <w:lang w:val="fr-BE"/>
                              </w:rPr>
                              <w:t>trimestre</w:t>
                            </w:r>
                            <w:r w:rsidRPr="00B97116">
                              <w:rPr>
                                <w:i/>
                                <w:iCs/>
                                <w:sz w:val="18"/>
                                <w:szCs w:val="20"/>
                                <w:lang w:val="fr-BE"/>
                              </w:rPr>
                              <w:t xml:space="preserve"> de l’année précédente. Les indices sont disponibles au plus tard </w:t>
                            </w:r>
                            <w:r w:rsidR="006E49A6">
                              <w:rPr>
                                <w:i/>
                                <w:iCs/>
                                <w:sz w:val="18"/>
                                <w:szCs w:val="20"/>
                                <w:lang w:val="fr-BE"/>
                              </w:rPr>
                              <w:t>75</w:t>
                            </w:r>
                            <w:r w:rsidRPr="00B97116">
                              <w:rPr>
                                <w:i/>
                                <w:iCs/>
                                <w:sz w:val="18"/>
                                <w:szCs w:val="20"/>
                                <w:lang w:val="fr-BE"/>
                              </w:rPr>
                              <w:t xml:space="preserve"> jours après la fin du </w:t>
                            </w:r>
                            <w:r w:rsidR="00FE5808">
                              <w:rPr>
                                <w:i/>
                                <w:iCs/>
                                <w:sz w:val="18"/>
                                <w:szCs w:val="20"/>
                                <w:lang w:val="fr-BE"/>
                              </w:rPr>
                              <w:t>trimestre</w:t>
                            </w:r>
                            <w:r w:rsidRPr="00B97116">
                              <w:rPr>
                                <w:i/>
                                <w:iCs/>
                                <w:sz w:val="18"/>
                                <w:szCs w:val="20"/>
                                <w:lang w:val="fr-BE"/>
                              </w:rPr>
                              <w:t xml:space="preserve"> sous revue. Ils sont accessibles sur le site internet de l’Agence </w:t>
                            </w:r>
                            <w:r w:rsidRPr="00155F55">
                              <w:rPr>
                                <w:i/>
                                <w:iCs/>
                                <w:sz w:val="18"/>
                                <w:szCs w:val="20"/>
                                <w:lang w:val="fr-BE"/>
                              </w:rPr>
                              <w:t xml:space="preserve">: </w:t>
                            </w:r>
                            <w:hyperlink r:id="rId11" w:history="1">
                              <w:r w:rsidRPr="00B97116">
                                <w:rPr>
                                  <w:rStyle w:val="Lienhypertexte"/>
                                  <w:bCs/>
                                  <w:i/>
                                  <w:iCs/>
                                  <w:sz w:val="18"/>
                                  <w:szCs w:val="20"/>
                                  <w:lang w:val="fr-BE"/>
                                </w:rPr>
                                <w:t>www.ansd.sn</w:t>
                              </w:r>
                            </w:hyperlink>
                            <w:r w:rsidRPr="00B97116">
                              <w:rPr>
                                <w:i/>
                                <w:iCs/>
                                <w:sz w:val="18"/>
                                <w:szCs w:val="20"/>
                                <w:lang w:val="fr-BE"/>
                              </w:rPr>
                              <w:t xml:space="preserve">. </w:t>
                            </w:r>
                          </w:p>
                          <w:p w:rsidR="0053627A" w:rsidRPr="00B97116" w:rsidRDefault="0053627A" w:rsidP="0053627A">
                            <w:pPr>
                              <w:jc w:val="both"/>
                              <w:rPr>
                                <w:bCs/>
                                <w:i/>
                                <w:iCs/>
                                <w:sz w:val="18"/>
                                <w:szCs w:val="20"/>
                                <w:lang w:val="fr-BE"/>
                              </w:rPr>
                            </w:pPr>
                          </w:p>
                          <w:p w:rsidR="0053627A" w:rsidRPr="00B97116" w:rsidRDefault="0053627A" w:rsidP="0053627A">
                            <w:pPr>
                              <w:jc w:val="both"/>
                              <w:rPr>
                                <w:bCs/>
                                <w:i/>
                                <w:iCs/>
                                <w:sz w:val="18"/>
                                <w:szCs w:val="20"/>
                              </w:rPr>
                            </w:pPr>
                          </w:p>
                          <w:p w:rsidR="0053627A" w:rsidRPr="00B97116" w:rsidRDefault="0053627A" w:rsidP="0053627A">
                            <w:pPr>
                              <w:jc w:val="both"/>
                              <w:rPr>
                                <w:bCs/>
                                <w:i/>
                                <w:iCs/>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5F421" id="Text Box 2" o:spid="_x0000_s1027" type="#_x0000_t202" style="position:absolute;margin-left:.55pt;margin-top:2.35pt;width:450pt;height:54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" strokeweight="3pt">
                <v:stroke linestyle="thinThin"/>
                <v:textbox>
                  <w:txbxContent>
                    <w:p w:rsidR="0053627A" w:rsidRPr="00B97116" w:rsidRDefault="0053627A" w:rsidP="0053627A">
                      <w:pPr>
                        <w:spacing w:after="120" w:line="276" w:lineRule="auto"/>
                        <w:jc w:val="both"/>
                        <w:rPr>
                          <w:b/>
                          <w:bCs/>
                          <w:i/>
                          <w:iCs/>
                          <w:sz w:val="18"/>
                          <w:szCs w:val="20"/>
                        </w:rPr>
                      </w:pPr>
                      <w:r w:rsidRPr="00B97116">
                        <w:rPr>
                          <w:b/>
                          <w:bCs/>
                          <w:i/>
                          <w:iCs/>
                          <w:sz w:val="18"/>
                          <w:szCs w:val="20"/>
                        </w:rPr>
                        <w:t>Champ couvert</w:t>
                      </w:r>
                    </w:p>
                    <w:p w:rsidR="000E3ABC" w:rsidRPr="00155F55" w:rsidRDefault="0053627A" w:rsidP="000E3ABC">
                      <w:pPr>
                        <w:spacing w:after="120" w:line="276" w:lineRule="auto"/>
                        <w:jc w:val="both"/>
                        <w:rPr>
                          <w:i/>
                          <w:iCs/>
                          <w:sz w:val="18"/>
                          <w:szCs w:val="20"/>
                          <w:lang w:val="fr-BE"/>
                        </w:rPr>
                      </w:pPr>
                      <w:r w:rsidRPr="00155F55">
                        <w:rPr>
                          <w:i/>
                          <w:iCs/>
                          <w:sz w:val="18"/>
                          <w:szCs w:val="20"/>
                          <w:lang w:val="fr-BE"/>
                        </w:rPr>
                        <w:t xml:space="preserve">Le champ d’application de l’ICAC suivant les nouvelles recommandations se définit par rapport à la CITI rev4/NAEMA rev1. </w:t>
                      </w:r>
                      <w:r w:rsidR="000E3ABC" w:rsidRPr="00155F55">
                        <w:rPr>
                          <w:i/>
                          <w:iCs/>
                          <w:sz w:val="18"/>
                          <w:szCs w:val="20"/>
                          <w:lang w:val="fr-BE"/>
                        </w:rPr>
                        <w:t>Ainsi, l’ICAC couvre</w:t>
                      </w:r>
                      <w:r w:rsidR="009B4881" w:rsidRPr="00155F55">
                        <w:rPr>
                          <w:i/>
                          <w:iCs/>
                          <w:sz w:val="18"/>
                          <w:szCs w:val="20"/>
                          <w:lang w:val="fr-BE"/>
                        </w:rPr>
                        <w:t xml:space="preserve"> la </w:t>
                      </w:r>
                      <w:r w:rsidR="000E3ABC" w:rsidRPr="00155F55">
                        <w:rPr>
                          <w:i/>
                          <w:iCs/>
                          <w:sz w:val="18"/>
                          <w:szCs w:val="20"/>
                          <w:lang w:val="fr-BE"/>
                        </w:rPr>
                        <w:t>const</w:t>
                      </w:r>
                      <w:r w:rsidR="009B4881" w:rsidRPr="00155F55">
                        <w:rPr>
                          <w:i/>
                          <w:iCs/>
                          <w:sz w:val="18"/>
                          <w:szCs w:val="20"/>
                          <w:lang w:val="fr-BE"/>
                        </w:rPr>
                        <w:t>ruction de bâtiments</w:t>
                      </w:r>
                      <w:r w:rsidR="000E3ABC" w:rsidRPr="00155F55">
                        <w:rPr>
                          <w:i/>
                          <w:iCs/>
                          <w:sz w:val="18"/>
                          <w:szCs w:val="20"/>
                          <w:lang w:val="fr-BE"/>
                        </w:rPr>
                        <w:t xml:space="preserve"> entiers </w:t>
                      </w:r>
                      <w:r w:rsidR="009B4881" w:rsidRPr="00155F55">
                        <w:rPr>
                          <w:i/>
                          <w:iCs/>
                          <w:sz w:val="18"/>
                          <w:szCs w:val="20"/>
                          <w:lang w:val="fr-BE"/>
                        </w:rPr>
                        <w:t xml:space="preserve">(habitations, bureaux, </w:t>
                      </w:r>
                      <w:r w:rsidR="000E3ABC" w:rsidRPr="00155F55">
                        <w:rPr>
                          <w:i/>
                          <w:iCs/>
                          <w:sz w:val="18"/>
                          <w:szCs w:val="20"/>
                          <w:lang w:val="fr-BE"/>
                        </w:rPr>
                        <w:t>magasins</w:t>
                      </w:r>
                      <w:r w:rsidR="009B4881" w:rsidRPr="00155F55">
                        <w:rPr>
                          <w:i/>
                          <w:iCs/>
                          <w:sz w:val="18"/>
                          <w:szCs w:val="20"/>
                          <w:lang w:val="fr-BE"/>
                        </w:rPr>
                        <w:t xml:space="preserve"> et autres bâtiments publics, </w:t>
                      </w:r>
                      <w:r w:rsidR="000E3ABC" w:rsidRPr="00155F55">
                        <w:rPr>
                          <w:i/>
                          <w:iCs/>
                          <w:sz w:val="18"/>
                          <w:szCs w:val="20"/>
                          <w:lang w:val="fr-BE"/>
                        </w:rPr>
                        <w:t>in</w:t>
                      </w:r>
                      <w:r w:rsidR="009B4881" w:rsidRPr="00155F55">
                        <w:rPr>
                          <w:i/>
                          <w:iCs/>
                          <w:sz w:val="18"/>
                          <w:szCs w:val="20"/>
                          <w:lang w:val="fr-BE"/>
                        </w:rPr>
                        <w:t xml:space="preserve">dustriels, agricoles, </w:t>
                      </w:r>
                      <w:r w:rsidR="000E3ABC" w:rsidRPr="00155F55">
                        <w:rPr>
                          <w:i/>
                          <w:iCs/>
                          <w:sz w:val="18"/>
                          <w:szCs w:val="20"/>
                          <w:lang w:val="fr-BE"/>
                        </w:rPr>
                        <w:t xml:space="preserve">etc.), la construction d'ouvrages complets de génie civil tels que </w:t>
                      </w:r>
                      <w:r w:rsidR="00FE5808">
                        <w:rPr>
                          <w:i/>
                          <w:iCs/>
                          <w:sz w:val="18"/>
                          <w:szCs w:val="20"/>
                          <w:lang w:val="fr-BE"/>
                        </w:rPr>
                        <w:t xml:space="preserve">les </w:t>
                      </w:r>
                      <w:r w:rsidR="000E3ABC" w:rsidRPr="00155F55">
                        <w:rPr>
                          <w:i/>
                          <w:iCs/>
                          <w:sz w:val="18"/>
                          <w:szCs w:val="20"/>
                          <w:lang w:val="fr-BE"/>
                        </w:rPr>
                        <w:t xml:space="preserve">réseaux routiers ou ferroviaires, les </w:t>
                      </w:r>
                      <w:r w:rsidR="009B4881" w:rsidRPr="00155F55">
                        <w:rPr>
                          <w:i/>
                          <w:iCs/>
                          <w:sz w:val="18"/>
                          <w:szCs w:val="20"/>
                          <w:lang w:val="fr-BE"/>
                        </w:rPr>
                        <w:t>ponts, tunn</w:t>
                      </w:r>
                      <w:r w:rsidR="000E7BC7" w:rsidRPr="00155F55">
                        <w:rPr>
                          <w:i/>
                          <w:iCs/>
                          <w:sz w:val="18"/>
                          <w:szCs w:val="20"/>
                          <w:lang w:val="fr-BE"/>
                        </w:rPr>
                        <w:t>els, ports et aéroports</w:t>
                      </w:r>
                      <w:r w:rsidR="000E3ABC" w:rsidRPr="00155F55">
                        <w:rPr>
                          <w:i/>
                          <w:iCs/>
                          <w:sz w:val="18"/>
                          <w:szCs w:val="20"/>
                          <w:lang w:val="fr-BE"/>
                        </w:rPr>
                        <w:t>, installatio</w:t>
                      </w:r>
                      <w:r w:rsidR="009B4881" w:rsidRPr="00155F55">
                        <w:rPr>
                          <w:i/>
                          <w:iCs/>
                          <w:sz w:val="18"/>
                          <w:szCs w:val="20"/>
                          <w:lang w:val="fr-BE"/>
                        </w:rPr>
                        <w:t xml:space="preserve">ns industrielles ou sportives, </w:t>
                      </w:r>
                      <w:r w:rsidR="000E3ABC" w:rsidRPr="00155F55">
                        <w:rPr>
                          <w:i/>
                          <w:iCs/>
                          <w:sz w:val="18"/>
                          <w:szCs w:val="20"/>
                          <w:lang w:val="fr-BE"/>
                        </w:rPr>
                        <w:t xml:space="preserve">etc. Ces travaux peuvent être réalisés pour compte </w:t>
                      </w:r>
                      <w:r w:rsidR="009B4881" w:rsidRPr="00155F55">
                        <w:rPr>
                          <w:i/>
                          <w:iCs/>
                          <w:sz w:val="18"/>
                          <w:szCs w:val="20"/>
                          <w:lang w:val="fr-BE"/>
                        </w:rPr>
                        <w:t>propre en vue de la vente (promotion imm</w:t>
                      </w:r>
                      <w:r w:rsidR="000E7BC7" w:rsidRPr="00155F55">
                        <w:rPr>
                          <w:i/>
                          <w:iCs/>
                          <w:sz w:val="18"/>
                          <w:szCs w:val="20"/>
                          <w:lang w:val="fr-BE"/>
                        </w:rPr>
                        <w:t>obilière notamment).</w:t>
                      </w:r>
                    </w:p>
                    <w:p w:rsidR="0053627A" w:rsidRPr="00B97116" w:rsidRDefault="0053627A" w:rsidP="0053627A">
                      <w:pPr>
                        <w:spacing w:after="120" w:line="276" w:lineRule="auto"/>
                        <w:jc w:val="both"/>
                        <w:rPr>
                          <w:b/>
                          <w:bCs/>
                          <w:i/>
                          <w:iCs/>
                          <w:sz w:val="18"/>
                          <w:szCs w:val="20"/>
                        </w:rPr>
                      </w:pPr>
                      <w:r w:rsidRPr="00B97116">
                        <w:rPr>
                          <w:b/>
                          <w:bCs/>
                          <w:i/>
                          <w:iCs/>
                          <w:sz w:val="18"/>
                          <w:szCs w:val="20"/>
                        </w:rPr>
                        <w:t>Modalité de tirage de l’échantillon</w:t>
                      </w:r>
                    </w:p>
                    <w:p w:rsidR="0053627A" w:rsidRPr="00B97116" w:rsidRDefault="0053627A" w:rsidP="0053627A">
                      <w:pPr>
                        <w:spacing w:after="120" w:line="276" w:lineRule="auto"/>
                        <w:jc w:val="both"/>
                        <w:rPr>
                          <w:i/>
                          <w:iCs/>
                          <w:sz w:val="18"/>
                          <w:szCs w:val="20"/>
                          <w:lang w:val="fr-BE"/>
                        </w:rPr>
                      </w:pPr>
                      <w:r w:rsidRPr="00155F55">
                        <w:rPr>
                          <w:i/>
                          <w:iCs/>
                          <w:sz w:val="18"/>
                          <w:szCs w:val="20"/>
                          <w:lang w:val="fr-BE"/>
                        </w:rPr>
                        <w:t>Pour le tirage de l’échantillon, il est fait recours aux méthodes non probabilistes subjectives (choix raisonné) et basées sur le seuil d’inclusion. La technique utilisée est celle de l’exhaustif tronqué (</w:t>
                      </w:r>
                      <w:proofErr w:type="spellStart"/>
                      <w:r w:rsidRPr="00155F55">
                        <w:rPr>
                          <w:i/>
                          <w:iCs/>
                          <w:sz w:val="18"/>
                          <w:szCs w:val="20"/>
                          <w:lang w:val="fr-BE"/>
                        </w:rPr>
                        <w:t>cut</w:t>
                      </w:r>
                      <w:proofErr w:type="spellEnd"/>
                      <w:r w:rsidRPr="00155F55">
                        <w:rPr>
                          <w:i/>
                          <w:iCs/>
                          <w:sz w:val="18"/>
                          <w:szCs w:val="20"/>
                          <w:lang w:val="fr-BE"/>
                        </w:rPr>
                        <w:t>‐off) visant à assurer la c</w:t>
                      </w:r>
                      <w:r w:rsidR="00B97116" w:rsidRPr="00155F55">
                        <w:rPr>
                          <w:i/>
                          <w:iCs/>
                          <w:sz w:val="18"/>
                          <w:szCs w:val="20"/>
                          <w:lang w:val="fr-BE"/>
                        </w:rPr>
                        <w:t>ouverture maximale du secteur</w:t>
                      </w:r>
                      <w:r w:rsidRPr="00155F55">
                        <w:rPr>
                          <w:i/>
                          <w:iCs/>
                          <w:sz w:val="18"/>
                          <w:szCs w:val="20"/>
                          <w:lang w:val="fr-BE"/>
                        </w:rPr>
                        <w:t xml:space="preserve">. La méthode consiste à faire un </w:t>
                      </w:r>
                      <w:r w:rsidRPr="00B97116">
                        <w:rPr>
                          <w:i/>
                          <w:iCs/>
                          <w:sz w:val="18"/>
                          <w:szCs w:val="20"/>
                          <w:lang w:val="fr-BE"/>
                        </w:rPr>
                        <w:t xml:space="preserve">tri des entreprises par taille décroissante du chiffre d’affaires au niveau de chaque sous-branche d’activités. Ensuite, le calcul des proportions du CA des entreprises et celui des proportions cumulées est effectué. Il est fixé un seuil de pourcentage cumulé de CA, une borne au-delà de laquelle toutes les entreprises sont retenues. Cependant, pour une meilleure représentativité de l’échantillon, certaines entreprises qui </w:t>
                      </w:r>
                      <w:r w:rsidR="00FE5808">
                        <w:rPr>
                          <w:i/>
                          <w:iCs/>
                          <w:sz w:val="18"/>
                          <w:szCs w:val="20"/>
                          <w:lang w:val="fr-BE"/>
                        </w:rPr>
                        <w:t xml:space="preserve"> se </w:t>
                      </w:r>
                      <w:r w:rsidRPr="00B97116">
                        <w:rPr>
                          <w:i/>
                          <w:iCs/>
                          <w:sz w:val="18"/>
                          <w:szCs w:val="20"/>
                          <w:lang w:val="fr-BE"/>
                        </w:rPr>
                        <w:t xml:space="preserve">situent en deçà du seuil sont repêchées.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Une mise à jour de l’échantillon est effectuée chaque année en tenant compte des modifications dans le tissu industriel. </w:t>
                      </w:r>
                    </w:p>
                    <w:p w:rsidR="0053627A" w:rsidRPr="00155F55" w:rsidRDefault="0053627A" w:rsidP="0053627A">
                      <w:pPr>
                        <w:spacing w:after="120" w:line="276" w:lineRule="auto"/>
                        <w:jc w:val="both"/>
                        <w:rPr>
                          <w:i/>
                          <w:iCs/>
                          <w:sz w:val="18"/>
                          <w:szCs w:val="20"/>
                          <w:lang w:val="fr-BE"/>
                        </w:rPr>
                      </w:pPr>
                      <w:r w:rsidRPr="00155F55">
                        <w:rPr>
                          <w:i/>
                          <w:iCs/>
                          <w:sz w:val="18"/>
                          <w:szCs w:val="20"/>
                          <w:lang w:val="fr-BE"/>
                        </w:rPr>
                        <w:t>La base de sondage utilisée est celle du Centre Unique de Collecte de l’Information (CUCI) de l’ANSD. Celle-ci est une liste exhaustive de toutes les entreprises du secteur moderne ayant déposé un état financier.</w:t>
                      </w:r>
                    </w:p>
                    <w:p w:rsidR="0053627A" w:rsidRPr="00B97116" w:rsidRDefault="0053627A" w:rsidP="0053627A">
                      <w:pPr>
                        <w:spacing w:after="120" w:line="276" w:lineRule="auto"/>
                        <w:jc w:val="both"/>
                        <w:rPr>
                          <w:b/>
                          <w:bCs/>
                          <w:i/>
                          <w:iCs/>
                          <w:sz w:val="18"/>
                          <w:szCs w:val="20"/>
                        </w:rPr>
                      </w:pPr>
                      <w:r w:rsidRPr="00B97116">
                        <w:rPr>
                          <w:b/>
                          <w:bCs/>
                          <w:i/>
                          <w:iCs/>
                          <w:sz w:val="18"/>
                          <w:szCs w:val="20"/>
                        </w:rPr>
                        <w:t>Modalité de calcul des indices</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sont calculés de façon hiérarchique à partir des indices élémentaires des </w:t>
                      </w:r>
                      <w:r w:rsidR="00B97116" w:rsidRPr="00B97116">
                        <w:rPr>
                          <w:i/>
                          <w:iCs/>
                          <w:sz w:val="18"/>
                          <w:szCs w:val="20"/>
                          <w:lang w:val="fr-BE"/>
                        </w:rPr>
                        <w:t xml:space="preserve">gammes d’activités </w:t>
                      </w:r>
                      <w:r w:rsidRPr="00B97116">
                        <w:rPr>
                          <w:i/>
                          <w:iCs/>
                          <w:sz w:val="18"/>
                          <w:szCs w:val="20"/>
                          <w:lang w:val="fr-BE"/>
                        </w:rPr>
                        <w:t xml:space="preserve">jusqu’à l’indice d’ensemble. Selon la nature des formules utilisées dans le calcul, deux types d’indices sont identifiés : les indices élémentaires des gammes et les indices de niveaux agrégés.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élémentaires représentent le rapport chiffre d’affaires  au cours du trimestre courant à celui correspondant à la moyenne de l’année de base ou de référence. </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Les indices aux niveaux agrégés de la nomenclature sont calculés à partir de la formule de l’indice de </w:t>
                      </w:r>
                      <w:proofErr w:type="spellStart"/>
                      <w:r w:rsidRPr="00B97116">
                        <w:rPr>
                          <w:i/>
                          <w:iCs/>
                          <w:sz w:val="18"/>
                          <w:szCs w:val="20"/>
                          <w:lang w:val="fr-BE"/>
                        </w:rPr>
                        <w:t>Laspeyres</w:t>
                      </w:r>
                      <w:proofErr w:type="spellEnd"/>
                      <w:r w:rsidRPr="00B97116">
                        <w:rPr>
                          <w:i/>
                          <w:iCs/>
                          <w:sz w:val="18"/>
                          <w:szCs w:val="20"/>
                          <w:lang w:val="fr-BE"/>
                        </w:rPr>
                        <w:t>. Ils concernent les indices classes, groupes, divisions, et d’ensemble. Ces indices sont obtenus par une moyenne arithmétique pondérée des sous indices qui les composent.</w:t>
                      </w:r>
                    </w:p>
                    <w:p w:rsidR="0053627A" w:rsidRPr="00B97116" w:rsidRDefault="0053627A" w:rsidP="0053627A">
                      <w:pPr>
                        <w:spacing w:before="120" w:after="120" w:line="276" w:lineRule="auto"/>
                        <w:jc w:val="both"/>
                        <w:rPr>
                          <w:sz w:val="20"/>
                        </w:rPr>
                      </w:pPr>
                      <w:r w:rsidRPr="00B97116">
                        <w:rPr>
                          <w:i/>
                          <w:iCs/>
                          <w:sz w:val="18"/>
                          <w:szCs w:val="20"/>
                          <w:lang w:val="fr-BE"/>
                        </w:rPr>
                        <w:t xml:space="preserve"> Les nouvelles recommandations internationales de 2008 requièrent l’utilisation d’un système de double pondération dynamique avec comme variables la valeur ajoutée et les chiffres d’affaires. Les chiffres d’affaires sont utilisés jusqu’au niveau classe (catégorie à quatre chiffres de la NAEMA rev1) et les valeurs ajoutées à partir du niveau groupe (catégorie à trois chiffres de la NAEMA rev1). Chaque année, les pondérations sont actualisées, par changement de la période de référence.</w:t>
                      </w:r>
                    </w:p>
                    <w:p w:rsidR="0053627A" w:rsidRPr="00B97116" w:rsidRDefault="0053627A" w:rsidP="0053627A">
                      <w:pPr>
                        <w:spacing w:after="120" w:line="276" w:lineRule="auto"/>
                        <w:jc w:val="both"/>
                        <w:rPr>
                          <w:b/>
                          <w:bCs/>
                          <w:i/>
                          <w:iCs/>
                          <w:sz w:val="18"/>
                          <w:szCs w:val="20"/>
                        </w:rPr>
                      </w:pPr>
                      <w:r w:rsidRPr="00B97116">
                        <w:rPr>
                          <w:b/>
                          <w:bCs/>
                          <w:i/>
                          <w:iCs/>
                          <w:sz w:val="18"/>
                          <w:szCs w:val="20"/>
                        </w:rPr>
                        <w:t>Diffusion</w:t>
                      </w:r>
                    </w:p>
                    <w:p w:rsidR="0053627A" w:rsidRPr="00B97116" w:rsidRDefault="0053627A" w:rsidP="0053627A">
                      <w:pPr>
                        <w:spacing w:after="120" w:line="276" w:lineRule="auto"/>
                        <w:jc w:val="both"/>
                        <w:rPr>
                          <w:i/>
                          <w:iCs/>
                          <w:sz w:val="18"/>
                          <w:szCs w:val="20"/>
                          <w:lang w:val="fr-BE"/>
                        </w:rPr>
                      </w:pPr>
                      <w:r w:rsidRPr="00B97116">
                        <w:rPr>
                          <w:i/>
                          <w:iCs/>
                          <w:sz w:val="18"/>
                          <w:szCs w:val="20"/>
                          <w:lang w:val="fr-BE"/>
                        </w:rPr>
                        <w:t xml:space="preserve"> Les indices sont présentés dans un tableau au niveau branche et sous-branche selon la nomenclature des activités et produits des Etats membres d’AFRISTAT. Ce tableau comporte les indices du </w:t>
                      </w:r>
                      <w:r w:rsidR="006E49A6">
                        <w:rPr>
                          <w:i/>
                          <w:iCs/>
                          <w:sz w:val="18"/>
                          <w:szCs w:val="20"/>
                          <w:lang w:val="fr-BE"/>
                        </w:rPr>
                        <w:t>trimestre</w:t>
                      </w:r>
                      <w:r w:rsidRPr="00B97116">
                        <w:rPr>
                          <w:i/>
                          <w:iCs/>
                          <w:sz w:val="18"/>
                          <w:szCs w:val="20"/>
                          <w:lang w:val="fr-BE"/>
                        </w:rPr>
                        <w:t xml:space="preserve">, les indices des </w:t>
                      </w:r>
                      <w:r w:rsidR="006E49A6">
                        <w:rPr>
                          <w:i/>
                          <w:iCs/>
                          <w:sz w:val="18"/>
                          <w:szCs w:val="20"/>
                          <w:lang w:val="fr-BE"/>
                        </w:rPr>
                        <w:t>trimestres</w:t>
                      </w:r>
                      <w:r w:rsidRPr="00B97116">
                        <w:rPr>
                          <w:i/>
                          <w:iCs/>
                          <w:sz w:val="18"/>
                          <w:szCs w:val="20"/>
                          <w:lang w:val="fr-BE"/>
                        </w:rPr>
                        <w:t xml:space="preserve"> précédents de l’année en cours, les indices du même </w:t>
                      </w:r>
                      <w:r w:rsidR="006E49A6">
                        <w:rPr>
                          <w:i/>
                          <w:iCs/>
                          <w:sz w:val="18"/>
                          <w:szCs w:val="20"/>
                          <w:lang w:val="fr-BE"/>
                        </w:rPr>
                        <w:t>trimestre</w:t>
                      </w:r>
                      <w:r w:rsidRPr="00B97116">
                        <w:rPr>
                          <w:i/>
                          <w:iCs/>
                          <w:sz w:val="18"/>
                          <w:szCs w:val="20"/>
                          <w:lang w:val="fr-BE"/>
                        </w:rPr>
                        <w:t xml:space="preserve"> de l’année précédente, les variations entre le </w:t>
                      </w:r>
                      <w:r w:rsidR="006E49A6">
                        <w:rPr>
                          <w:i/>
                          <w:iCs/>
                          <w:sz w:val="18"/>
                          <w:szCs w:val="20"/>
                          <w:lang w:val="fr-BE"/>
                        </w:rPr>
                        <w:t>trimestre</w:t>
                      </w:r>
                      <w:r w:rsidRPr="00B97116">
                        <w:rPr>
                          <w:i/>
                          <w:iCs/>
                          <w:sz w:val="18"/>
                          <w:szCs w:val="20"/>
                          <w:lang w:val="fr-BE"/>
                        </w:rPr>
                        <w:t xml:space="preserve"> courant et le même </w:t>
                      </w:r>
                      <w:r w:rsidR="006E49A6">
                        <w:rPr>
                          <w:i/>
                          <w:iCs/>
                          <w:sz w:val="18"/>
                          <w:szCs w:val="20"/>
                          <w:lang w:val="fr-BE"/>
                        </w:rPr>
                        <w:t>trimestre</w:t>
                      </w:r>
                      <w:r w:rsidRPr="00B97116">
                        <w:rPr>
                          <w:i/>
                          <w:iCs/>
                          <w:sz w:val="18"/>
                          <w:szCs w:val="20"/>
                          <w:lang w:val="fr-BE"/>
                        </w:rPr>
                        <w:t xml:space="preserve"> de l’année précédente. Les indices sont disponibles au plus tard </w:t>
                      </w:r>
                      <w:r w:rsidR="006E49A6">
                        <w:rPr>
                          <w:i/>
                          <w:iCs/>
                          <w:sz w:val="18"/>
                          <w:szCs w:val="20"/>
                          <w:lang w:val="fr-BE"/>
                        </w:rPr>
                        <w:t>75</w:t>
                      </w:r>
                      <w:r w:rsidRPr="00B97116">
                        <w:rPr>
                          <w:i/>
                          <w:iCs/>
                          <w:sz w:val="18"/>
                          <w:szCs w:val="20"/>
                          <w:lang w:val="fr-BE"/>
                        </w:rPr>
                        <w:t xml:space="preserve"> jours après la fin du </w:t>
                      </w:r>
                      <w:r w:rsidR="00FE5808">
                        <w:rPr>
                          <w:i/>
                          <w:iCs/>
                          <w:sz w:val="18"/>
                          <w:szCs w:val="20"/>
                          <w:lang w:val="fr-BE"/>
                        </w:rPr>
                        <w:t>trimestre</w:t>
                      </w:r>
                      <w:r w:rsidRPr="00B97116">
                        <w:rPr>
                          <w:i/>
                          <w:iCs/>
                          <w:sz w:val="18"/>
                          <w:szCs w:val="20"/>
                          <w:lang w:val="fr-BE"/>
                        </w:rPr>
                        <w:t xml:space="preserve"> sous revue. Ils sont accessibles sur le site internet de l’Agence </w:t>
                      </w:r>
                      <w:r w:rsidRPr="00155F55">
                        <w:rPr>
                          <w:i/>
                          <w:iCs/>
                          <w:sz w:val="18"/>
                          <w:szCs w:val="20"/>
                          <w:lang w:val="fr-BE"/>
                        </w:rPr>
                        <w:t xml:space="preserve">: </w:t>
                      </w:r>
                      <w:hyperlink r:id="rId12" w:history="1">
                        <w:r w:rsidRPr="00B97116">
                          <w:rPr>
                            <w:rStyle w:val="Lienhypertexte"/>
                            <w:bCs/>
                            <w:i/>
                            <w:iCs/>
                            <w:sz w:val="18"/>
                            <w:szCs w:val="20"/>
                            <w:lang w:val="fr-BE"/>
                          </w:rPr>
                          <w:t>www.ansd.sn</w:t>
                        </w:r>
                      </w:hyperlink>
                      <w:r w:rsidRPr="00B97116">
                        <w:rPr>
                          <w:i/>
                          <w:iCs/>
                          <w:sz w:val="18"/>
                          <w:szCs w:val="20"/>
                          <w:lang w:val="fr-BE"/>
                        </w:rPr>
                        <w:t xml:space="preserve">. </w:t>
                      </w:r>
                    </w:p>
                    <w:p w:rsidR="0053627A" w:rsidRPr="00B97116" w:rsidRDefault="0053627A" w:rsidP="0053627A">
                      <w:pPr>
                        <w:jc w:val="both"/>
                        <w:rPr>
                          <w:bCs/>
                          <w:i/>
                          <w:iCs/>
                          <w:sz w:val="18"/>
                          <w:szCs w:val="20"/>
                          <w:lang w:val="fr-BE"/>
                        </w:rPr>
                      </w:pPr>
                    </w:p>
                    <w:p w:rsidR="0053627A" w:rsidRPr="00B97116" w:rsidRDefault="0053627A" w:rsidP="0053627A">
                      <w:pPr>
                        <w:jc w:val="both"/>
                        <w:rPr>
                          <w:bCs/>
                          <w:i/>
                          <w:iCs/>
                          <w:sz w:val="18"/>
                          <w:szCs w:val="20"/>
                        </w:rPr>
                      </w:pPr>
                    </w:p>
                    <w:p w:rsidR="0053627A" w:rsidRPr="00B97116" w:rsidRDefault="0053627A" w:rsidP="0053627A">
                      <w:pPr>
                        <w:jc w:val="both"/>
                        <w:rPr>
                          <w:bCs/>
                          <w:i/>
                          <w:iCs/>
                          <w:sz w:val="18"/>
                          <w:szCs w:val="20"/>
                        </w:rPr>
                      </w:pPr>
                    </w:p>
                  </w:txbxContent>
                </v:textbox>
              </v:shape>
            </w:pict>
          </mc:Fallback>
        </mc:AlternateContent>
      </w:r>
    </w:p>
    <w:sectPr w:rsidR="004B0DFE" w:rsidRPr="004B0DFE" w:rsidSect="007645B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1A4" w:rsidRDefault="002231A4" w:rsidP="004658BD">
      <w:pPr>
        <w:spacing w:after="0" w:line="240" w:lineRule="auto"/>
      </w:pPr>
      <w:r>
        <w:separator/>
      </w:r>
    </w:p>
  </w:endnote>
  <w:endnote w:type="continuationSeparator" w:id="0">
    <w:p w:rsidR="002231A4" w:rsidRDefault="002231A4" w:rsidP="00465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5488638"/>
      <w:docPartObj>
        <w:docPartGallery w:val="Page Numbers (Bottom of Page)"/>
        <w:docPartUnique/>
      </w:docPartObj>
    </w:sdtPr>
    <w:sdtEndPr/>
    <w:sdtContent>
      <w:p w:rsidR="007645B6" w:rsidRDefault="007645B6">
        <w:pPr>
          <w:pStyle w:val="Pieddepage"/>
          <w:jc w:val="center"/>
        </w:pPr>
        <w:r>
          <w:fldChar w:fldCharType="begin"/>
        </w:r>
        <w:r>
          <w:instrText>PAGE   \* MERGEFORMAT</w:instrText>
        </w:r>
        <w:r>
          <w:fldChar w:fldCharType="separate"/>
        </w:r>
        <w:r w:rsidR="00D97CC0">
          <w:rPr>
            <w:noProof/>
          </w:rPr>
          <w:t>2</w:t>
        </w:r>
        <w:r>
          <w:fldChar w:fldCharType="end"/>
        </w:r>
      </w:p>
    </w:sdtContent>
  </w:sdt>
  <w:p w:rsidR="004658BD" w:rsidRDefault="004658B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1A4" w:rsidRDefault="002231A4" w:rsidP="004658BD">
      <w:pPr>
        <w:spacing w:after="0" w:line="240" w:lineRule="auto"/>
      </w:pPr>
      <w:r>
        <w:separator/>
      </w:r>
    </w:p>
  </w:footnote>
  <w:footnote w:type="continuationSeparator" w:id="0">
    <w:p w:rsidR="002231A4" w:rsidRDefault="002231A4" w:rsidP="004658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166"/>
    <w:rsid w:val="000030B2"/>
    <w:rsid w:val="000259C0"/>
    <w:rsid w:val="00034AA1"/>
    <w:rsid w:val="00040063"/>
    <w:rsid w:val="00040282"/>
    <w:rsid w:val="00052E59"/>
    <w:rsid w:val="000560CB"/>
    <w:rsid w:val="00060A6B"/>
    <w:rsid w:val="0007417C"/>
    <w:rsid w:val="00090ACE"/>
    <w:rsid w:val="00091730"/>
    <w:rsid w:val="00097D02"/>
    <w:rsid w:val="000C0E15"/>
    <w:rsid w:val="000C2BFE"/>
    <w:rsid w:val="000C6947"/>
    <w:rsid w:val="000D5D0B"/>
    <w:rsid w:val="000E3ABC"/>
    <w:rsid w:val="000E7BC7"/>
    <w:rsid w:val="001056F2"/>
    <w:rsid w:val="001372C0"/>
    <w:rsid w:val="00141A59"/>
    <w:rsid w:val="00155F55"/>
    <w:rsid w:val="00157AF1"/>
    <w:rsid w:val="00166A61"/>
    <w:rsid w:val="001712CB"/>
    <w:rsid w:val="001731D4"/>
    <w:rsid w:val="00173613"/>
    <w:rsid w:val="001769CF"/>
    <w:rsid w:val="00195C9D"/>
    <w:rsid w:val="001A0BDB"/>
    <w:rsid w:val="001A7CA7"/>
    <w:rsid w:val="001C1672"/>
    <w:rsid w:val="001D19D2"/>
    <w:rsid w:val="001E6F49"/>
    <w:rsid w:val="002001F6"/>
    <w:rsid w:val="002231A4"/>
    <w:rsid w:val="00227C04"/>
    <w:rsid w:val="00234118"/>
    <w:rsid w:val="0024565E"/>
    <w:rsid w:val="00257469"/>
    <w:rsid w:val="00257DF7"/>
    <w:rsid w:val="002C76A1"/>
    <w:rsid w:val="002E45D5"/>
    <w:rsid w:val="002E4E1A"/>
    <w:rsid w:val="0030366F"/>
    <w:rsid w:val="0033176C"/>
    <w:rsid w:val="00333D82"/>
    <w:rsid w:val="003620F3"/>
    <w:rsid w:val="00362CA4"/>
    <w:rsid w:val="0038178C"/>
    <w:rsid w:val="0039266D"/>
    <w:rsid w:val="003962F0"/>
    <w:rsid w:val="003C4216"/>
    <w:rsid w:val="003E74D6"/>
    <w:rsid w:val="00414BC3"/>
    <w:rsid w:val="00415A39"/>
    <w:rsid w:val="00422331"/>
    <w:rsid w:val="0042425F"/>
    <w:rsid w:val="00430580"/>
    <w:rsid w:val="00445427"/>
    <w:rsid w:val="00453B39"/>
    <w:rsid w:val="004658BD"/>
    <w:rsid w:val="00483526"/>
    <w:rsid w:val="0049267C"/>
    <w:rsid w:val="0049757B"/>
    <w:rsid w:val="004B0DFE"/>
    <w:rsid w:val="004B1FDC"/>
    <w:rsid w:val="004B2AD0"/>
    <w:rsid w:val="004B47FA"/>
    <w:rsid w:val="004C5608"/>
    <w:rsid w:val="004E1656"/>
    <w:rsid w:val="004E7AEB"/>
    <w:rsid w:val="004F2806"/>
    <w:rsid w:val="004F74C9"/>
    <w:rsid w:val="00523EBC"/>
    <w:rsid w:val="0053627A"/>
    <w:rsid w:val="00536F70"/>
    <w:rsid w:val="0054328B"/>
    <w:rsid w:val="00563EE0"/>
    <w:rsid w:val="00585C13"/>
    <w:rsid w:val="00595608"/>
    <w:rsid w:val="005A62AD"/>
    <w:rsid w:val="005B0B30"/>
    <w:rsid w:val="005F64A6"/>
    <w:rsid w:val="00601531"/>
    <w:rsid w:val="0061191B"/>
    <w:rsid w:val="00661B68"/>
    <w:rsid w:val="00681878"/>
    <w:rsid w:val="00687ADE"/>
    <w:rsid w:val="006903F6"/>
    <w:rsid w:val="00695DF0"/>
    <w:rsid w:val="006C298E"/>
    <w:rsid w:val="006E49A6"/>
    <w:rsid w:val="006E516C"/>
    <w:rsid w:val="006E616D"/>
    <w:rsid w:val="00715D19"/>
    <w:rsid w:val="007254AD"/>
    <w:rsid w:val="00735984"/>
    <w:rsid w:val="007472CE"/>
    <w:rsid w:val="007545E6"/>
    <w:rsid w:val="00757251"/>
    <w:rsid w:val="00757EA2"/>
    <w:rsid w:val="007645B6"/>
    <w:rsid w:val="00777535"/>
    <w:rsid w:val="007C1D11"/>
    <w:rsid w:val="007F3296"/>
    <w:rsid w:val="00831653"/>
    <w:rsid w:val="00837F28"/>
    <w:rsid w:val="008555A6"/>
    <w:rsid w:val="00862A91"/>
    <w:rsid w:val="00870859"/>
    <w:rsid w:val="00881BEC"/>
    <w:rsid w:val="0088553B"/>
    <w:rsid w:val="00895ADA"/>
    <w:rsid w:val="008B1166"/>
    <w:rsid w:val="008B4946"/>
    <w:rsid w:val="008B658E"/>
    <w:rsid w:val="008E5534"/>
    <w:rsid w:val="009250B8"/>
    <w:rsid w:val="00936E59"/>
    <w:rsid w:val="00956092"/>
    <w:rsid w:val="00963CEF"/>
    <w:rsid w:val="00964871"/>
    <w:rsid w:val="009876E2"/>
    <w:rsid w:val="009A3382"/>
    <w:rsid w:val="009B33A8"/>
    <w:rsid w:val="009B3B7F"/>
    <w:rsid w:val="009B4881"/>
    <w:rsid w:val="009B7687"/>
    <w:rsid w:val="009C39F5"/>
    <w:rsid w:val="009D0BA8"/>
    <w:rsid w:val="009D1653"/>
    <w:rsid w:val="00A4210A"/>
    <w:rsid w:val="00A433F3"/>
    <w:rsid w:val="00A81AC3"/>
    <w:rsid w:val="00A85A43"/>
    <w:rsid w:val="00A91EBC"/>
    <w:rsid w:val="00AB2295"/>
    <w:rsid w:val="00AC2DE0"/>
    <w:rsid w:val="00AC5322"/>
    <w:rsid w:val="00AE1464"/>
    <w:rsid w:val="00AF0D06"/>
    <w:rsid w:val="00AF3B27"/>
    <w:rsid w:val="00B34212"/>
    <w:rsid w:val="00B42242"/>
    <w:rsid w:val="00B64580"/>
    <w:rsid w:val="00B9508F"/>
    <w:rsid w:val="00B97116"/>
    <w:rsid w:val="00BA30AD"/>
    <w:rsid w:val="00BD645A"/>
    <w:rsid w:val="00BE4D14"/>
    <w:rsid w:val="00BE7244"/>
    <w:rsid w:val="00C02603"/>
    <w:rsid w:val="00C03797"/>
    <w:rsid w:val="00C1304D"/>
    <w:rsid w:val="00C141C2"/>
    <w:rsid w:val="00C44129"/>
    <w:rsid w:val="00C4784B"/>
    <w:rsid w:val="00C655D5"/>
    <w:rsid w:val="00C7330B"/>
    <w:rsid w:val="00C733D5"/>
    <w:rsid w:val="00C758A5"/>
    <w:rsid w:val="00C8412E"/>
    <w:rsid w:val="00C9182E"/>
    <w:rsid w:val="00CB5076"/>
    <w:rsid w:val="00CE450D"/>
    <w:rsid w:val="00CF1B7F"/>
    <w:rsid w:val="00CF2225"/>
    <w:rsid w:val="00CF2DB2"/>
    <w:rsid w:val="00D121DB"/>
    <w:rsid w:val="00D16178"/>
    <w:rsid w:val="00D33137"/>
    <w:rsid w:val="00D44CF3"/>
    <w:rsid w:val="00D46651"/>
    <w:rsid w:val="00D541DE"/>
    <w:rsid w:val="00D602CF"/>
    <w:rsid w:val="00D87626"/>
    <w:rsid w:val="00D97CC0"/>
    <w:rsid w:val="00DB2C46"/>
    <w:rsid w:val="00DB63AB"/>
    <w:rsid w:val="00DF03CB"/>
    <w:rsid w:val="00E02D12"/>
    <w:rsid w:val="00E11CC4"/>
    <w:rsid w:val="00E171E6"/>
    <w:rsid w:val="00E369A9"/>
    <w:rsid w:val="00E45124"/>
    <w:rsid w:val="00E52531"/>
    <w:rsid w:val="00E60144"/>
    <w:rsid w:val="00E66320"/>
    <w:rsid w:val="00E70A07"/>
    <w:rsid w:val="00E90717"/>
    <w:rsid w:val="00EA1992"/>
    <w:rsid w:val="00EA23B8"/>
    <w:rsid w:val="00EA35AC"/>
    <w:rsid w:val="00EA3C89"/>
    <w:rsid w:val="00EA5E43"/>
    <w:rsid w:val="00EC1E56"/>
    <w:rsid w:val="00ED4706"/>
    <w:rsid w:val="00EE7F1B"/>
    <w:rsid w:val="00F114B7"/>
    <w:rsid w:val="00F31E2B"/>
    <w:rsid w:val="00F527AA"/>
    <w:rsid w:val="00F707E2"/>
    <w:rsid w:val="00F915A0"/>
    <w:rsid w:val="00F91613"/>
    <w:rsid w:val="00FA20DF"/>
    <w:rsid w:val="00FC3FF6"/>
    <w:rsid w:val="00FD2D4F"/>
    <w:rsid w:val="00FD377F"/>
    <w:rsid w:val="00FE58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A146016-03C8-409E-B55E-A20DAFA7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166"/>
  </w:style>
  <w:style w:type="paragraph" w:styleId="Titre8">
    <w:name w:val="heading 8"/>
    <w:basedOn w:val="Normal"/>
    <w:next w:val="Normal"/>
    <w:link w:val="Titre8Car"/>
    <w:qFormat/>
    <w:rsid w:val="004658BD"/>
    <w:pPr>
      <w:keepNext/>
      <w:autoSpaceDE w:val="0"/>
      <w:autoSpaceDN w:val="0"/>
      <w:adjustRightInd w:val="0"/>
      <w:spacing w:after="0" w:line="240" w:lineRule="auto"/>
      <w:outlineLvl w:val="7"/>
    </w:pPr>
    <w:rPr>
      <w:rFonts w:ascii="Times New Roman" w:eastAsia="Times New Roman" w:hAnsi="Times New Roman" w:cs="Times New Roman"/>
      <w:i/>
      <w:i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4F2806"/>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En-tte">
    <w:name w:val="header"/>
    <w:basedOn w:val="Normal"/>
    <w:link w:val="En-tteCar"/>
    <w:uiPriority w:val="99"/>
    <w:unhideWhenUsed/>
    <w:rsid w:val="004658BD"/>
    <w:pPr>
      <w:tabs>
        <w:tab w:val="center" w:pos="4536"/>
        <w:tab w:val="right" w:pos="9072"/>
      </w:tabs>
      <w:spacing w:after="0" w:line="240" w:lineRule="auto"/>
    </w:pPr>
  </w:style>
  <w:style w:type="character" w:customStyle="1" w:styleId="En-tteCar">
    <w:name w:val="En-tête Car"/>
    <w:basedOn w:val="Policepardfaut"/>
    <w:link w:val="En-tte"/>
    <w:uiPriority w:val="99"/>
    <w:rsid w:val="004658BD"/>
  </w:style>
  <w:style w:type="paragraph" w:styleId="Pieddepage">
    <w:name w:val="footer"/>
    <w:basedOn w:val="Normal"/>
    <w:link w:val="PieddepageCar"/>
    <w:uiPriority w:val="99"/>
    <w:unhideWhenUsed/>
    <w:rsid w:val="00465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58BD"/>
  </w:style>
  <w:style w:type="character" w:customStyle="1" w:styleId="Titre8Car">
    <w:name w:val="Titre 8 Car"/>
    <w:basedOn w:val="Policepardfaut"/>
    <w:link w:val="Titre8"/>
    <w:rsid w:val="004658BD"/>
    <w:rPr>
      <w:rFonts w:ascii="Times New Roman" w:eastAsia="Times New Roman" w:hAnsi="Times New Roman" w:cs="Times New Roman"/>
      <w:i/>
      <w:iCs/>
      <w:sz w:val="20"/>
      <w:szCs w:val="20"/>
      <w:lang w:eastAsia="fr-FR"/>
    </w:rPr>
  </w:style>
  <w:style w:type="character" w:styleId="Lienhypertexte">
    <w:name w:val="Hyperlink"/>
    <w:basedOn w:val="Policepardfaut"/>
    <w:uiPriority w:val="99"/>
    <w:rsid w:val="004658BD"/>
    <w:rPr>
      <w:color w:val="0000FF"/>
      <w:u w:val="single"/>
    </w:rPr>
  </w:style>
  <w:style w:type="paragraph" w:customStyle="1" w:styleId="msobodytext4">
    <w:name w:val="msobodytext4"/>
    <w:rsid w:val="004B0DFE"/>
    <w:pPr>
      <w:spacing w:after="120" w:line="480" w:lineRule="auto"/>
    </w:pPr>
    <w:rPr>
      <w:rFonts w:ascii="Franklin Gothic Demi Cond" w:eastAsia="Times New Roman" w:hAnsi="Franklin Gothic Demi Cond" w:cs="Times New Roman"/>
      <w:color w:val="FFFFFF"/>
      <w:kern w:val="28"/>
      <w:sz w:val="18"/>
      <w:szCs w:val="18"/>
      <w:lang w:eastAsia="fr-FR"/>
      <w14:ligatures w14:val="standard"/>
      <w14:cntxtAlts/>
    </w:rPr>
  </w:style>
  <w:style w:type="paragraph" w:styleId="Lgende">
    <w:name w:val="caption"/>
    <w:basedOn w:val="Normal"/>
    <w:next w:val="Normal"/>
    <w:uiPriority w:val="35"/>
    <w:unhideWhenUsed/>
    <w:qFormat/>
    <w:rsid w:val="00735984"/>
    <w:pPr>
      <w:spacing w:after="200" w:line="240" w:lineRule="auto"/>
    </w:pPr>
    <w:rPr>
      <w:i/>
      <w:iCs/>
      <w:color w:val="242852" w:themeColor="text2"/>
      <w:sz w:val="18"/>
      <w:szCs w:val="18"/>
    </w:rPr>
  </w:style>
  <w:style w:type="paragraph" w:styleId="NormalWeb">
    <w:name w:val="Normal (Web)"/>
    <w:basedOn w:val="Normal"/>
    <w:uiPriority w:val="99"/>
    <w:semiHidden/>
    <w:unhideWhenUsed/>
    <w:rsid w:val="00E5253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837F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7F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019765">
      <w:bodyDiv w:val="1"/>
      <w:marLeft w:val="0"/>
      <w:marRight w:val="0"/>
      <w:marTop w:val="0"/>
      <w:marBottom w:val="0"/>
      <w:divBdr>
        <w:top w:val="none" w:sz="0" w:space="0" w:color="auto"/>
        <w:left w:val="none" w:sz="0" w:space="0" w:color="auto"/>
        <w:bottom w:val="none" w:sz="0" w:space="0" w:color="auto"/>
        <w:right w:val="none" w:sz="0" w:space="0" w:color="auto"/>
      </w:divBdr>
    </w:div>
    <w:div w:id="1119303797">
      <w:bodyDiv w:val="1"/>
      <w:marLeft w:val="0"/>
      <w:marRight w:val="0"/>
      <w:marTop w:val="0"/>
      <w:marBottom w:val="0"/>
      <w:divBdr>
        <w:top w:val="none" w:sz="0" w:space="0" w:color="auto"/>
        <w:left w:val="none" w:sz="0" w:space="0" w:color="auto"/>
        <w:bottom w:val="none" w:sz="0" w:space="0" w:color="auto"/>
        <w:right w:val="none" w:sz="0" w:space="0" w:color="auto"/>
      </w:divBdr>
    </w:div>
    <w:div w:id="154956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ansd.s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nsd.sn"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7E011-F272-436A-A1CB-37E43D6B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Words>
  <Characters>134</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Ramlatou DIALLO</dc:creator>
  <cp:keywords/>
  <dc:description/>
  <cp:lastModifiedBy>Compte Microsoft</cp:lastModifiedBy>
  <cp:revision>2</cp:revision>
  <cp:lastPrinted>2022-12-13T16:13:00Z</cp:lastPrinted>
  <dcterms:created xsi:type="dcterms:W3CDTF">2022-12-31T00:23:00Z</dcterms:created>
  <dcterms:modified xsi:type="dcterms:W3CDTF">2022-12-31T00:23:00Z</dcterms:modified>
</cp:coreProperties>
</file>