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horzAnchor="margin" w:tblpY="-353"/>
        <w:tblW w:w="0" w:type="auto"/>
        <w:tblLook w:val="01E0" w:firstRow="1" w:lastRow="1" w:firstColumn="1" w:lastColumn="1" w:noHBand="0" w:noVBand="0"/>
      </w:tblPr>
      <w:tblGrid>
        <w:gridCol w:w="2394"/>
        <w:gridCol w:w="4437"/>
        <w:gridCol w:w="2239"/>
      </w:tblGrid>
      <w:tr w:rsidR="0041475F" w14:paraId="11220C49" w14:textId="77777777" w:rsidTr="002F14A6">
        <w:tc>
          <w:tcPr>
            <w:tcW w:w="2394" w:type="dxa"/>
          </w:tcPr>
          <w:p w14:paraId="3717A52C" w14:textId="77777777" w:rsidR="0041475F" w:rsidRDefault="0041475F" w:rsidP="00A870B9">
            <w:pPr>
              <w:pStyle w:val="Titre9"/>
            </w:pPr>
          </w:p>
        </w:tc>
        <w:tc>
          <w:tcPr>
            <w:tcW w:w="4438" w:type="dxa"/>
          </w:tcPr>
          <w:p w14:paraId="21286CA4" w14:textId="77777777" w:rsidR="0041475F" w:rsidRPr="00E47AEE" w:rsidRDefault="0041475F" w:rsidP="004D738E">
            <w:pPr>
              <w:pStyle w:val="Default"/>
              <w:jc w:val="center"/>
              <w:rPr>
                <w:b/>
                <w:bCs/>
              </w:rPr>
            </w:pPr>
            <w:r w:rsidRPr="00E47AEE">
              <w:rPr>
                <w:b/>
                <w:bCs/>
              </w:rPr>
              <w:t>République du Sénégal</w:t>
            </w:r>
          </w:p>
          <w:p w14:paraId="26DC9962" w14:textId="77777777" w:rsidR="0041475F" w:rsidRPr="00980632" w:rsidRDefault="0041475F" w:rsidP="004D738E">
            <w:pPr>
              <w:pStyle w:val="Default"/>
              <w:jc w:val="center"/>
              <w:rPr>
                <w:b/>
                <w:bCs/>
                <w:sz w:val="16"/>
                <w:szCs w:val="16"/>
              </w:rPr>
            </w:pPr>
            <w:r w:rsidRPr="00E47AEE">
              <w:rPr>
                <w:b/>
                <w:bCs/>
                <w:sz w:val="16"/>
                <w:szCs w:val="16"/>
              </w:rPr>
              <w:t>Un Peuple - Un But - Une Foi</w:t>
            </w:r>
          </w:p>
        </w:tc>
        <w:tc>
          <w:tcPr>
            <w:tcW w:w="2240" w:type="dxa"/>
          </w:tcPr>
          <w:p w14:paraId="77F51B37" w14:textId="77777777" w:rsidR="0041475F" w:rsidRDefault="0041475F" w:rsidP="004D738E"/>
        </w:tc>
      </w:tr>
      <w:tr w:rsidR="0041475F" w14:paraId="299132D9" w14:textId="77777777" w:rsidTr="002F14A6">
        <w:tc>
          <w:tcPr>
            <w:tcW w:w="2394" w:type="dxa"/>
          </w:tcPr>
          <w:p w14:paraId="623E175F" w14:textId="77777777" w:rsidR="0041475F" w:rsidRPr="00E47AEE" w:rsidRDefault="0041475F" w:rsidP="004D738E">
            <w:pPr>
              <w:rPr>
                <w:b/>
                <w:bCs/>
              </w:rPr>
            </w:pPr>
          </w:p>
        </w:tc>
        <w:tc>
          <w:tcPr>
            <w:tcW w:w="4438" w:type="dxa"/>
          </w:tcPr>
          <w:p w14:paraId="031382F7" w14:textId="77777777" w:rsidR="0041475F" w:rsidRDefault="0041475F" w:rsidP="004D738E">
            <w:pPr>
              <w:jc w:val="center"/>
            </w:pPr>
            <w:r w:rsidRPr="00B21B86">
              <w:rPr>
                <w:noProof/>
                <w:lang w:eastAsia="fr-FR"/>
              </w:rPr>
              <w:drawing>
                <wp:inline distT="0" distB="0" distL="0" distR="0" wp14:anchorId="307307C4" wp14:editId="47FDB19C">
                  <wp:extent cx="1113155" cy="1057275"/>
                  <wp:effectExtent l="0" t="0" r="0" b="9525"/>
                  <wp:docPr id="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3155" cy="1057275"/>
                          </a:xfrm>
                          <a:prstGeom prst="rect">
                            <a:avLst/>
                          </a:prstGeom>
                          <a:noFill/>
                          <a:ln>
                            <a:noFill/>
                          </a:ln>
                        </pic:spPr>
                      </pic:pic>
                    </a:graphicData>
                  </a:graphic>
                </wp:inline>
              </w:drawing>
            </w:r>
          </w:p>
        </w:tc>
        <w:tc>
          <w:tcPr>
            <w:tcW w:w="2240" w:type="dxa"/>
          </w:tcPr>
          <w:p w14:paraId="1E93DCFA" w14:textId="77777777" w:rsidR="0041475F" w:rsidRDefault="0041475F" w:rsidP="004D738E"/>
        </w:tc>
      </w:tr>
      <w:tr w:rsidR="0041475F" w14:paraId="5124CC95" w14:textId="77777777" w:rsidTr="002F14A6">
        <w:tc>
          <w:tcPr>
            <w:tcW w:w="2394" w:type="dxa"/>
          </w:tcPr>
          <w:p w14:paraId="42587903" w14:textId="77777777" w:rsidR="0041475F" w:rsidRDefault="0041475F" w:rsidP="004D738E"/>
        </w:tc>
        <w:tc>
          <w:tcPr>
            <w:tcW w:w="4438" w:type="dxa"/>
          </w:tcPr>
          <w:p w14:paraId="57273B2F" w14:textId="77777777" w:rsidR="0041475F" w:rsidRDefault="0041475F" w:rsidP="004D738E">
            <w:pPr>
              <w:jc w:val="center"/>
            </w:pPr>
          </w:p>
        </w:tc>
        <w:tc>
          <w:tcPr>
            <w:tcW w:w="2240" w:type="dxa"/>
          </w:tcPr>
          <w:p w14:paraId="171664C6" w14:textId="77777777" w:rsidR="0041475F" w:rsidRDefault="0041475F" w:rsidP="004D738E"/>
        </w:tc>
      </w:tr>
    </w:tbl>
    <w:p w14:paraId="0BC94301" w14:textId="741EF2BC" w:rsidR="007B370C" w:rsidRDefault="007B370C" w:rsidP="007B370C"/>
    <w:p w14:paraId="431C2CCB" w14:textId="77777777" w:rsidR="0057408E" w:rsidRDefault="0057408E" w:rsidP="0057408E">
      <w:pPr>
        <w:rPr>
          <w:noProof/>
          <w:lang w:eastAsia="fr-FR"/>
        </w:rPr>
      </w:pPr>
      <w:r>
        <w:rPr>
          <w:noProof/>
          <w:lang w:eastAsia="fr-FR"/>
        </w:rPr>
        <w:t xml:space="preserve">                                                                           </w:t>
      </w:r>
    </w:p>
    <w:p w14:paraId="2AEF40C3" w14:textId="77777777" w:rsidR="0068383C" w:rsidRDefault="0057408E" w:rsidP="0057408E">
      <w:pPr>
        <w:rPr>
          <w:noProof/>
          <w:lang w:eastAsia="fr-FR"/>
        </w:rPr>
      </w:pPr>
      <w:r>
        <w:rPr>
          <w:noProof/>
          <w:lang w:eastAsia="fr-FR"/>
        </w:rPr>
        <w:t xml:space="preserve">                                                                     </w:t>
      </w:r>
    </w:p>
    <w:p w14:paraId="5E94F4E6" w14:textId="25D84986" w:rsidR="00324C7E" w:rsidRDefault="005E64D1" w:rsidP="0041475F">
      <w:pPr>
        <w:jc w:val="center"/>
        <w:rPr>
          <w:rFonts w:ascii="Times New Roman" w:eastAsiaTheme="minorEastAsia" w:hAnsi="Times New Roman" w:cs="Times New Roman"/>
          <w:b/>
          <w:sz w:val="56"/>
          <w:szCs w:val="72"/>
          <w:lang w:eastAsia="fr-FR"/>
          <w14:shadow w14:blurRad="50800" w14:dist="38100" w14:dir="2700000" w14:sx="100000" w14:sy="100000" w14:kx="0" w14:ky="0" w14:algn="tl">
            <w14:srgbClr w14:val="000000">
              <w14:alpha w14:val="60000"/>
            </w14:srgbClr>
          </w14:shadow>
        </w:rPr>
        <w:sectPr w:rsidR="00324C7E" w:rsidSect="008F2320">
          <w:footerReference w:type="default" r:id="rId9"/>
          <w:pgSz w:w="11906" w:h="16838" w:code="9"/>
          <w:pgMar w:top="1418" w:right="1418" w:bottom="1418" w:left="1418"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bookmarkStart w:id="0" w:name="_GoBack"/>
      <w:r>
        <w:rPr>
          <w:rFonts w:ascii="Arial" w:hAnsi="Arial" w:cs="Arial"/>
          <w:b/>
          <w:bCs/>
          <w:noProof/>
          <w:lang w:eastAsia="fr-FR"/>
        </w:rPr>
        <mc:AlternateContent>
          <mc:Choice Requires="wps">
            <w:drawing>
              <wp:inline distT="0" distB="0" distL="0" distR="0" wp14:anchorId="758967AD" wp14:editId="01C7A6CC">
                <wp:extent cx="5759450" cy="1676400"/>
                <wp:effectExtent l="0" t="0" r="0" b="0"/>
                <wp:docPr id="8"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759450" cy="16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8E7FA" w14:textId="092DB7F3" w:rsidR="005E64D1" w:rsidRDefault="005E64D1" w:rsidP="005E64D1">
                            <w:pPr>
                              <w:pStyle w:val="NormalWeb"/>
                              <w:spacing w:before="0" w:beforeAutospacing="0" w:after="0" w:afterAutospacing="0"/>
                              <w:jc w:val="center"/>
                              <w:rPr>
                                <w:b/>
                                <w:sz w:val="52"/>
                                <w:szCs w:val="48"/>
                                <w14:shadow w14:blurRad="50800" w14:dist="38100" w14:dir="2700000" w14:sx="100000" w14:sy="100000" w14:kx="0" w14:ky="0" w14:algn="tl">
                                  <w14:srgbClr w14:val="000000">
                                    <w14:alpha w14:val="60000"/>
                                  </w14:srgbClr>
                                </w14:shadow>
                              </w:rPr>
                            </w:pPr>
                            <w:r w:rsidRPr="005E64D1">
                              <w:rPr>
                                <w:b/>
                                <w:sz w:val="52"/>
                                <w:szCs w:val="48"/>
                                <w14:shadow w14:blurRad="50800" w14:dist="38100" w14:dir="2700000" w14:sx="100000" w14:sy="100000" w14:kx="0" w14:ky="0" w14:algn="tl">
                                  <w14:srgbClr w14:val="000000">
                                    <w14:alpha w14:val="60000"/>
                                  </w14:srgbClr>
                                </w14:shadow>
                              </w:rPr>
                              <w:t>Méthodologie d’élaboration de l’Indic</w:t>
                            </w:r>
                            <w:r>
                              <w:rPr>
                                <w:b/>
                                <w:sz w:val="52"/>
                                <w:szCs w:val="48"/>
                                <w14:shadow w14:blurRad="50800" w14:dist="38100" w14:dir="2700000" w14:sx="100000" w14:sy="100000" w14:kx="0" w14:ky="0" w14:algn="tl">
                                  <w14:srgbClr w14:val="000000">
                                    <w14:alpha w14:val="60000"/>
                                  </w14:srgbClr>
                                </w14:shadow>
                              </w:rPr>
                              <w:t xml:space="preserve">e du Chiffre d’Affaires dans l’Industrie </w:t>
                            </w:r>
                          </w:p>
                          <w:p w14:paraId="2ABF5507" w14:textId="39F6A6EA" w:rsidR="005E64D1" w:rsidRPr="005E64D1" w:rsidRDefault="005E64D1" w:rsidP="005E64D1">
                            <w:pPr>
                              <w:pStyle w:val="NormalWeb"/>
                              <w:spacing w:before="0" w:beforeAutospacing="0" w:after="0" w:afterAutospacing="0"/>
                              <w:jc w:val="center"/>
                              <w:rPr>
                                <w:b/>
                                <w:sz w:val="72"/>
                                <w:szCs w:val="48"/>
                                <w14:shadow w14:blurRad="50800" w14:dist="38100" w14:dir="2700000" w14:sx="100000" w14:sy="100000" w14:kx="0" w14:ky="0" w14:algn="tl">
                                  <w14:srgbClr w14:val="000000">
                                    <w14:alpha w14:val="60000"/>
                                  </w14:srgbClr>
                                </w14:shadow>
                              </w:rPr>
                            </w:pPr>
                            <w:r w:rsidRPr="005E64D1">
                              <w:rPr>
                                <w:b/>
                                <w:sz w:val="72"/>
                                <w:szCs w:val="48"/>
                                <w14:shadow w14:blurRad="50800" w14:dist="38100" w14:dir="2700000" w14:sx="100000" w14:sy="100000" w14:kx="0" w14:ky="0" w14:algn="tl">
                                  <w14:srgbClr w14:val="000000">
                                    <w14:alpha w14:val="60000"/>
                                  </w14:srgbClr>
                                </w14:shadow>
                              </w:rPr>
                              <w:t>ICAI</w:t>
                            </w:r>
                          </w:p>
                        </w:txbxContent>
                      </wps:txbx>
                      <wps:bodyPr rot="0" vert="horz" wrap="square" lIns="91440" tIns="45720" rIns="91440" bIns="45720" anchor="t" anchorCtr="0" upright="1">
                        <a:noAutofit/>
                      </wps:bodyPr>
                    </wps:wsp>
                  </a:graphicData>
                </a:graphic>
              </wp:inline>
            </w:drawing>
          </mc:Choice>
          <mc:Fallback>
            <w:pict>
              <v:shapetype w14:anchorId="758967AD" id="_x0000_t202" coordsize="21600,21600" o:spt="202" path="m,l,21600r21600,l21600,xe">
                <v:stroke joinstyle="miter"/>
                <v:path gradientshapeok="t" o:connecttype="rect"/>
              </v:shapetype>
              <v:shape id="Zone de texte 23" o:spid="_x0000_s1026" type="#_x0000_t202" style="width:453.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" filled="f" stroked="f">
                <o:lock v:ext="edit" shapetype="t"/>
                <v:textbox>
                  <w:txbxContent>
                    <w:p w14:paraId="77A8E7FA" w14:textId="092DB7F3" w:rsidR="005E64D1" w:rsidRDefault="005E64D1" w:rsidP="005E64D1">
                      <w:pPr>
                        <w:pStyle w:val="NormalWeb"/>
                        <w:spacing w:before="0" w:beforeAutospacing="0" w:after="0" w:afterAutospacing="0"/>
                        <w:jc w:val="center"/>
                        <w:rPr>
                          <w:b/>
                          <w:sz w:val="52"/>
                          <w:szCs w:val="48"/>
                          <w14:shadow w14:blurRad="50800" w14:dist="38100" w14:dir="2700000" w14:sx="100000" w14:sy="100000" w14:kx="0" w14:ky="0" w14:algn="tl">
                            <w14:srgbClr w14:val="000000">
                              <w14:alpha w14:val="60000"/>
                            </w14:srgbClr>
                          </w14:shadow>
                        </w:rPr>
                      </w:pPr>
                      <w:r w:rsidRPr="005E64D1">
                        <w:rPr>
                          <w:b/>
                          <w:sz w:val="52"/>
                          <w:szCs w:val="48"/>
                          <w14:shadow w14:blurRad="50800" w14:dist="38100" w14:dir="2700000" w14:sx="100000" w14:sy="100000" w14:kx="0" w14:ky="0" w14:algn="tl">
                            <w14:srgbClr w14:val="000000">
                              <w14:alpha w14:val="60000"/>
                            </w14:srgbClr>
                          </w14:shadow>
                        </w:rPr>
                        <w:t>Méthodologie d’élaboration de l’Indic</w:t>
                      </w:r>
                      <w:r>
                        <w:rPr>
                          <w:b/>
                          <w:sz w:val="52"/>
                          <w:szCs w:val="48"/>
                          <w14:shadow w14:blurRad="50800" w14:dist="38100" w14:dir="2700000" w14:sx="100000" w14:sy="100000" w14:kx="0" w14:ky="0" w14:algn="tl">
                            <w14:srgbClr w14:val="000000">
                              <w14:alpha w14:val="60000"/>
                            </w14:srgbClr>
                          </w14:shadow>
                        </w:rPr>
                        <w:t xml:space="preserve">e du Chiffre d’Affaires dans l’Industrie </w:t>
                      </w:r>
                    </w:p>
                    <w:p w14:paraId="2ABF5507" w14:textId="39F6A6EA" w:rsidR="005E64D1" w:rsidRPr="005E64D1" w:rsidRDefault="005E64D1" w:rsidP="005E64D1">
                      <w:pPr>
                        <w:pStyle w:val="NormalWeb"/>
                        <w:spacing w:before="0" w:beforeAutospacing="0" w:after="0" w:afterAutospacing="0"/>
                        <w:jc w:val="center"/>
                        <w:rPr>
                          <w:b/>
                          <w:sz w:val="72"/>
                          <w:szCs w:val="48"/>
                          <w14:shadow w14:blurRad="50800" w14:dist="38100" w14:dir="2700000" w14:sx="100000" w14:sy="100000" w14:kx="0" w14:ky="0" w14:algn="tl">
                            <w14:srgbClr w14:val="000000">
                              <w14:alpha w14:val="60000"/>
                            </w14:srgbClr>
                          </w14:shadow>
                        </w:rPr>
                      </w:pPr>
                      <w:r w:rsidRPr="005E64D1">
                        <w:rPr>
                          <w:b/>
                          <w:sz w:val="72"/>
                          <w:szCs w:val="48"/>
                          <w14:shadow w14:blurRad="50800" w14:dist="38100" w14:dir="2700000" w14:sx="100000" w14:sy="100000" w14:kx="0" w14:ky="0" w14:algn="tl">
                            <w14:srgbClr w14:val="000000">
                              <w14:alpha w14:val="60000"/>
                            </w14:srgbClr>
                          </w14:shadow>
                        </w:rPr>
                        <w:t>ICAI</w:t>
                      </w:r>
                    </w:p>
                  </w:txbxContent>
                </v:textbox>
                <w10:anchorlock/>
              </v:shape>
            </w:pict>
          </mc:Fallback>
        </mc:AlternateContent>
      </w:r>
      <w:bookmarkEnd w:id="0"/>
    </w:p>
    <w:p w14:paraId="29D20F7D" w14:textId="77777777" w:rsidR="005E64D1" w:rsidRPr="00E23DBF" w:rsidRDefault="005E64D1" w:rsidP="005E64D1">
      <w:pPr>
        <w:spacing w:after="120"/>
        <w:jc w:val="both"/>
        <w:rPr>
          <w:rFonts w:ascii="Arial" w:hAnsi="Arial" w:cs="Arial"/>
          <w:i/>
          <w:iCs/>
          <w:sz w:val="18"/>
          <w:szCs w:val="20"/>
        </w:rPr>
      </w:pPr>
      <w:r w:rsidRPr="00E23DBF">
        <w:rPr>
          <w:rFonts w:ascii="Arial" w:hAnsi="Arial" w:cs="Arial"/>
          <w:i/>
          <w:iCs/>
          <w:sz w:val="18"/>
          <w:szCs w:val="20"/>
        </w:rPr>
        <w:lastRenderedPageBreak/>
        <w:t xml:space="preserve">L’Agence nationale de la Statistique et de la Démographie (ANSD) met à votre disposition cette note trimestrielle sur l’Indice du chiffre d’affaires dans l’industrie. Cet indicateur, base 100 en 2016, mesure l’évolution des ventes des biens et services dans </w:t>
      </w:r>
      <w:r>
        <w:rPr>
          <w:rFonts w:ascii="Arial" w:hAnsi="Arial" w:cs="Arial"/>
          <w:i/>
          <w:iCs/>
          <w:sz w:val="18"/>
          <w:szCs w:val="20"/>
        </w:rPr>
        <w:t>l</w:t>
      </w:r>
      <w:r w:rsidRPr="00E23DBF">
        <w:rPr>
          <w:rFonts w:ascii="Arial" w:hAnsi="Arial" w:cs="Arial"/>
          <w:i/>
          <w:iCs/>
          <w:sz w:val="18"/>
          <w:szCs w:val="20"/>
        </w:rPr>
        <w:t>’industrie. Le champ d’application de l’ICA dans l’industrie se définit par rapport à la CITI rev4/NAEMA rev1 et couvre les sections B (Activités extractives), C (Activités de fabrication), D (Production et distribution d’électricité, de gaz, de vapeur et de climatisation), E (Approvisionnement en eau, activités d’assainissement et de gestion des déchets, dépollution). En revanche, certaines activités des sections B, C, D et E de la NAEMA</w:t>
      </w:r>
      <w:r>
        <w:rPr>
          <w:rFonts w:ascii="Arial" w:hAnsi="Arial" w:cs="Arial"/>
          <w:i/>
          <w:iCs/>
          <w:sz w:val="18"/>
          <w:szCs w:val="20"/>
        </w:rPr>
        <w:t xml:space="preserve"> rev1</w:t>
      </w:r>
      <w:r w:rsidRPr="00E23DBF">
        <w:rPr>
          <w:rFonts w:ascii="Arial" w:hAnsi="Arial" w:cs="Arial"/>
          <w:i/>
          <w:iCs/>
          <w:sz w:val="18"/>
          <w:szCs w:val="20"/>
        </w:rPr>
        <w:t>, en l’occurrence l’égrenage de coton sont exclues du champ. S’agissant du calcul des indices, il est fait recours à un système de double pondération dynamique (utilisation simultanée du chiffre d’affaires et des valeurs ajoutées actualisées chaque année). L’échantillon à l’année de base compte 7</w:t>
      </w:r>
      <w:r>
        <w:rPr>
          <w:rFonts w:ascii="Arial" w:hAnsi="Arial" w:cs="Arial"/>
          <w:i/>
          <w:iCs/>
          <w:sz w:val="18"/>
          <w:szCs w:val="20"/>
        </w:rPr>
        <w:t>1</w:t>
      </w:r>
      <w:r w:rsidRPr="00E23DBF">
        <w:rPr>
          <w:rFonts w:ascii="Arial" w:hAnsi="Arial" w:cs="Arial"/>
          <w:i/>
          <w:iCs/>
          <w:sz w:val="18"/>
          <w:szCs w:val="20"/>
        </w:rPr>
        <w:t xml:space="preserve"> entreprises couvrant 89,8% de la valeur ajoutée du tissu industriel. Celui-ci est actualisé chaque année avec le système des années de référence. L’indice est publié trimestriellement et est disponible au plus tard 75 jours après la fin du trimestre sous revue. Il est susceptible d’être révisé lorsque le taux de réponse est inférieur </w:t>
      </w:r>
      <w:r>
        <w:rPr>
          <w:rFonts w:ascii="Arial" w:hAnsi="Arial" w:cs="Arial"/>
          <w:i/>
          <w:iCs/>
          <w:sz w:val="18"/>
          <w:szCs w:val="20"/>
        </w:rPr>
        <w:t xml:space="preserve">à </w:t>
      </w:r>
      <w:r w:rsidRPr="00E23DBF">
        <w:rPr>
          <w:rFonts w:ascii="Arial" w:hAnsi="Arial" w:cs="Arial"/>
          <w:i/>
          <w:iCs/>
          <w:sz w:val="18"/>
          <w:szCs w:val="20"/>
        </w:rPr>
        <w:t>100%. Le calcul des indices corrigés des variations saisonnières (</w:t>
      </w:r>
      <w:proofErr w:type="spellStart"/>
      <w:r w:rsidRPr="00E23DBF">
        <w:rPr>
          <w:rFonts w:ascii="Arial" w:hAnsi="Arial" w:cs="Arial"/>
          <w:i/>
          <w:iCs/>
          <w:sz w:val="18"/>
          <w:szCs w:val="20"/>
        </w:rPr>
        <w:t>cvs</w:t>
      </w:r>
      <w:proofErr w:type="spellEnd"/>
      <w:r w:rsidRPr="00E23DBF">
        <w:rPr>
          <w:rFonts w:ascii="Arial" w:hAnsi="Arial" w:cs="Arial"/>
          <w:i/>
          <w:iCs/>
          <w:sz w:val="18"/>
          <w:szCs w:val="20"/>
        </w:rPr>
        <w:t>) n’est pas encore effectué</w:t>
      </w:r>
      <w:r>
        <w:rPr>
          <w:rFonts w:ascii="Arial" w:hAnsi="Arial" w:cs="Arial"/>
          <w:i/>
          <w:iCs/>
          <w:sz w:val="18"/>
          <w:szCs w:val="20"/>
        </w:rPr>
        <w:t> ;</w:t>
      </w:r>
      <w:r w:rsidRPr="00E23DBF">
        <w:rPr>
          <w:rFonts w:ascii="Arial" w:hAnsi="Arial" w:cs="Arial"/>
          <w:i/>
          <w:iCs/>
          <w:sz w:val="18"/>
          <w:szCs w:val="20"/>
        </w:rPr>
        <w:t xml:space="preserve"> les analyses sont faites en </w:t>
      </w:r>
      <w:r>
        <w:rPr>
          <w:rFonts w:ascii="Arial" w:hAnsi="Arial" w:cs="Arial"/>
          <w:i/>
          <w:iCs/>
          <w:sz w:val="18"/>
          <w:szCs w:val="20"/>
        </w:rPr>
        <w:t>variation</w:t>
      </w:r>
      <w:r w:rsidRPr="00E23DBF">
        <w:rPr>
          <w:rFonts w:ascii="Arial" w:hAnsi="Arial" w:cs="Arial"/>
          <w:i/>
          <w:iCs/>
          <w:sz w:val="18"/>
          <w:szCs w:val="20"/>
        </w:rPr>
        <w:t xml:space="preserve"> annuel</w:t>
      </w:r>
      <w:r>
        <w:rPr>
          <w:rFonts w:ascii="Arial" w:hAnsi="Arial" w:cs="Arial"/>
          <w:i/>
          <w:iCs/>
          <w:sz w:val="18"/>
          <w:szCs w:val="20"/>
        </w:rPr>
        <w:t>le</w:t>
      </w:r>
      <w:r w:rsidRPr="00E23DBF">
        <w:rPr>
          <w:rFonts w:ascii="Arial" w:hAnsi="Arial" w:cs="Arial"/>
          <w:i/>
          <w:iCs/>
          <w:sz w:val="18"/>
          <w:szCs w:val="20"/>
        </w:rPr>
        <w:t xml:space="preserve">. </w:t>
      </w:r>
    </w:p>
    <w:p w14:paraId="7AA8F776" w14:textId="77777777" w:rsidR="005E64D1" w:rsidRPr="00E23DBF" w:rsidRDefault="005E64D1" w:rsidP="005E64D1">
      <w:pPr>
        <w:jc w:val="both"/>
        <w:rPr>
          <w:sz w:val="24"/>
          <w:szCs w:val="24"/>
        </w:rPr>
      </w:pPr>
      <w:r w:rsidRPr="00E23DBF">
        <w:rPr>
          <w:rFonts w:ascii="Arial" w:hAnsi="Arial" w:cs="Arial"/>
          <w:i/>
          <w:iCs/>
          <w:sz w:val="18"/>
          <w:szCs w:val="20"/>
        </w:rPr>
        <w:t xml:space="preserve">Les présents indicateurs sont établis avec un taux de réponse de </w:t>
      </w:r>
      <w:r>
        <w:rPr>
          <w:rFonts w:ascii="Arial" w:hAnsi="Arial" w:cs="Arial"/>
          <w:i/>
          <w:iCs/>
          <w:sz w:val="18"/>
          <w:szCs w:val="20"/>
        </w:rPr>
        <w:t>93</w:t>
      </w:r>
      <w:r w:rsidRPr="00E23DBF">
        <w:rPr>
          <w:rFonts w:ascii="Arial" w:hAnsi="Arial" w:cs="Arial"/>
          <w:i/>
          <w:iCs/>
          <w:sz w:val="18"/>
          <w:szCs w:val="20"/>
        </w:rPr>
        <w:t>,</w:t>
      </w:r>
      <w:r>
        <w:rPr>
          <w:rFonts w:ascii="Arial" w:hAnsi="Arial" w:cs="Arial"/>
          <w:i/>
          <w:iCs/>
          <w:sz w:val="18"/>
          <w:szCs w:val="20"/>
        </w:rPr>
        <w:t>4</w:t>
      </w:r>
      <w:r w:rsidRPr="00E23DBF">
        <w:rPr>
          <w:rFonts w:ascii="Arial" w:hAnsi="Arial" w:cs="Arial"/>
          <w:i/>
          <w:iCs/>
          <w:sz w:val="18"/>
          <w:szCs w:val="20"/>
        </w:rPr>
        <w:t>%.</w:t>
      </w:r>
    </w:p>
    <w:p w14:paraId="6865823B" w14:textId="6FD412D7" w:rsidR="00CD0ECE" w:rsidRDefault="005E64D1" w:rsidP="0041475F">
      <w:pPr>
        <w:jc w:val="center"/>
        <w:rPr>
          <w:rFonts w:ascii="Times New Roman" w:eastAsiaTheme="minorEastAsia" w:hAnsi="Times New Roman" w:cs="Times New Roman"/>
          <w:b/>
          <w:sz w:val="32"/>
          <w:szCs w:val="72"/>
          <w:lang w:eastAsia="fr-FR"/>
          <w14:shadow w14:blurRad="50800" w14:dist="38100" w14:dir="2700000" w14:sx="100000" w14:sy="100000" w14:kx="0" w14:ky="0" w14:algn="tl">
            <w14:srgbClr w14:val="000000">
              <w14:alpha w14:val="60000"/>
            </w14:srgbClr>
          </w14:shadow>
        </w:rPr>
      </w:pPr>
      <w:r>
        <w:rPr>
          <w:rFonts w:ascii="Times New Roman" w:eastAsiaTheme="minorEastAsia" w:hAnsi="Times New Roman" w:cs="Times New Roman"/>
          <w:b/>
          <w:noProof/>
          <w:sz w:val="56"/>
          <w:szCs w:val="72"/>
          <w:lang w:eastAsia="fr-FR"/>
        </w:rPr>
        <mc:AlternateContent>
          <mc:Choice Requires="wps">
            <w:drawing>
              <wp:anchor distT="0" distB="0" distL="114300" distR="114300" simplePos="0" relativeHeight="251660288" behindDoc="0" locked="0" layoutInCell="1" allowOverlap="1" wp14:anchorId="61BB06FB" wp14:editId="65B5FC87">
                <wp:simplePos x="0" y="0"/>
                <wp:positionH relativeFrom="margin">
                  <wp:posOffset>-247332</wp:posOffset>
                </wp:positionH>
                <wp:positionV relativeFrom="paragraph">
                  <wp:posOffset>315595</wp:posOffset>
                </wp:positionV>
                <wp:extent cx="5981700" cy="7463790"/>
                <wp:effectExtent l="19050" t="19050" r="19050" b="2286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7463790"/>
                        </a:xfrm>
                        <a:prstGeom prst="rect">
                          <a:avLst/>
                        </a:prstGeom>
                        <a:solidFill>
                          <a:srgbClr val="FFFFFF"/>
                        </a:solidFill>
                        <a:ln w="38100" cmpd="dbl">
                          <a:solidFill>
                            <a:srgbClr val="000000"/>
                          </a:solidFill>
                          <a:miter lim="800000"/>
                          <a:headEnd/>
                          <a:tailEnd/>
                        </a:ln>
                      </wps:spPr>
                      <wps:txbx>
                        <w:txbxContent>
                          <w:p w14:paraId="08C3AF42" w14:textId="77777777" w:rsidR="009C0C9B" w:rsidRPr="00E86D82" w:rsidRDefault="009C0C9B" w:rsidP="00E13C8E">
                            <w:pPr>
                              <w:spacing w:after="120" w:line="276" w:lineRule="auto"/>
                              <w:jc w:val="both"/>
                              <w:rPr>
                                <w:b/>
                                <w:bCs/>
                                <w:i/>
                                <w:iCs/>
                                <w:sz w:val="18"/>
                                <w:szCs w:val="18"/>
                              </w:rPr>
                            </w:pPr>
                            <w:r w:rsidRPr="00E86D82">
                              <w:rPr>
                                <w:b/>
                                <w:bCs/>
                                <w:i/>
                                <w:iCs/>
                                <w:sz w:val="18"/>
                                <w:szCs w:val="18"/>
                              </w:rPr>
                              <w:t>Champ couvert</w:t>
                            </w:r>
                          </w:p>
                          <w:p w14:paraId="56272D86" w14:textId="77777777" w:rsidR="009C0C9B" w:rsidRPr="00E86D82" w:rsidRDefault="009C0C9B" w:rsidP="00E13C8E">
                            <w:pPr>
                              <w:spacing w:after="120" w:line="276" w:lineRule="auto"/>
                              <w:jc w:val="both"/>
                              <w:rPr>
                                <w:bCs/>
                                <w:i/>
                                <w:iCs/>
                                <w:sz w:val="18"/>
                                <w:szCs w:val="18"/>
                              </w:rPr>
                            </w:pPr>
                            <w:r w:rsidRPr="00E86D82">
                              <w:rPr>
                                <w:bCs/>
                                <w:i/>
                                <w:iCs/>
                                <w:sz w:val="18"/>
                                <w:szCs w:val="18"/>
                              </w:rPr>
                              <w:t>Le champ d’application de l’ICA-I suivant les nouvelles recommandations se définit par rapport à la CITI rev4/NAEMA rev1. Le secteur industriel comprend à cet effet, les sections B (Activités extractives), C (Activités de fabrication), D (Production et distribution d’électricité, de gaz, de vapeur et de climatisation), E (Approvisionnement en eau, activités d’assainissement et de gestion des déchets, dépollution) ainsi que les services « dits industriels ». Certaines activités telles que l’égrenage du coton sont exclues du champ de l’ICA-I. Cependant pour des besoins de la conjoncture, l’évolution du chiffre d’affaires de l’égrenage de coton est analysée dans cette note.</w:t>
                            </w:r>
                          </w:p>
                          <w:p w14:paraId="380A5083" w14:textId="77777777" w:rsidR="009C0C9B" w:rsidRPr="00E86D82" w:rsidRDefault="009C0C9B" w:rsidP="00E13C8E">
                            <w:pPr>
                              <w:spacing w:after="120" w:line="276" w:lineRule="auto"/>
                              <w:jc w:val="both"/>
                              <w:rPr>
                                <w:b/>
                                <w:bCs/>
                                <w:i/>
                                <w:iCs/>
                                <w:sz w:val="18"/>
                                <w:szCs w:val="18"/>
                              </w:rPr>
                            </w:pPr>
                            <w:r w:rsidRPr="00E86D82">
                              <w:rPr>
                                <w:b/>
                                <w:bCs/>
                                <w:i/>
                                <w:iCs/>
                                <w:sz w:val="18"/>
                                <w:szCs w:val="18"/>
                              </w:rPr>
                              <w:t>Modalité de tirage de l’échantillon</w:t>
                            </w:r>
                          </w:p>
                          <w:p w14:paraId="7EBF7B77" w14:textId="77777777" w:rsidR="009C0C9B" w:rsidRPr="00E86D82" w:rsidRDefault="009C0C9B" w:rsidP="00E13C8E">
                            <w:pPr>
                              <w:spacing w:after="120" w:line="276" w:lineRule="auto"/>
                              <w:jc w:val="both"/>
                              <w:rPr>
                                <w:i/>
                                <w:iCs/>
                                <w:sz w:val="18"/>
                                <w:szCs w:val="18"/>
                                <w:lang w:val="fr-BE"/>
                              </w:rPr>
                            </w:pPr>
                            <w:r w:rsidRPr="00E86D82">
                              <w:rPr>
                                <w:i/>
                                <w:iCs/>
                                <w:sz w:val="18"/>
                                <w:szCs w:val="18"/>
                              </w:rPr>
                              <w:t>Pour le tirage de l’échantillon, il est fait recours aux méthodes non probabilistes subjectives (choix raisonné) et basées sur le seuil d’inclusion. La technique utilisée est celle de l’exhaustif tronqué (</w:t>
                            </w:r>
                            <w:proofErr w:type="spellStart"/>
                            <w:r w:rsidRPr="00E86D82">
                              <w:rPr>
                                <w:i/>
                                <w:iCs/>
                                <w:sz w:val="18"/>
                                <w:szCs w:val="18"/>
                              </w:rPr>
                              <w:t>cut</w:t>
                            </w:r>
                            <w:proofErr w:type="spellEnd"/>
                            <w:r w:rsidRPr="00E86D82">
                              <w:rPr>
                                <w:i/>
                                <w:iCs/>
                                <w:sz w:val="18"/>
                                <w:szCs w:val="18"/>
                              </w:rPr>
                              <w:t xml:space="preserve">‐off) visant à assurer la couverture maximale du secteur de l’industrie. La méthode consiste à faire un </w:t>
                            </w:r>
                            <w:r w:rsidRPr="00E86D82">
                              <w:rPr>
                                <w:i/>
                                <w:iCs/>
                                <w:sz w:val="18"/>
                                <w:szCs w:val="18"/>
                                <w:lang w:val="fr-BE"/>
                              </w:rPr>
                              <w:t xml:space="preserve">tri des entreprises par taille décroissante du chiffre d’affaires au niveau de chaque sous-branche d’activités. Ensuite, le calcul des proportions du CA des entreprises et celui des proportions cumulées est effectué. Il est fixé un seuil de pourcentage cumulé de CA, une borne au-delà de laquelle toutes les entreprises sont retenues. Cependant, pour une meilleure représentativité de l’échantillon, certaines entreprises qui </w:t>
                            </w:r>
                            <w:r>
                              <w:rPr>
                                <w:i/>
                                <w:iCs/>
                                <w:sz w:val="18"/>
                                <w:szCs w:val="18"/>
                                <w:lang w:val="fr-BE"/>
                              </w:rPr>
                              <w:t xml:space="preserve">sont </w:t>
                            </w:r>
                            <w:r w:rsidRPr="00E86D82">
                              <w:rPr>
                                <w:i/>
                                <w:iCs/>
                                <w:sz w:val="18"/>
                                <w:szCs w:val="18"/>
                                <w:lang w:val="fr-BE"/>
                              </w:rPr>
                              <w:t>situ</w:t>
                            </w:r>
                            <w:r>
                              <w:rPr>
                                <w:i/>
                                <w:iCs/>
                                <w:sz w:val="18"/>
                                <w:szCs w:val="18"/>
                                <w:lang w:val="fr-BE"/>
                              </w:rPr>
                              <w:t>ées</w:t>
                            </w:r>
                            <w:r w:rsidRPr="00E86D82">
                              <w:rPr>
                                <w:i/>
                                <w:iCs/>
                                <w:sz w:val="18"/>
                                <w:szCs w:val="18"/>
                                <w:lang w:val="fr-BE"/>
                              </w:rPr>
                              <w:t xml:space="preserve"> en deçà du seuil sont repêchées. </w:t>
                            </w:r>
                          </w:p>
                          <w:p w14:paraId="12F0882F"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Une mise à jour de l’échantillon est effectuée chaque année en tenant compte des modifications dans le tissu industriel. </w:t>
                            </w:r>
                          </w:p>
                          <w:p w14:paraId="30A5219B" w14:textId="77777777" w:rsidR="009C0C9B" w:rsidRPr="00E86D82" w:rsidRDefault="009C0C9B" w:rsidP="00E13C8E">
                            <w:pPr>
                              <w:spacing w:after="120" w:line="276" w:lineRule="auto"/>
                              <w:jc w:val="both"/>
                              <w:rPr>
                                <w:i/>
                                <w:iCs/>
                                <w:sz w:val="18"/>
                                <w:szCs w:val="18"/>
                              </w:rPr>
                            </w:pPr>
                            <w:r w:rsidRPr="00E86D82">
                              <w:rPr>
                                <w:i/>
                                <w:iCs/>
                                <w:sz w:val="18"/>
                                <w:szCs w:val="18"/>
                              </w:rPr>
                              <w:t>La base de sondage utilisée est celle du Centre Unique de Collecte de l’Information (CUCI) de l’ANSD. Celle-ci est une liste exhaustive de toutes les entreprises du secteur moderne qui ont déposé, au moins une fois, un état financier.</w:t>
                            </w:r>
                          </w:p>
                          <w:p w14:paraId="4A07096E" w14:textId="77777777" w:rsidR="009C0C9B" w:rsidRPr="00E86D82" w:rsidRDefault="009C0C9B" w:rsidP="00E13C8E">
                            <w:pPr>
                              <w:spacing w:after="120" w:line="276" w:lineRule="auto"/>
                              <w:jc w:val="both"/>
                              <w:rPr>
                                <w:b/>
                                <w:bCs/>
                                <w:i/>
                                <w:iCs/>
                                <w:sz w:val="18"/>
                                <w:szCs w:val="18"/>
                              </w:rPr>
                            </w:pPr>
                            <w:r w:rsidRPr="00E86D82">
                              <w:rPr>
                                <w:b/>
                                <w:bCs/>
                                <w:i/>
                                <w:iCs/>
                                <w:sz w:val="18"/>
                                <w:szCs w:val="18"/>
                              </w:rPr>
                              <w:t>Modalité de calcul des indices</w:t>
                            </w:r>
                          </w:p>
                          <w:p w14:paraId="0B019DCD"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Les indices sont calculés de façon hiérarchique à partir des indices élémentaires des gammes de produits jusqu’à l’indice d’ensemble. Selon la nature des formules utilisées dans le calcul, deux types d’indices sont identifiés : les indices élémentaires des gammes et les indices de niveaux agrégés. </w:t>
                            </w:r>
                          </w:p>
                          <w:p w14:paraId="580F76F8"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Les indices élémentaires représentent le rapport du chiffre d’affaires au cours du trimestre courant à celui correspondant à la moyenne de l’année de base ou de référence. </w:t>
                            </w:r>
                          </w:p>
                          <w:p w14:paraId="6453FC75"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Les indices aux niveaux agrégés de la nomenclature sont calculés à partir de la formule de l’indice de </w:t>
                            </w:r>
                            <w:proofErr w:type="spellStart"/>
                            <w:r w:rsidRPr="00E86D82">
                              <w:rPr>
                                <w:i/>
                                <w:iCs/>
                                <w:sz w:val="18"/>
                                <w:szCs w:val="18"/>
                                <w:lang w:val="fr-BE"/>
                              </w:rPr>
                              <w:t>Laspeyres</w:t>
                            </w:r>
                            <w:proofErr w:type="spellEnd"/>
                            <w:r w:rsidRPr="00E86D82">
                              <w:rPr>
                                <w:i/>
                                <w:iCs/>
                                <w:sz w:val="18"/>
                                <w:szCs w:val="18"/>
                                <w:lang w:val="fr-BE"/>
                              </w:rPr>
                              <w:t>. Ils concernent les indices classes, groupes, divisions, divisions regroupées, types industries et d’ensemble. Ces indices sont obtenus par une moyenne arithmétique pondérée des sous indices qui les composent.</w:t>
                            </w:r>
                          </w:p>
                          <w:p w14:paraId="0508F1B8" w14:textId="77777777" w:rsidR="009C0C9B" w:rsidRPr="00E86D82" w:rsidRDefault="009C0C9B" w:rsidP="00E13C8E">
                            <w:pPr>
                              <w:spacing w:before="120" w:after="120" w:line="276" w:lineRule="auto"/>
                              <w:jc w:val="both"/>
                              <w:rPr>
                                <w:sz w:val="18"/>
                                <w:szCs w:val="18"/>
                              </w:rPr>
                            </w:pPr>
                            <w:r w:rsidRPr="00E86D82">
                              <w:rPr>
                                <w:i/>
                                <w:iCs/>
                                <w:sz w:val="18"/>
                                <w:szCs w:val="18"/>
                                <w:lang w:val="fr-BE"/>
                              </w:rPr>
                              <w:t xml:space="preserve"> Les nouvelles recommandations internationales de 2008 requièrent l’utilisation d’un système de double pondération dynamique avec comme variables la valeur ajoutée et les chiffres d’affaires. Les chiffres d’affaires sont utilisés jusqu’au niveau classe (catégorie à quatre chiffres de la NAEMA rev1) et les valeurs ajoutées à partir du niveau groupe (catégorie à trois chiffres de la NAEMA rev1).  Chaque année, les pondérations sont actualisées, par changement de la période de référence.</w:t>
                            </w:r>
                          </w:p>
                          <w:p w14:paraId="432DD1D2" w14:textId="77777777" w:rsidR="009C0C9B" w:rsidRPr="00E86D82" w:rsidRDefault="009C0C9B" w:rsidP="00E13C8E">
                            <w:pPr>
                              <w:spacing w:after="120" w:line="276" w:lineRule="auto"/>
                              <w:jc w:val="both"/>
                              <w:rPr>
                                <w:b/>
                                <w:bCs/>
                                <w:i/>
                                <w:iCs/>
                                <w:sz w:val="18"/>
                                <w:szCs w:val="18"/>
                              </w:rPr>
                            </w:pPr>
                            <w:r w:rsidRPr="00E86D82">
                              <w:rPr>
                                <w:b/>
                                <w:bCs/>
                                <w:i/>
                                <w:iCs/>
                                <w:sz w:val="18"/>
                                <w:szCs w:val="18"/>
                              </w:rPr>
                              <w:t>Diffusion</w:t>
                            </w:r>
                          </w:p>
                          <w:p w14:paraId="4FD7450C" w14:textId="43416174"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 Les indices sont présentés dans un tableau au niveau branche et sous-branche selon la nomenclature des activités et produits des Etats membres d’AFRISTAT. Ce tableau comporte les indices du trimestre, les indices des trimestres précédents de l’année en cours, l</w:t>
                            </w:r>
                            <w:r>
                              <w:rPr>
                                <w:i/>
                                <w:iCs/>
                                <w:sz w:val="18"/>
                                <w:szCs w:val="18"/>
                                <w:lang w:val="fr-BE"/>
                              </w:rPr>
                              <w:t>’</w:t>
                            </w:r>
                            <w:r w:rsidRPr="00E86D82">
                              <w:rPr>
                                <w:i/>
                                <w:iCs/>
                                <w:sz w:val="18"/>
                                <w:szCs w:val="18"/>
                                <w:lang w:val="fr-BE"/>
                              </w:rPr>
                              <w:t xml:space="preserve">indice du même trimestre de l’année précédente, les variations entre le trimestre courant et le même trimestre de l’année précédente. Les indices sont disponibles au plus tard </w:t>
                            </w:r>
                            <w:r>
                              <w:rPr>
                                <w:i/>
                                <w:iCs/>
                                <w:sz w:val="18"/>
                                <w:szCs w:val="18"/>
                                <w:lang w:val="fr-BE"/>
                              </w:rPr>
                              <w:t>75</w:t>
                            </w:r>
                            <w:r w:rsidRPr="00E86D82">
                              <w:rPr>
                                <w:i/>
                                <w:iCs/>
                                <w:sz w:val="18"/>
                                <w:szCs w:val="18"/>
                                <w:lang w:val="fr-BE"/>
                              </w:rPr>
                              <w:t xml:space="preserve"> jours après la fin du trimestre sous revue. Ils sont accessibles sur le site internet de l’Agence </w:t>
                            </w:r>
                            <w:r w:rsidRPr="00E86D82">
                              <w:rPr>
                                <w:b/>
                                <w:bCs/>
                                <w:i/>
                                <w:iCs/>
                                <w:sz w:val="18"/>
                                <w:szCs w:val="18"/>
                                <w:lang w:val="fr-BE"/>
                              </w:rPr>
                              <w:t xml:space="preserve">: </w:t>
                            </w:r>
                            <w:hyperlink r:id="rId10" w:history="1">
                              <w:r w:rsidRPr="00E86D82">
                                <w:rPr>
                                  <w:rStyle w:val="Lienhypertexte"/>
                                  <w:bCs/>
                                  <w:i/>
                                  <w:iCs/>
                                  <w:sz w:val="18"/>
                                  <w:szCs w:val="18"/>
                                  <w:lang w:val="fr-BE"/>
                                </w:rPr>
                                <w:t>www.ansd.sn</w:t>
                              </w:r>
                            </w:hyperlink>
                            <w:r w:rsidRPr="00E86D82">
                              <w:rPr>
                                <w:i/>
                                <w:iCs/>
                                <w:sz w:val="18"/>
                                <w:szCs w:val="18"/>
                                <w:lang w:val="fr-BE"/>
                              </w:rPr>
                              <w:t xml:space="preserve">. </w:t>
                            </w:r>
                          </w:p>
                          <w:p w14:paraId="1080BC72" w14:textId="77777777" w:rsidR="009C0C9B" w:rsidRPr="00E86D82" w:rsidRDefault="009C0C9B" w:rsidP="00A450E4">
                            <w:pPr>
                              <w:jc w:val="both"/>
                              <w:rPr>
                                <w:bCs/>
                                <w:i/>
                                <w:iCs/>
                                <w:sz w:val="18"/>
                                <w:szCs w:val="18"/>
                                <w:lang w:val="fr-BE"/>
                              </w:rPr>
                            </w:pPr>
                          </w:p>
                          <w:p w14:paraId="35CA2826" w14:textId="77777777" w:rsidR="009C0C9B" w:rsidRPr="00E86D82" w:rsidRDefault="009C0C9B" w:rsidP="00A450E4">
                            <w:pPr>
                              <w:jc w:val="both"/>
                              <w:rPr>
                                <w:bCs/>
                                <w:i/>
                                <w:iCs/>
                                <w:sz w:val="18"/>
                                <w:szCs w:val="18"/>
                              </w:rPr>
                            </w:pPr>
                          </w:p>
                          <w:p w14:paraId="2772FF44" w14:textId="77777777" w:rsidR="009C0C9B" w:rsidRPr="00E86D82" w:rsidRDefault="009C0C9B" w:rsidP="00A450E4">
                            <w:pPr>
                              <w:jc w:val="both"/>
                              <w:rPr>
                                <w:bCs/>
                                <w:i/>
                                <w:iCs/>
                                <w:sz w:val="18"/>
                                <w:szCs w:val="18"/>
                              </w:rPr>
                            </w:pPr>
                          </w:p>
                          <w:p w14:paraId="01B795CB" w14:textId="77777777" w:rsidR="009C0C9B" w:rsidRPr="00E86D82" w:rsidRDefault="009C0C9B" w:rsidP="00A450E4">
                            <w:pPr>
                              <w:jc w:val="both"/>
                              <w:rPr>
                                <w:bCs/>
                                <w:i/>
                                <w:iCs/>
                                <w:sz w:val="18"/>
                                <w:szCs w:val="18"/>
                              </w:rPr>
                            </w:pPr>
                          </w:p>
                          <w:p w14:paraId="7AFA4829" w14:textId="77777777" w:rsidR="009C0C9B" w:rsidRPr="00E86D82" w:rsidRDefault="009C0C9B" w:rsidP="00A450E4">
                            <w:pPr>
                              <w:jc w:val="both"/>
                              <w:rPr>
                                <w:bCs/>
                                <w:i/>
                                <w:iCs/>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BB06FB" id="Zone de texte 7" o:spid="_x0000_s1027" type="#_x0000_t202" style="position:absolute;left:0;text-align:left;margin-left:-19.45pt;margin-top:24.85pt;width:471pt;height:587.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" strokeweight="3pt">
                <v:stroke linestyle="thinThin"/>
                <v:textbox>
                  <w:txbxContent>
                    <w:p w14:paraId="08C3AF42" w14:textId="77777777" w:rsidR="009C0C9B" w:rsidRPr="00E86D82" w:rsidRDefault="009C0C9B" w:rsidP="00E13C8E">
                      <w:pPr>
                        <w:spacing w:after="120" w:line="276" w:lineRule="auto"/>
                        <w:jc w:val="both"/>
                        <w:rPr>
                          <w:b/>
                          <w:bCs/>
                          <w:i/>
                          <w:iCs/>
                          <w:sz w:val="18"/>
                          <w:szCs w:val="18"/>
                        </w:rPr>
                      </w:pPr>
                      <w:r w:rsidRPr="00E86D82">
                        <w:rPr>
                          <w:b/>
                          <w:bCs/>
                          <w:i/>
                          <w:iCs/>
                          <w:sz w:val="18"/>
                          <w:szCs w:val="18"/>
                        </w:rPr>
                        <w:t>Champ couvert</w:t>
                      </w:r>
                    </w:p>
                    <w:p w14:paraId="56272D86" w14:textId="77777777" w:rsidR="009C0C9B" w:rsidRPr="00E86D82" w:rsidRDefault="009C0C9B" w:rsidP="00E13C8E">
                      <w:pPr>
                        <w:spacing w:after="120" w:line="276" w:lineRule="auto"/>
                        <w:jc w:val="both"/>
                        <w:rPr>
                          <w:bCs/>
                          <w:i/>
                          <w:iCs/>
                          <w:sz w:val="18"/>
                          <w:szCs w:val="18"/>
                        </w:rPr>
                      </w:pPr>
                      <w:r w:rsidRPr="00E86D82">
                        <w:rPr>
                          <w:bCs/>
                          <w:i/>
                          <w:iCs/>
                          <w:sz w:val="18"/>
                          <w:szCs w:val="18"/>
                        </w:rPr>
                        <w:t>Le champ d’application de l’ICA-I suivant les nouvelles recommandations se définit par rapport à la CITI rev4/NAEMA rev1. Le secteur industriel comprend à cet effet, les sections B (Activités extractives), C (Activités de fabrication), D (Production et distribution d’électricité, de gaz, de vapeur et de climatisation), E (Approvisionnement en eau, activités d’assainissement et de gestion des déchets, dépollution) ainsi que les services « dits industriels ». Certaines activités telles que l’égrenage du coton sont exclues du champ de l’ICA-I. Cependant pour des besoins de la conjoncture, l’évolution du chiffre d’affaires de l’égrenage de coton est analysée dans cette note.</w:t>
                      </w:r>
                    </w:p>
                    <w:p w14:paraId="380A5083" w14:textId="77777777" w:rsidR="009C0C9B" w:rsidRPr="00E86D82" w:rsidRDefault="009C0C9B" w:rsidP="00E13C8E">
                      <w:pPr>
                        <w:spacing w:after="120" w:line="276" w:lineRule="auto"/>
                        <w:jc w:val="both"/>
                        <w:rPr>
                          <w:b/>
                          <w:bCs/>
                          <w:i/>
                          <w:iCs/>
                          <w:sz w:val="18"/>
                          <w:szCs w:val="18"/>
                        </w:rPr>
                      </w:pPr>
                      <w:r w:rsidRPr="00E86D82">
                        <w:rPr>
                          <w:b/>
                          <w:bCs/>
                          <w:i/>
                          <w:iCs/>
                          <w:sz w:val="18"/>
                          <w:szCs w:val="18"/>
                        </w:rPr>
                        <w:t>Modalité de tirage de l’échantillon</w:t>
                      </w:r>
                    </w:p>
                    <w:p w14:paraId="7EBF7B77" w14:textId="77777777" w:rsidR="009C0C9B" w:rsidRPr="00E86D82" w:rsidRDefault="009C0C9B" w:rsidP="00E13C8E">
                      <w:pPr>
                        <w:spacing w:after="120" w:line="276" w:lineRule="auto"/>
                        <w:jc w:val="both"/>
                        <w:rPr>
                          <w:i/>
                          <w:iCs/>
                          <w:sz w:val="18"/>
                          <w:szCs w:val="18"/>
                          <w:lang w:val="fr-BE"/>
                        </w:rPr>
                      </w:pPr>
                      <w:r w:rsidRPr="00E86D82">
                        <w:rPr>
                          <w:i/>
                          <w:iCs/>
                          <w:sz w:val="18"/>
                          <w:szCs w:val="18"/>
                        </w:rPr>
                        <w:t>Pour le tirage de l’échantillon, il est fait recours aux méthodes non probabilistes subjectives (choix raisonné) et basées sur le seuil d’inclusion. La technique utilisée est celle de l’exhaustif tronqué (</w:t>
                      </w:r>
                      <w:proofErr w:type="spellStart"/>
                      <w:r w:rsidRPr="00E86D82">
                        <w:rPr>
                          <w:i/>
                          <w:iCs/>
                          <w:sz w:val="18"/>
                          <w:szCs w:val="18"/>
                        </w:rPr>
                        <w:t>cut</w:t>
                      </w:r>
                      <w:proofErr w:type="spellEnd"/>
                      <w:r w:rsidRPr="00E86D82">
                        <w:rPr>
                          <w:i/>
                          <w:iCs/>
                          <w:sz w:val="18"/>
                          <w:szCs w:val="18"/>
                        </w:rPr>
                        <w:t xml:space="preserve">‐off) visant à assurer la couverture maximale du secteur de l’industrie. La méthode consiste à faire un </w:t>
                      </w:r>
                      <w:r w:rsidRPr="00E86D82">
                        <w:rPr>
                          <w:i/>
                          <w:iCs/>
                          <w:sz w:val="18"/>
                          <w:szCs w:val="18"/>
                          <w:lang w:val="fr-BE"/>
                        </w:rPr>
                        <w:t xml:space="preserve">tri des entreprises par taille décroissante du chiffre d’affaires au niveau de chaque sous-branche d’activités. Ensuite, le calcul des proportions du CA des entreprises et celui des proportions cumulées est effectué. Il est fixé un seuil de pourcentage cumulé de CA, une borne au-delà de laquelle toutes les entreprises sont retenues. Cependant, pour une meilleure représentativité de l’échantillon, certaines entreprises qui </w:t>
                      </w:r>
                      <w:r>
                        <w:rPr>
                          <w:i/>
                          <w:iCs/>
                          <w:sz w:val="18"/>
                          <w:szCs w:val="18"/>
                          <w:lang w:val="fr-BE"/>
                        </w:rPr>
                        <w:t xml:space="preserve">sont </w:t>
                      </w:r>
                      <w:r w:rsidRPr="00E86D82">
                        <w:rPr>
                          <w:i/>
                          <w:iCs/>
                          <w:sz w:val="18"/>
                          <w:szCs w:val="18"/>
                          <w:lang w:val="fr-BE"/>
                        </w:rPr>
                        <w:t>situ</w:t>
                      </w:r>
                      <w:r>
                        <w:rPr>
                          <w:i/>
                          <w:iCs/>
                          <w:sz w:val="18"/>
                          <w:szCs w:val="18"/>
                          <w:lang w:val="fr-BE"/>
                        </w:rPr>
                        <w:t>ées</w:t>
                      </w:r>
                      <w:r w:rsidRPr="00E86D82">
                        <w:rPr>
                          <w:i/>
                          <w:iCs/>
                          <w:sz w:val="18"/>
                          <w:szCs w:val="18"/>
                          <w:lang w:val="fr-BE"/>
                        </w:rPr>
                        <w:t xml:space="preserve"> en deçà du seuil sont repêchées. </w:t>
                      </w:r>
                    </w:p>
                    <w:p w14:paraId="12F0882F"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Une mise à jour de l’échantillon est effectuée chaque année en tenant compte des modifications dans le tissu industriel. </w:t>
                      </w:r>
                    </w:p>
                    <w:p w14:paraId="30A5219B" w14:textId="77777777" w:rsidR="009C0C9B" w:rsidRPr="00E86D82" w:rsidRDefault="009C0C9B" w:rsidP="00E13C8E">
                      <w:pPr>
                        <w:spacing w:after="120" w:line="276" w:lineRule="auto"/>
                        <w:jc w:val="both"/>
                        <w:rPr>
                          <w:i/>
                          <w:iCs/>
                          <w:sz w:val="18"/>
                          <w:szCs w:val="18"/>
                        </w:rPr>
                      </w:pPr>
                      <w:r w:rsidRPr="00E86D82">
                        <w:rPr>
                          <w:i/>
                          <w:iCs/>
                          <w:sz w:val="18"/>
                          <w:szCs w:val="18"/>
                        </w:rPr>
                        <w:t>La base de sondage utilisée est celle du Centre Unique de Collecte de l’Information (CUCI) de l’ANSD. Celle-ci est une liste exhaustive de toutes les entreprises du secteur moderne qui ont déposé, au moins une fois, un état financier.</w:t>
                      </w:r>
                    </w:p>
                    <w:p w14:paraId="4A07096E" w14:textId="77777777" w:rsidR="009C0C9B" w:rsidRPr="00E86D82" w:rsidRDefault="009C0C9B" w:rsidP="00E13C8E">
                      <w:pPr>
                        <w:spacing w:after="120" w:line="276" w:lineRule="auto"/>
                        <w:jc w:val="both"/>
                        <w:rPr>
                          <w:b/>
                          <w:bCs/>
                          <w:i/>
                          <w:iCs/>
                          <w:sz w:val="18"/>
                          <w:szCs w:val="18"/>
                        </w:rPr>
                      </w:pPr>
                      <w:r w:rsidRPr="00E86D82">
                        <w:rPr>
                          <w:b/>
                          <w:bCs/>
                          <w:i/>
                          <w:iCs/>
                          <w:sz w:val="18"/>
                          <w:szCs w:val="18"/>
                        </w:rPr>
                        <w:t>Modalité de calcul des indices</w:t>
                      </w:r>
                    </w:p>
                    <w:p w14:paraId="0B019DCD"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Les indices sont calculés de façon hiérarchique à partir des indices élémentaires des gammes de produits jusqu’à l’indice d’ensemble. Selon la nature des formules utilisées dans le calcul, deux types d’indices sont identifiés : les indices élémentaires des gammes et les indices de niveaux agrégés. </w:t>
                      </w:r>
                    </w:p>
                    <w:p w14:paraId="580F76F8"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Les indices élémentaires représentent le rapport du chiffre d’affaires au cours du trimestre courant à celui correspondant à la moyenne de l’année de base ou de référence. </w:t>
                      </w:r>
                    </w:p>
                    <w:p w14:paraId="6453FC75" w14:textId="77777777"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Les indices aux niveaux agrégés de la nomenclature sont calculés à partir de la formule de l’indice de </w:t>
                      </w:r>
                      <w:proofErr w:type="spellStart"/>
                      <w:r w:rsidRPr="00E86D82">
                        <w:rPr>
                          <w:i/>
                          <w:iCs/>
                          <w:sz w:val="18"/>
                          <w:szCs w:val="18"/>
                          <w:lang w:val="fr-BE"/>
                        </w:rPr>
                        <w:t>Laspeyres</w:t>
                      </w:r>
                      <w:proofErr w:type="spellEnd"/>
                      <w:r w:rsidRPr="00E86D82">
                        <w:rPr>
                          <w:i/>
                          <w:iCs/>
                          <w:sz w:val="18"/>
                          <w:szCs w:val="18"/>
                          <w:lang w:val="fr-BE"/>
                        </w:rPr>
                        <w:t>. Ils concernent les indices classes, groupes, divisions, divisions regroupées, types industries et d’ensemble. Ces indices sont obtenus par une moyenne arithmétique pondérée des sous indices qui les composent.</w:t>
                      </w:r>
                    </w:p>
                    <w:p w14:paraId="0508F1B8" w14:textId="77777777" w:rsidR="009C0C9B" w:rsidRPr="00E86D82" w:rsidRDefault="009C0C9B" w:rsidP="00E13C8E">
                      <w:pPr>
                        <w:spacing w:before="120" w:after="120" w:line="276" w:lineRule="auto"/>
                        <w:jc w:val="both"/>
                        <w:rPr>
                          <w:sz w:val="18"/>
                          <w:szCs w:val="18"/>
                        </w:rPr>
                      </w:pPr>
                      <w:r w:rsidRPr="00E86D82">
                        <w:rPr>
                          <w:i/>
                          <w:iCs/>
                          <w:sz w:val="18"/>
                          <w:szCs w:val="18"/>
                          <w:lang w:val="fr-BE"/>
                        </w:rPr>
                        <w:t xml:space="preserve"> Les nouvelles recommandations internationales de 2008 requièrent l’utilisation d’un système de double pondération dynamique avec comme variables la valeur ajoutée et les chiffres d’affaires. Les chiffres d’affaires sont utilisés jusqu’au niveau classe (catégorie à quatre chiffres de la NAEMA rev1) et les valeurs ajoutées à partir du niveau groupe (catégorie à trois chiffres de la NAEMA rev1).  Chaque année, les pondérations sont actualisées, par changement de la période de référence.</w:t>
                      </w:r>
                    </w:p>
                    <w:p w14:paraId="432DD1D2" w14:textId="77777777" w:rsidR="009C0C9B" w:rsidRPr="00E86D82" w:rsidRDefault="009C0C9B" w:rsidP="00E13C8E">
                      <w:pPr>
                        <w:spacing w:after="120" w:line="276" w:lineRule="auto"/>
                        <w:jc w:val="both"/>
                        <w:rPr>
                          <w:b/>
                          <w:bCs/>
                          <w:i/>
                          <w:iCs/>
                          <w:sz w:val="18"/>
                          <w:szCs w:val="18"/>
                        </w:rPr>
                      </w:pPr>
                      <w:r w:rsidRPr="00E86D82">
                        <w:rPr>
                          <w:b/>
                          <w:bCs/>
                          <w:i/>
                          <w:iCs/>
                          <w:sz w:val="18"/>
                          <w:szCs w:val="18"/>
                        </w:rPr>
                        <w:t>Diffusion</w:t>
                      </w:r>
                    </w:p>
                    <w:p w14:paraId="4FD7450C" w14:textId="43416174" w:rsidR="009C0C9B" w:rsidRPr="00E86D82" w:rsidRDefault="009C0C9B" w:rsidP="00E13C8E">
                      <w:pPr>
                        <w:spacing w:after="120" w:line="276" w:lineRule="auto"/>
                        <w:jc w:val="both"/>
                        <w:rPr>
                          <w:i/>
                          <w:iCs/>
                          <w:sz w:val="18"/>
                          <w:szCs w:val="18"/>
                          <w:lang w:val="fr-BE"/>
                        </w:rPr>
                      </w:pPr>
                      <w:r w:rsidRPr="00E86D82">
                        <w:rPr>
                          <w:i/>
                          <w:iCs/>
                          <w:sz w:val="18"/>
                          <w:szCs w:val="18"/>
                          <w:lang w:val="fr-BE"/>
                        </w:rPr>
                        <w:t xml:space="preserve"> Les indices sont présentés dans un tableau au niveau branche et sous-branche selon la nomenclature des activités et produits des Etats membres d’AFRISTAT. Ce tableau comporte les indices du trimestre, les indices des trimestres précédents de l’année en cours, l</w:t>
                      </w:r>
                      <w:r>
                        <w:rPr>
                          <w:i/>
                          <w:iCs/>
                          <w:sz w:val="18"/>
                          <w:szCs w:val="18"/>
                          <w:lang w:val="fr-BE"/>
                        </w:rPr>
                        <w:t>’</w:t>
                      </w:r>
                      <w:r w:rsidRPr="00E86D82">
                        <w:rPr>
                          <w:i/>
                          <w:iCs/>
                          <w:sz w:val="18"/>
                          <w:szCs w:val="18"/>
                          <w:lang w:val="fr-BE"/>
                        </w:rPr>
                        <w:t xml:space="preserve">indice du même trimestre de l’année précédente, les variations entre le trimestre courant et le même trimestre de l’année précédente. Les indices sont disponibles au plus tard </w:t>
                      </w:r>
                      <w:r>
                        <w:rPr>
                          <w:i/>
                          <w:iCs/>
                          <w:sz w:val="18"/>
                          <w:szCs w:val="18"/>
                          <w:lang w:val="fr-BE"/>
                        </w:rPr>
                        <w:t>75</w:t>
                      </w:r>
                      <w:r w:rsidRPr="00E86D82">
                        <w:rPr>
                          <w:i/>
                          <w:iCs/>
                          <w:sz w:val="18"/>
                          <w:szCs w:val="18"/>
                          <w:lang w:val="fr-BE"/>
                        </w:rPr>
                        <w:t xml:space="preserve"> jours après la fin du trimestre sous revue. Ils sont accessibles sur le site internet de l’Agence </w:t>
                      </w:r>
                      <w:r w:rsidRPr="00E86D82">
                        <w:rPr>
                          <w:b/>
                          <w:bCs/>
                          <w:i/>
                          <w:iCs/>
                          <w:sz w:val="18"/>
                          <w:szCs w:val="18"/>
                          <w:lang w:val="fr-BE"/>
                        </w:rPr>
                        <w:t xml:space="preserve">: </w:t>
                      </w:r>
                      <w:hyperlink r:id="rId11" w:history="1">
                        <w:r w:rsidRPr="00E86D82">
                          <w:rPr>
                            <w:rStyle w:val="Lienhypertexte"/>
                            <w:bCs/>
                            <w:i/>
                            <w:iCs/>
                            <w:sz w:val="18"/>
                            <w:szCs w:val="18"/>
                            <w:lang w:val="fr-BE"/>
                          </w:rPr>
                          <w:t>www.ansd.sn</w:t>
                        </w:r>
                      </w:hyperlink>
                      <w:r w:rsidRPr="00E86D82">
                        <w:rPr>
                          <w:i/>
                          <w:iCs/>
                          <w:sz w:val="18"/>
                          <w:szCs w:val="18"/>
                          <w:lang w:val="fr-BE"/>
                        </w:rPr>
                        <w:t xml:space="preserve">. </w:t>
                      </w:r>
                    </w:p>
                    <w:p w14:paraId="1080BC72" w14:textId="77777777" w:rsidR="009C0C9B" w:rsidRPr="00E86D82" w:rsidRDefault="009C0C9B" w:rsidP="00A450E4">
                      <w:pPr>
                        <w:jc w:val="both"/>
                        <w:rPr>
                          <w:bCs/>
                          <w:i/>
                          <w:iCs/>
                          <w:sz w:val="18"/>
                          <w:szCs w:val="18"/>
                          <w:lang w:val="fr-BE"/>
                        </w:rPr>
                      </w:pPr>
                    </w:p>
                    <w:p w14:paraId="35CA2826" w14:textId="77777777" w:rsidR="009C0C9B" w:rsidRPr="00E86D82" w:rsidRDefault="009C0C9B" w:rsidP="00A450E4">
                      <w:pPr>
                        <w:jc w:val="both"/>
                        <w:rPr>
                          <w:bCs/>
                          <w:i/>
                          <w:iCs/>
                          <w:sz w:val="18"/>
                          <w:szCs w:val="18"/>
                        </w:rPr>
                      </w:pPr>
                    </w:p>
                    <w:p w14:paraId="2772FF44" w14:textId="77777777" w:rsidR="009C0C9B" w:rsidRPr="00E86D82" w:rsidRDefault="009C0C9B" w:rsidP="00A450E4">
                      <w:pPr>
                        <w:jc w:val="both"/>
                        <w:rPr>
                          <w:bCs/>
                          <w:i/>
                          <w:iCs/>
                          <w:sz w:val="18"/>
                          <w:szCs w:val="18"/>
                        </w:rPr>
                      </w:pPr>
                    </w:p>
                    <w:p w14:paraId="01B795CB" w14:textId="77777777" w:rsidR="009C0C9B" w:rsidRPr="00E86D82" w:rsidRDefault="009C0C9B" w:rsidP="00A450E4">
                      <w:pPr>
                        <w:jc w:val="both"/>
                        <w:rPr>
                          <w:bCs/>
                          <w:i/>
                          <w:iCs/>
                          <w:sz w:val="18"/>
                          <w:szCs w:val="18"/>
                        </w:rPr>
                      </w:pPr>
                    </w:p>
                    <w:p w14:paraId="7AFA4829" w14:textId="77777777" w:rsidR="009C0C9B" w:rsidRPr="00E86D82" w:rsidRDefault="009C0C9B" w:rsidP="00A450E4">
                      <w:pPr>
                        <w:jc w:val="both"/>
                        <w:rPr>
                          <w:bCs/>
                          <w:i/>
                          <w:iCs/>
                          <w:sz w:val="18"/>
                          <w:szCs w:val="18"/>
                        </w:rPr>
                      </w:pPr>
                    </w:p>
                  </w:txbxContent>
                </v:textbox>
                <w10:wrap anchorx="margin"/>
              </v:shape>
            </w:pict>
          </mc:Fallback>
        </mc:AlternateContent>
      </w:r>
    </w:p>
    <w:p w14:paraId="19420F3E" w14:textId="77777777" w:rsidR="00CD0ECE" w:rsidRDefault="00CD0ECE" w:rsidP="0041475F">
      <w:pPr>
        <w:jc w:val="center"/>
        <w:rPr>
          <w:rFonts w:ascii="Times New Roman" w:eastAsiaTheme="minorEastAsia" w:hAnsi="Times New Roman" w:cs="Times New Roman"/>
          <w:b/>
          <w:sz w:val="32"/>
          <w:szCs w:val="72"/>
          <w:lang w:eastAsia="fr-FR"/>
          <w14:shadow w14:blurRad="50800" w14:dist="38100" w14:dir="2700000" w14:sx="100000" w14:sy="100000" w14:kx="0" w14:ky="0" w14:algn="tl">
            <w14:srgbClr w14:val="000000">
              <w14:alpha w14:val="60000"/>
            </w14:srgbClr>
          </w14:shadow>
        </w:rPr>
      </w:pPr>
    </w:p>
    <w:tbl>
      <w:tblPr>
        <w:tblpPr w:leftFromText="141" w:rightFromText="141" w:vertAnchor="text" w:horzAnchor="margin" w:tblpX="-15" w:tblpY="1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DB3E2"/>
        <w:tblLook w:val="04A0" w:firstRow="1" w:lastRow="0" w:firstColumn="1" w:lastColumn="0" w:noHBand="0" w:noVBand="1"/>
      </w:tblPr>
      <w:tblGrid>
        <w:gridCol w:w="9062"/>
      </w:tblGrid>
      <w:tr w:rsidR="00907127" w:rsidRPr="0057408E" w14:paraId="0089805B" w14:textId="77777777" w:rsidTr="00AE36B9">
        <w:trPr>
          <w:trHeight w:val="299"/>
        </w:trPr>
        <w:tc>
          <w:tcPr>
            <w:tcW w:w="10070" w:type="dxa"/>
            <w:shd w:val="clear" w:color="auto" w:fill="8DB3E2"/>
          </w:tcPr>
          <w:p w14:paraId="164F7007" w14:textId="77777777" w:rsidR="00907127" w:rsidRPr="0057408E" w:rsidRDefault="00907127" w:rsidP="00AE36B9">
            <w:pPr>
              <w:spacing w:before="60" w:after="60" w:line="240" w:lineRule="auto"/>
              <w:rPr>
                <w:rFonts w:ascii="Arial" w:eastAsia="Times New Roman" w:hAnsi="Arial" w:cs="Arial"/>
                <w:i/>
                <w:iCs/>
                <w:sz w:val="20"/>
                <w:szCs w:val="20"/>
                <w:lang w:eastAsia="fr-FR"/>
              </w:rPr>
            </w:pPr>
            <w:r w:rsidRPr="0057408E">
              <w:rPr>
                <w:rFonts w:ascii="Arial" w:eastAsia="Times New Roman" w:hAnsi="Arial" w:cs="Times New Roman"/>
                <w:b/>
                <w:szCs w:val="24"/>
                <w:u w:val="single"/>
                <w:lang w:eastAsia="fr-FR"/>
              </w:rPr>
              <w:t>ANALYSE D’ENSEMBLE</w:t>
            </w:r>
            <w:r>
              <w:rPr>
                <w:rFonts w:ascii="Arial" w:eastAsia="Times New Roman" w:hAnsi="Arial" w:cs="Arial"/>
                <w:b/>
                <w:bCs/>
                <w:i/>
                <w:iCs/>
                <w:sz w:val="20"/>
                <w:szCs w:val="20"/>
                <w:lang w:eastAsia="fr-FR"/>
              </w:rPr>
              <w:t> :</w:t>
            </w:r>
            <w:r w:rsidR="00B273BA">
              <w:rPr>
                <w:rFonts w:ascii="Arial" w:eastAsia="Times New Roman" w:hAnsi="Arial" w:cs="Arial"/>
                <w:b/>
                <w:bCs/>
                <w:i/>
                <w:iCs/>
                <w:sz w:val="20"/>
                <w:szCs w:val="20"/>
                <w:lang w:eastAsia="fr-FR"/>
              </w:rPr>
              <w:t xml:space="preserve"> </w:t>
            </w:r>
            <w:r w:rsidR="00B273BA" w:rsidRPr="00B273BA">
              <w:rPr>
                <w:rFonts w:ascii="Arial" w:eastAsia="Times New Roman" w:hAnsi="Arial" w:cs="Arial"/>
                <w:b/>
                <w:bCs/>
                <w:iCs/>
                <w:szCs w:val="20"/>
                <w:lang w:eastAsia="fr-FR"/>
              </w:rPr>
              <w:t xml:space="preserve">Une </w:t>
            </w:r>
            <w:r w:rsidR="005C6FFC">
              <w:rPr>
                <w:rFonts w:ascii="Arial" w:eastAsia="Times New Roman" w:hAnsi="Arial" w:cs="Arial"/>
                <w:b/>
                <w:bCs/>
                <w:iCs/>
                <w:szCs w:val="20"/>
                <w:lang w:eastAsia="fr-FR"/>
              </w:rPr>
              <w:t>diminution du chiffre</w:t>
            </w:r>
            <w:r w:rsidR="00B273BA" w:rsidRPr="00B273BA">
              <w:rPr>
                <w:rFonts w:ascii="Arial" w:eastAsia="Times New Roman" w:hAnsi="Arial" w:cs="Arial"/>
                <w:b/>
                <w:bCs/>
                <w:iCs/>
                <w:szCs w:val="20"/>
                <w:lang w:eastAsia="fr-FR"/>
              </w:rPr>
              <w:t xml:space="preserve"> d’affaires dans l’industrie</w:t>
            </w:r>
          </w:p>
        </w:tc>
      </w:tr>
    </w:tbl>
    <w:p w14:paraId="393D298F" w14:textId="50A1F22A" w:rsidR="00AF5DFE" w:rsidRPr="00AF5DFE" w:rsidRDefault="00AF5DFE" w:rsidP="00AF5DFE">
      <w:pPr>
        <w:rPr>
          <w:rFonts w:ascii="Times New Roman" w:eastAsiaTheme="minorEastAsia" w:hAnsi="Times New Roman" w:cs="Times New Roman"/>
          <w:sz w:val="56"/>
          <w:szCs w:val="72"/>
          <w:lang w:eastAsia="fr-FR"/>
        </w:rPr>
      </w:pPr>
    </w:p>
    <w:p w14:paraId="7A7021C5" w14:textId="77777777" w:rsidR="00AF5DFE" w:rsidRPr="00AF5DFE" w:rsidRDefault="00AF5DFE" w:rsidP="00AF5DFE">
      <w:pPr>
        <w:rPr>
          <w:rFonts w:ascii="Times New Roman" w:eastAsiaTheme="minorEastAsia" w:hAnsi="Times New Roman" w:cs="Times New Roman"/>
          <w:sz w:val="56"/>
          <w:szCs w:val="72"/>
          <w:lang w:eastAsia="fr-FR"/>
        </w:rPr>
      </w:pPr>
    </w:p>
    <w:p w14:paraId="3ACC8611" w14:textId="77777777" w:rsidR="00AF5DFE" w:rsidRPr="00AF5DFE" w:rsidRDefault="00AF5DFE" w:rsidP="00AF5DFE">
      <w:pPr>
        <w:rPr>
          <w:rFonts w:ascii="Times New Roman" w:eastAsiaTheme="minorEastAsia" w:hAnsi="Times New Roman" w:cs="Times New Roman"/>
          <w:sz w:val="56"/>
          <w:szCs w:val="72"/>
          <w:lang w:eastAsia="fr-FR"/>
        </w:rPr>
      </w:pPr>
    </w:p>
    <w:p w14:paraId="53400B9F" w14:textId="77777777" w:rsidR="00AF5DFE" w:rsidRPr="00AF5DFE" w:rsidRDefault="00AF5DFE" w:rsidP="00AF5DFE">
      <w:pPr>
        <w:rPr>
          <w:rFonts w:ascii="Times New Roman" w:eastAsiaTheme="minorEastAsia" w:hAnsi="Times New Roman" w:cs="Times New Roman"/>
          <w:sz w:val="56"/>
          <w:szCs w:val="72"/>
          <w:lang w:eastAsia="fr-FR"/>
        </w:rPr>
      </w:pPr>
    </w:p>
    <w:p w14:paraId="5B0ABD9C" w14:textId="77777777" w:rsidR="00AF5DFE" w:rsidRPr="00AF5DFE" w:rsidRDefault="00AF5DFE" w:rsidP="00AF5DFE">
      <w:pPr>
        <w:rPr>
          <w:rFonts w:ascii="Times New Roman" w:eastAsiaTheme="minorEastAsia" w:hAnsi="Times New Roman" w:cs="Times New Roman"/>
          <w:sz w:val="56"/>
          <w:szCs w:val="72"/>
          <w:lang w:eastAsia="fr-FR"/>
        </w:rPr>
      </w:pPr>
    </w:p>
    <w:p w14:paraId="4618E443" w14:textId="77777777" w:rsidR="00AF5DFE" w:rsidRPr="00AF5DFE" w:rsidRDefault="00AF5DFE" w:rsidP="00AF5DFE">
      <w:pPr>
        <w:rPr>
          <w:rFonts w:ascii="Times New Roman" w:eastAsiaTheme="minorEastAsia" w:hAnsi="Times New Roman" w:cs="Times New Roman"/>
          <w:sz w:val="56"/>
          <w:szCs w:val="72"/>
          <w:lang w:eastAsia="fr-FR"/>
        </w:rPr>
      </w:pPr>
    </w:p>
    <w:p w14:paraId="43F9A8F8" w14:textId="77777777" w:rsidR="00AF5DFE" w:rsidRPr="00AF5DFE" w:rsidRDefault="00AF5DFE" w:rsidP="00AF5DFE">
      <w:pPr>
        <w:rPr>
          <w:rFonts w:ascii="Times New Roman" w:eastAsiaTheme="minorEastAsia" w:hAnsi="Times New Roman" w:cs="Times New Roman"/>
          <w:sz w:val="56"/>
          <w:szCs w:val="72"/>
          <w:lang w:eastAsia="fr-FR"/>
        </w:rPr>
      </w:pPr>
    </w:p>
    <w:p w14:paraId="5BD408A2" w14:textId="77777777" w:rsidR="00AF5DFE" w:rsidRPr="00AF5DFE" w:rsidRDefault="00AF5DFE" w:rsidP="00AF5DFE">
      <w:pPr>
        <w:rPr>
          <w:rFonts w:ascii="Times New Roman" w:eastAsiaTheme="minorEastAsia" w:hAnsi="Times New Roman" w:cs="Times New Roman"/>
          <w:sz w:val="56"/>
          <w:szCs w:val="72"/>
          <w:lang w:eastAsia="fr-FR"/>
        </w:rPr>
      </w:pPr>
    </w:p>
    <w:p w14:paraId="705C272F" w14:textId="77777777" w:rsidR="00E13C8E" w:rsidRDefault="00E13C8E" w:rsidP="00AF5DFE">
      <w:pPr>
        <w:jc w:val="center"/>
        <w:rPr>
          <w:rFonts w:ascii="Times New Roman" w:eastAsiaTheme="minorEastAsia" w:hAnsi="Times New Roman" w:cs="Times New Roman"/>
          <w:szCs w:val="72"/>
          <w:lang w:eastAsia="fr-FR"/>
        </w:rPr>
      </w:pPr>
    </w:p>
    <w:p w14:paraId="1A582B57" w14:textId="77777777" w:rsidR="00E13C8E" w:rsidRDefault="00E13C8E" w:rsidP="00AF5DFE">
      <w:pPr>
        <w:jc w:val="center"/>
        <w:rPr>
          <w:rFonts w:ascii="Times New Roman" w:eastAsiaTheme="minorEastAsia" w:hAnsi="Times New Roman" w:cs="Times New Roman"/>
          <w:szCs w:val="72"/>
          <w:lang w:eastAsia="fr-FR"/>
        </w:rPr>
      </w:pPr>
    </w:p>
    <w:p w14:paraId="4383666C" w14:textId="77777777" w:rsidR="00E13C8E" w:rsidRDefault="00E13C8E" w:rsidP="00AF5DFE">
      <w:pPr>
        <w:jc w:val="center"/>
        <w:rPr>
          <w:rFonts w:ascii="Times New Roman" w:eastAsiaTheme="minorEastAsia" w:hAnsi="Times New Roman" w:cs="Times New Roman"/>
          <w:szCs w:val="72"/>
          <w:lang w:eastAsia="fr-FR"/>
        </w:rPr>
      </w:pPr>
    </w:p>
    <w:p w14:paraId="22FD1175" w14:textId="77777777" w:rsidR="00E13C8E" w:rsidRDefault="00E13C8E" w:rsidP="00AF5DFE">
      <w:pPr>
        <w:jc w:val="center"/>
        <w:rPr>
          <w:rFonts w:ascii="Times New Roman" w:eastAsiaTheme="minorEastAsia" w:hAnsi="Times New Roman" w:cs="Times New Roman"/>
          <w:szCs w:val="72"/>
          <w:lang w:eastAsia="fr-FR"/>
        </w:rPr>
      </w:pPr>
    </w:p>
    <w:p w14:paraId="61936F46" w14:textId="77777777" w:rsidR="00E13C8E" w:rsidRDefault="00E13C8E" w:rsidP="00AF5DFE">
      <w:pPr>
        <w:jc w:val="center"/>
        <w:rPr>
          <w:rFonts w:ascii="Times New Roman" w:eastAsiaTheme="minorEastAsia" w:hAnsi="Times New Roman" w:cs="Times New Roman"/>
          <w:szCs w:val="72"/>
          <w:lang w:eastAsia="fr-FR"/>
        </w:rPr>
      </w:pPr>
    </w:p>
    <w:sectPr w:rsidR="00E13C8E" w:rsidSect="005E64D1">
      <w:footerReference w:type="default" r:id="rId12"/>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62D770" w14:textId="77777777" w:rsidR="00533292" w:rsidRDefault="00533292" w:rsidP="00C668CC">
      <w:pPr>
        <w:spacing w:after="0" w:line="240" w:lineRule="auto"/>
      </w:pPr>
      <w:r>
        <w:separator/>
      </w:r>
    </w:p>
  </w:endnote>
  <w:endnote w:type="continuationSeparator" w:id="0">
    <w:p w14:paraId="4F63F6F3" w14:textId="77777777" w:rsidR="00533292" w:rsidRDefault="00533292" w:rsidP="00C66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D4D4E9" w14:textId="77777777" w:rsidR="009C0C9B" w:rsidRDefault="009C0C9B" w:rsidP="008F2320">
    <w:pPr>
      <w:pStyle w:val="Pieddepage"/>
    </w:pPr>
  </w:p>
  <w:p w14:paraId="73F88F4F" w14:textId="77777777" w:rsidR="009C0C9B" w:rsidRDefault="009C0C9B" w:rsidP="008F2320">
    <w:pPr>
      <w:pStyle w:val="Titre8"/>
      <w:jc w:val="center"/>
      <w:rPr>
        <w:sz w:val="18"/>
        <w:szCs w:val="18"/>
      </w:rPr>
    </w:pPr>
    <w:r w:rsidRPr="00127E2D">
      <w:rPr>
        <w:b/>
        <w:color w:val="002060"/>
      </w:rPr>
      <w:t>ANSD</w:t>
    </w:r>
    <w:r>
      <w:t xml:space="preserve"> </w:t>
    </w:r>
    <w:r w:rsidRPr="00D06224">
      <w:rPr>
        <w:sz w:val="18"/>
        <w:szCs w:val="18"/>
      </w:rPr>
      <w:t xml:space="preserve">Rocade </w:t>
    </w:r>
    <w:proofErr w:type="spellStart"/>
    <w:r w:rsidRPr="00D06224">
      <w:rPr>
        <w:sz w:val="18"/>
        <w:szCs w:val="18"/>
      </w:rPr>
      <w:t>Fann</w:t>
    </w:r>
    <w:proofErr w:type="spellEnd"/>
    <w:r w:rsidRPr="00D06224">
      <w:rPr>
        <w:sz w:val="18"/>
        <w:szCs w:val="18"/>
      </w:rPr>
      <w:t xml:space="preserve"> </w:t>
    </w:r>
    <w:proofErr w:type="spellStart"/>
    <w:r w:rsidRPr="00D06224">
      <w:rPr>
        <w:sz w:val="18"/>
        <w:szCs w:val="18"/>
      </w:rPr>
      <w:t>Bel-air</w:t>
    </w:r>
    <w:proofErr w:type="spellEnd"/>
    <w:r w:rsidRPr="00D06224">
      <w:rPr>
        <w:sz w:val="18"/>
        <w:szCs w:val="18"/>
      </w:rPr>
      <w:t xml:space="preserve"> Cerf-volant. </w:t>
    </w:r>
    <w:r w:rsidRPr="00D06224">
      <w:rPr>
        <w:i w:val="0"/>
        <w:iCs w:val="0"/>
        <w:sz w:val="18"/>
        <w:szCs w:val="18"/>
      </w:rPr>
      <w:t xml:space="preserve">BP 116 Dakar </w:t>
    </w:r>
    <w:r w:rsidRPr="00D06224">
      <w:rPr>
        <w:sz w:val="18"/>
        <w:szCs w:val="18"/>
      </w:rPr>
      <w:t>RP- Sénégal.</w:t>
    </w:r>
  </w:p>
  <w:p w14:paraId="219ED166" w14:textId="77777777" w:rsidR="009C0C9B" w:rsidRDefault="009C0C9B" w:rsidP="008F2320">
    <w:pPr>
      <w:pStyle w:val="Pieddepage"/>
      <w:jc w:val="center"/>
    </w:pPr>
    <w:r>
      <w:rPr>
        <w:sz w:val="18"/>
        <w:szCs w:val="18"/>
      </w:rPr>
      <w:t xml:space="preserve">Email : </w:t>
    </w:r>
    <w:hyperlink r:id="rId1" w:history="1">
      <w:r w:rsidRPr="00D30568">
        <w:rPr>
          <w:rStyle w:val="Lienhypertexte"/>
          <w:sz w:val="18"/>
          <w:szCs w:val="18"/>
        </w:rPr>
        <w:t>statsenegal@ansd.sn</w:t>
      </w:r>
    </w:hyperlink>
    <w:r>
      <w:rPr>
        <w:sz w:val="18"/>
        <w:szCs w:val="18"/>
      </w:rPr>
      <w:t xml:space="preserve"> ; </w:t>
    </w:r>
    <w:r w:rsidRPr="00D06224">
      <w:rPr>
        <w:sz w:val="18"/>
        <w:szCs w:val="18"/>
      </w:rPr>
      <w:t>Tél : +221 33 869 21 39</w:t>
    </w:r>
  </w:p>
  <w:p w14:paraId="64D3E7BB" w14:textId="77777777" w:rsidR="009C0C9B" w:rsidRPr="008F2320" w:rsidRDefault="009C0C9B" w:rsidP="008F2320">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8747865"/>
      <w:docPartObj>
        <w:docPartGallery w:val="Page Numbers (Bottom of Page)"/>
        <w:docPartUnique/>
      </w:docPartObj>
    </w:sdtPr>
    <w:sdtEndPr/>
    <w:sdtContent>
      <w:p w14:paraId="017E6349" w14:textId="77777777" w:rsidR="009C0C9B" w:rsidRDefault="009C0C9B">
        <w:pPr>
          <w:pStyle w:val="Pieddepage"/>
          <w:jc w:val="right"/>
        </w:pPr>
        <w:r>
          <w:fldChar w:fldCharType="begin"/>
        </w:r>
        <w:r>
          <w:instrText>PAGE   \* MERGEFORMAT</w:instrText>
        </w:r>
        <w:r>
          <w:fldChar w:fldCharType="separate"/>
        </w:r>
        <w:r w:rsidR="005E64D1">
          <w:rPr>
            <w:noProof/>
          </w:rPr>
          <w:t>2</w:t>
        </w:r>
        <w:r>
          <w:fldChar w:fldCharType="end"/>
        </w:r>
      </w:p>
    </w:sdtContent>
  </w:sdt>
  <w:p w14:paraId="68B38663" w14:textId="77777777" w:rsidR="009C0C9B" w:rsidRDefault="009C0C9B" w:rsidP="005F0176">
    <w:pPr>
      <w:pStyle w:val="Titre8"/>
      <w:jc w:val="center"/>
      <w:rPr>
        <w:sz w:val="18"/>
        <w:szCs w:val="18"/>
      </w:rPr>
    </w:pPr>
    <w:r w:rsidRPr="00127E2D">
      <w:rPr>
        <w:b/>
        <w:color w:val="002060"/>
      </w:rPr>
      <w:t>ANSD</w:t>
    </w:r>
    <w:r>
      <w:t xml:space="preserve"> </w:t>
    </w:r>
    <w:r w:rsidRPr="00D06224">
      <w:rPr>
        <w:sz w:val="18"/>
        <w:szCs w:val="18"/>
      </w:rPr>
      <w:t xml:space="preserve">Rocade </w:t>
    </w:r>
    <w:proofErr w:type="spellStart"/>
    <w:r w:rsidRPr="00D06224">
      <w:rPr>
        <w:sz w:val="18"/>
        <w:szCs w:val="18"/>
      </w:rPr>
      <w:t>Fann</w:t>
    </w:r>
    <w:proofErr w:type="spellEnd"/>
    <w:r w:rsidRPr="00D06224">
      <w:rPr>
        <w:sz w:val="18"/>
        <w:szCs w:val="18"/>
      </w:rPr>
      <w:t xml:space="preserve"> </w:t>
    </w:r>
    <w:proofErr w:type="spellStart"/>
    <w:r w:rsidRPr="00D06224">
      <w:rPr>
        <w:sz w:val="18"/>
        <w:szCs w:val="18"/>
      </w:rPr>
      <w:t>Bel-air</w:t>
    </w:r>
    <w:proofErr w:type="spellEnd"/>
    <w:r w:rsidRPr="00D06224">
      <w:rPr>
        <w:sz w:val="18"/>
        <w:szCs w:val="18"/>
      </w:rPr>
      <w:t xml:space="preserve"> Cerf-volant. </w:t>
    </w:r>
    <w:r w:rsidRPr="00D06224">
      <w:rPr>
        <w:i w:val="0"/>
        <w:iCs w:val="0"/>
        <w:sz w:val="18"/>
        <w:szCs w:val="18"/>
      </w:rPr>
      <w:t xml:space="preserve">BP 116 Dakar </w:t>
    </w:r>
    <w:r w:rsidRPr="00D06224">
      <w:rPr>
        <w:sz w:val="18"/>
        <w:szCs w:val="18"/>
      </w:rPr>
      <w:t>RP- Sénégal.</w:t>
    </w:r>
  </w:p>
  <w:p w14:paraId="4A377DE0" w14:textId="77777777" w:rsidR="009C0C9B" w:rsidRDefault="009C0C9B" w:rsidP="005F0176">
    <w:pPr>
      <w:pStyle w:val="Pieddepage"/>
      <w:jc w:val="center"/>
    </w:pPr>
    <w:r>
      <w:rPr>
        <w:sz w:val="18"/>
        <w:szCs w:val="18"/>
      </w:rPr>
      <w:t xml:space="preserve">Email : </w:t>
    </w:r>
    <w:hyperlink r:id="rId1" w:history="1">
      <w:r w:rsidRPr="00D30568">
        <w:rPr>
          <w:rStyle w:val="Lienhypertexte"/>
          <w:sz w:val="18"/>
          <w:szCs w:val="18"/>
        </w:rPr>
        <w:t>statsenegal@ansd.sn</w:t>
      </w:r>
    </w:hyperlink>
    <w:r>
      <w:rPr>
        <w:sz w:val="18"/>
        <w:szCs w:val="18"/>
      </w:rPr>
      <w:t xml:space="preserve"> ; </w:t>
    </w:r>
    <w:r w:rsidRPr="00D06224">
      <w:rPr>
        <w:sz w:val="18"/>
        <w:szCs w:val="18"/>
      </w:rPr>
      <w:t>Tél : +221 33 869 21 39</w:t>
    </w:r>
  </w:p>
  <w:p w14:paraId="4DE4CD9F" w14:textId="77777777" w:rsidR="009C0C9B" w:rsidRPr="008F2320" w:rsidRDefault="009C0C9B" w:rsidP="008F2320">
    <w:pPr>
      <w:pStyle w:val="Pieddepag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1E81C2" w14:textId="77777777" w:rsidR="00533292" w:rsidRDefault="00533292" w:rsidP="00C668CC">
      <w:pPr>
        <w:spacing w:after="0" w:line="240" w:lineRule="auto"/>
      </w:pPr>
      <w:r>
        <w:separator/>
      </w:r>
    </w:p>
  </w:footnote>
  <w:footnote w:type="continuationSeparator" w:id="0">
    <w:p w14:paraId="5CF3A0F3" w14:textId="77777777" w:rsidR="00533292" w:rsidRDefault="00533292" w:rsidP="00C668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331812"/>
    <w:multiLevelType w:val="hybridMultilevel"/>
    <w:tmpl w:val="64C67F36"/>
    <w:lvl w:ilvl="0" w:tplc="040C000D">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F01857"/>
    <w:multiLevelType w:val="hybridMultilevel"/>
    <w:tmpl w:val="DAB62850"/>
    <w:lvl w:ilvl="0" w:tplc="90AA623A">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C365DB5"/>
    <w:multiLevelType w:val="hybridMultilevel"/>
    <w:tmpl w:val="22DA67D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F1F2AE8"/>
    <w:multiLevelType w:val="hybridMultilevel"/>
    <w:tmpl w:val="D72E8660"/>
    <w:lvl w:ilvl="0" w:tplc="743ED50A">
      <w:start w:val="1"/>
      <w:numFmt w:val="upperRoman"/>
      <w:lvlText w:val="%1."/>
      <w:lvlJc w:val="left"/>
      <w:pPr>
        <w:ind w:left="1080" w:hanging="720"/>
      </w:pPr>
      <w:rPr>
        <w:rFonts w:ascii="Times New Roman" w:eastAsiaTheme="minorEastAsia" w:hAnsi="Times New Roman" w:cs="Times New Roman" w:hint="default"/>
        <w:b/>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201"/>
    <w:rsid w:val="00000147"/>
    <w:rsid w:val="00022B28"/>
    <w:rsid w:val="00023848"/>
    <w:rsid w:val="00034BA3"/>
    <w:rsid w:val="00042FD5"/>
    <w:rsid w:val="0005473D"/>
    <w:rsid w:val="00070EE4"/>
    <w:rsid w:val="00076DF0"/>
    <w:rsid w:val="00091258"/>
    <w:rsid w:val="00096137"/>
    <w:rsid w:val="000A764B"/>
    <w:rsid w:val="000C3DDF"/>
    <w:rsid w:val="000C5A44"/>
    <w:rsid w:val="000C63E3"/>
    <w:rsid w:val="000C7B38"/>
    <w:rsid w:val="000D0BE8"/>
    <w:rsid w:val="000D61D2"/>
    <w:rsid w:val="000E0C8F"/>
    <w:rsid w:val="000E4F19"/>
    <w:rsid w:val="000E55C7"/>
    <w:rsid w:val="000F1188"/>
    <w:rsid w:val="00104362"/>
    <w:rsid w:val="001215A4"/>
    <w:rsid w:val="001223D7"/>
    <w:rsid w:val="001319ED"/>
    <w:rsid w:val="001377F9"/>
    <w:rsid w:val="001425A7"/>
    <w:rsid w:val="00143EFB"/>
    <w:rsid w:val="00144986"/>
    <w:rsid w:val="0015140E"/>
    <w:rsid w:val="0015415A"/>
    <w:rsid w:val="001845A0"/>
    <w:rsid w:val="00194E21"/>
    <w:rsid w:val="00196966"/>
    <w:rsid w:val="001A3987"/>
    <w:rsid w:val="001A404E"/>
    <w:rsid w:val="001A5617"/>
    <w:rsid w:val="001B0D34"/>
    <w:rsid w:val="001C68EC"/>
    <w:rsid w:val="001F0E1B"/>
    <w:rsid w:val="001F70E1"/>
    <w:rsid w:val="00211D4A"/>
    <w:rsid w:val="002169CD"/>
    <w:rsid w:val="00221795"/>
    <w:rsid w:val="00222859"/>
    <w:rsid w:val="00224DE7"/>
    <w:rsid w:val="00225A96"/>
    <w:rsid w:val="00236110"/>
    <w:rsid w:val="00236A80"/>
    <w:rsid w:val="002416FA"/>
    <w:rsid w:val="00242C3B"/>
    <w:rsid w:val="002511C7"/>
    <w:rsid w:val="0025680C"/>
    <w:rsid w:val="0025701D"/>
    <w:rsid w:val="00257C1D"/>
    <w:rsid w:val="00265982"/>
    <w:rsid w:val="00267F96"/>
    <w:rsid w:val="002723A0"/>
    <w:rsid w:val="00272730"/>
    <w:rsid w:val="0027581C"/>
    <w:rsid w:val="00291F44"/>
    <w:rsid w:val="002B0592"/>
    <w:rsid w:val="002B540A"/>
    <w:rsid w:val="002B7BC5"/>
    <w:rsid w:val="002F14A6"/>
    <w:rsid w:val="00311F08"/>
    <w:rsid w:val="00314FD7"/>
    <w:rsid w:val="00324C7E"/>
    <w:rsid w:val="00331673"/>
    <w:rsid w:val="003336E9"/>
    <w:rsid w:val="0034120E"/>
    <w:rsid w:val="003576CC"/>
    <w:rsid w:val="00362561"/>
    <w:rsid w:val="00365250"/>
    <w:rsid w:val="00374FD1"/>
    <w:rsid w:val="0038502F"/>
    <w:rsid w:val="00394BBE"/>
    <w:rsid w:val="003A17FE"/>
    <w:rsid w:val="003B4335"/>
    <w:rsid w:val="003B7009"/>
    <w:rsid w:val="003C4478"/>
    <w:rsid w:val="003D4460"/>
    <w:rsid w:val="003E0889"/>
    <w:rsid w:val="003E3C2C"/>
    <w:rsid w:val="003F0274"/>
    <w:rsid w:val="003F06BB"/>
    <w:rsid w:val="003F4BC4"/>
    <w:rsid w:val="0040449F"/>
    <w:rsid w:val="00406FA7"/>
    <w:rsid w:val="0041475F"/>
    <w:rsid w:val="004430F5"/>
    <w:rsid w:val="00452E14"/>
    <w:rsid w:val="004605F1"/>
    <w:rsid w:val="00464072"/>
    <w:rsid w:val="004740E3"/>
    <w:rsid w:val="004742A7"/>
    <w:rsid w:val="004938FF"/>
    <w:rsid w:val="00495BAF"/>
    <w:rsid w:val="004A244D"/>
    <w:rsid w:val="004B3B87"/>
    <w:rsid w:val="004B5D14"/>
    <w:rsid w:val="004C4357"/>
    <w:rsid w:val="004C487F"/>
    <w:rsid w:val="004D738E"/>
    <w:rsid w:val="00502A42"/>
    <w:rsid w:val="00504E59"/>
    <w:rsid w:val="00504EDF"/>
    <w:rsid w:val="0051146D"/>
    <w:rsid w:val="0052256E"/>
    <w:rsid w:val="005313FA"/>
    <w:rsid w:val="00533292"/>
    <w:rsid w:val="00542C9C"/>
    <w:rsid w:val="00554633"/>
    <w:rsid w:val="00557451"/>
    <w:rsid w:val="00560892"/>
    <w:rsid w:val="00562FFD"/>
    <w:rsid w:val="00563414"/>
    <w:rsid w:val="00565B84"/>
    <w:rsid w:val="0057408E"/>
    <w:rsid w:val="00584BF9"/>
    <w:rsid w:val="005B103D"/>
    <w:rsid w:val="005B2381"/>
    <w:rsid w:val="005B6483"/>
    <w:rsid w:val="005C6A82"/>
    <w:rsid w:val="005C6FFC"/>
    <w:rsid w:val="005E64D1"/>
    <w:rsid w:val="005F0176"/>
    <w:rsid w:val="005F3AF2"/>
    <w:rsid w:val="005F4B61"/>
    <w:rsid w:val="00601550"/>
    <w:rsid w:val="00604B66"/>
    <w:rsid w:val="00607F77"/>
    <w:rsid w:val="00615068"/>
    <w:rsid w:val="006176B1"/>
    <w:rsid w:val="0062536D"/>
    <w:rsid w:val="0062644D"/>
    <w:rsid w:val="00640503"/>
    <w:rsid w:val="00640E6D"/>
    <w:rsid w:val="00642081"/>
    <w:rsid w:val="00647268"/>
    <w:rsid w:val="00664D79"/>
    <w:rsid w:val="00671B6B"/>
    <w:rsid w:val="00673514"/>
    <w:rsid w:val="00675271"/>
    <w:rsid w:val="0068383C"/>
    <w:rsid w:val="006A1F12"/>
    <w:rsid w:val="006A39B5"/>
    <w:rsid w:val="006C076A"/>
    <w:rsid w:val="006C09DC"/>
    <w:rsid w:val="006C456D"/>
    <w:rsid w:val="006C7C01"/>
    <w:rsid w:val="006D1F3D"/>
    <w:rsid w:val="006D7F08"/>
    <w:rsid w:val="007012C7"/>
    <w:rsid w:val="007055F6"/>
    <w:rsid w:val="00711F66"/>
    <w:rsid w:val="007146C2"/>
    <w:rsid w:val="00715BF7"/>
    <w:rsid w:val="00717C72"/>
    <w:rsid w:val="00762F93"/>
    <w:rsid w:val="007741F3"/>
    <w:rsid w:val="00775463"/>
    <w:rsid w:val="007933DC"/>
    <w:rsid w:val="00793F03"/>
    <w:rsid w:val="00794354"/>
    <w:rsid w:val="007945F0"/>
    <w:rsid w:val="007B370C"/>
    <w:rsid w:val="007C3A6F"/>
    <w:rsid w:val="007D19E0"/>
    <w:rsid w:val="007E54F1"/>
    <w:rsid w:val="007F70E8"/>
    <w:rsid w:val="008073EF"/>
    <w:rsid w:val="008323A9"/>
    <w:rsid w:val="00833979"/>
    <w:rsid w:val="00846B01"/>
    <w:rsid w:val="00852599"/>
    <w:rsid w:val="00862BCB"/>
    <w:rsid w:val="00881EBC"/>
    <w:rsid w:val="00896646"/>
    <w:rsid w:val="008C0929"/>
    <w:rsid w:val="008D5CA3"/>
    <w:rsid w:val="008D6776"/>
    <w:rsid w:val="008F2320"/>
    <w:rsid w:val="008F477A"/>
    <w:rsid w:val="00907127"/>
    <w:rsid w:val="00912B3C"/>
    <w:rsid w:val="00927F2B"/>
    <w:rsid w:val="00956E97"/>
    <w:rsid w:val="00981B10"/>
    <w:rsid w:val="009878FF"/>
    <w:rsid w:val="009A3A5B"/>
    <w:rsid w:val="009B3201"/>
    <w:rsid w:val="009B3CE9"/>
    <w:rsid w:val="009C0252"/>
    <w:rsid w:val="009C0C9B"/>
    <w:rsid w:val="009C1CE9"/>
    <w:rsid w:val="009C5509"/>
    <w:rsid w:val="009C7F12"/>
    <w:rsid w:val="009D4E80"/>
    <w:rsid w:val="009F5085"/>
    <w:rsid w:val="009F7914"/>
    <w:rsid w:val="00A02085"/>
    <w:rsid w:val="00A04F0B"/>
    <w:rsid w:val="00A073B7"/>
    <w:rsid w:val="00A10410"/>
    <w:rsid w:val="00A11446"/>
    <w:rsid w:val="00A13A3E"/>
    <w:rsid w:val="00A26DC9"/>
    <w:rsid w:val="00A40D45"/>
    <w:rsid w:val="00A412AD"/>
    <w:rsid w:val="00A450E4"/>
    <w:rsid w:val="00A54173"/>
    <w:rsid w:val="00A54F3D"/>
    <w:rsid w:val="00A65E00"/>
    <w:rsid w:val="00A7091D"/>
    <w:rsid w:val="00A74508"/>
    <w:rsid w:val="00A75D73"/>
    <w:rsid w:val="00A870B9"/>
    <w:rsid w:val="00AA1903"/>
    <w:rsid w:val="00AC4043"/>
    <w:rsid w:val="00AC48DE"/>
    <w:rsid w:val="00AE36B9"/>
    <w:rsid w:val="00AF1AE9"/>
    <w:rsid w:val="00AF5DFE"/>
    <w:rsid w:val="00B01500"/>
    <w:rsid w:val="00B03987"/>
    <w:rsid w:val="00B061A6"/>
    <w:rsid w:val="00B24DC5"/>
    <w:rsid w:val="00B2665D"/>
    <w:rsid w:val="00B273BA"/>
    <w:rsid w:val="00B31A9B"/>
    <w:rsid w:val="00B33CDC"/>
    <w:rsid w:val="00B437F9"/>
    <w:rsid w:val="00B4661D"/>
    <w:rsid w:val="00B55474"/>
    <w:rsid w:val="00B56C67"/>
    <w:rsid w:val="00B64FEF"/>
    <w:rsid w:val="00B70708"/>
    <w:rsid w:val="00B713DE"/>
    <w:rsid w:val="00B829B9"/>
    <w:rsid w:val="00B90949"/>
    <w:rsid w:val="00BA203A"/>
    <w:rsid w:val="00BA56C3"/>
    <w:rsid w:val="00BA68DE"/>
    <w:rsid w:val="00BB0EAF"/>
    <w:rsid w:val="00BD16FA"/>
    <w:rsid w:val="00BE309F"/>
    <w:rsid w:val="00BE4E1F"/>
    <w:rsid w:val="00C2373E"/>
    <w:rsid w:val="00C30FA5"/>
    <w:rsid w:val="00C43A36"/>
    <w:rsid w:val="00C4586F"/>
    <w:rsid w:val="00C5491F"/>
    <w:rsid w:val="00C5705D"/>
    <w:rsid w:val="00C57724"/>
    <w:rsid w:val="00C668CC"/>
    <w:rsid w:val="00CA5CE5"/>
    <w:rsid w:val="00CC0878"/>
    <w:rsid w:val="00CC2261"/>
    <w:rsid w:val="00CD0ECE"/>
    <w:rsid w:val="00CD720C"/>
    <w:rsid w:val="00CE0D6A"/>
    <w:rsid w:val="00CE3510"/>
    <w:rsid w:val="00D07A06"/>
    <w:rsid w:val="00D2078A"/>
    <w:rsid w:val="00D263E9"/>
    <w:rsid w:val="00D3092A"/>
    <w:rsid w:val="00D41628"/>
    <w:rsid w:val="00D6018A"/>
    <w:rsid w:val="00D75816"/>
    <w:rsid w:val="00D76FC8"/>
    <w:rsid w:val="00D77823"/>
    <w:rsid w:val="00DB011E"/>
    <w:rsid w:val="00DB477E"/>
    <w:rsid w:val="00DC20F9"/>
    <w:rsid w:val="00DC4B03"/>
    <w:rsid w:val="00DC5F48"/>
    <w:rsid w:val="00DF211A"/>
    <w:rsid w:val="00E13C8E"/>
    <w:rsid w:val="00E16CAE"/>
    <w:rsid w:val="00E23DBF"/>
    <w:rsid w:val="00E37A94"/>
    <w:rsid w:val="00E60F41"/>
    <w:rsid w:val="00E61665"/>
    <w:rsid w:val="00E6619F"/>
    <w:rsid w:val="00E72073"/>
    <w:rsid w:val="00E72AA2"/>
    <w:rsid w:val="00E72EB3"/>
    <w:rsid w:val="00E73D26"/>
    <w:rsid w:val="00E86D82"/>
    <w:rsid w:val="00EA0482"/>
    <w:rsid w:val="00EA6890"/>
    <w:rsid w:val="00ED4B81"/>
    <w:rsid w:val="00EE112B"/>
    <w:rsid w:val="00EE2187"/>
    <w:rsid w:val="00EE6730"/>
    <w:rsid w:val="00EF4B2C"/>
    <w:rsid w:val="00EF6258"/>
    <w:rsid w:val="00F00480"/>
    <w:rsid w:val="00F046BF"/>
    <w:rsid w:val="00F13D2C"/>
    <w:rsid w:val="00F1591F"/>
    <w:rsid w:val="00F24FF4"/>
    <w:rsid w:val="00F41FD7"/>
    <w:rsid w:val="00F8241A"/>
    <w:rsid w:val="00F82EBB"/>
    <w:rsid w:val="00F9673B"/>
    <w:rsid w:val="00FA103F"/>
    <w:rsid w:val="00FA5756"/>
    <w:rsid w:val="00FA5A2D"/>
    <w:rsid w:val="00FB3F0E"/>
    <w:rsid w:val="00FB6553"/>
    <w:rsid w:val="00FB7812"/>
    <w:rsid w:val="00FC2EE4"/>
    <w:rsid w:val="00FC2FAE"/>
    <w:rsid w:val="00FC6639"/>
    <w:rsid w:val="00FD1211"/>
    <w:rsid w:val="00FD18B3"/>
    <w:rsid w:val="00FD55BA"/>
    <w:rsid w:val="00FF14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0BB27"/>
  <w15:chartTrackingRefBased/>
  <w15:docId w15:val="{DF141A9E-1B05-4ABB-A60A-61CF9CF9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next w:val="Normal"/>
    <w:link w:val="Titre3Car"/>
    <w:uiPriority w:val="9"/>
    <w:semiHidden/>
    <w:unhideWhenUsed/>
    <w:qFormat/>
    <w:rsid w:val="005E64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8">
    <w:name w:val="heading 8"/>
    <w:basedOn w:val="Normal"/>
    <w:next w:val="Normal"/>
    <w:link w:val="Titre8Car"/>
    <w:qFormat/>
    <w:rsid w:val="00C668CC"/>
    <w:pPr>
      <w:keepNext/>
      <w:autoSpaceDE w:val="0"/>
      <w:autoSpaceDN w:val="0"/>
      <w:adjustRightInd w:val="0"/>
      <w:spacing w:after="0" w:line="240" w:lineRule="auto"/>
      <w:outlineLvl w:val="7"/>
    </w:pPr>
    <w:rPr>
      <w:rFonts w:ascii="Times New Roman" w:eastAsia="Times New Roman" w:hAnsi="Times New Roman" w:cs="Times New Roman"/>
      <w:i/>
      <w:iCs/>
      <w:sz w:val="20"/>
      <w:szCs w:val="20"/>
      <w:lang w:eastAsia="fr-FR"/>
    </w:rPr>
  </w:style>
  <w:style w:type="paragraph" w:styleId="Titre9">
    <w:name w:val="heading 9"/>
    <w:basedOn w:val="Normal"/>
    <w:next w:val="Normal"/>
    <w:link w:val="Titre9Car"/>
    <w:uiPriority w:val="9"/>
    <w:unhideWhenUsed/>
    <w:qFormat/>
    <w:rsid w:val="00A870B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41475F"/>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NormalWeb">
    <w:name w:val="Normal (Web)"/>
    <w:basedOn w:val="Normal"/>
    <w:uiPriority w:val="99"/>
    <w:semiHidden/>
    <w:unhideWhenUsed/>
    <w:rsid w:val="0041475F"/>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paragraphe">
    <w:name w:val="paragraphe"/>
    <w:basedOn w:val="Normal"/>
    <w:rsid w:val="00C668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C668CC"/>
    <w:pPr>
      <w:tabs>
        <w:tab w:val="center" w:pos="4536"/>
        <w:tab w:val="right" w:pos="9072"/>
      </w:tabs>
      <w:spacing w:after="0" w:line="240" w:lineRule="auto"/>
    </w:pPr>
  </w:style>
  <w:style w:type="character" w:customStyle="1" w:styleId="En-tteCar">
    <w:name w:val="En-tête Car"/>
    <w:basedOn w:val="Policepardfaut"/>
    <w:link w:val="En-tte"/>
    <w:uiPriority w:val="99"/>
    <w:rsid w:val="00C668CC"/>
  </w:style>
  <w:style w:type="paragraph" w:styleId="Pieddepage">
    <w:name w:val="footer"/>
    <w:basedOn w:val="Normal"/>
    <w:link w:val="PieddepageCar"/>
    <w:uiPriority w:val="99"/>
    <w:unhideWhenUsed/>
    <w:rsid w:val="00C668C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68CC"/>
  </w:style>
  <w:style w:type="character" w:customStyle="1" w:styleId="Titre8Car">
    <w:name w:val="Titre 8 Car"/>
    <w:basedOn w:val="Policepardfaut"/>
    <w:link w:val="Titre8"/>
    <w:rsid w:val="00C668CC"/>
    <w:rPr>
      <w:rFonts w:ascii="Times New Roman" w:eastAsia="Times New Roman" w:hAnsi="Times New Roman" w:cs="Times New Roman"/>
      <w:i/>
      <w:iCs/>
      <w:sz w:val="20"/>
      <w:szCs w:val="20"/>
      <w:lang w:eastAsia="fr-FR"/>
    </w:rPr>
  </w:style>
  <w:style w:type="character" w:styleId="Lienhypertexte">
    <w:name w:val="Hyperlink"/>
    <w:basedOn w:val="Policepardfaut"/>
    <w:uiPriority w:val="99"/>
    <w:rsid w:val="00C668CC"/>
    <w:rPr>
      <w:color w:val="0000FF"/>
      <w:u w:val="single"/>
    </w:rPr>
  </w:style>
  <w:style w:type="paragraph" w:customStyle="1" w:styleId="msobodytext4">
    <w:name w:val="msobodytext4"/>
    <w:rsid w:val="00AC4043"/>
    <w:pPr>
      <w:spacing w:after="120" w:line="480" w:lineRule="auto"/>
    </w:pPr>
    <w:rPr>
      <w:rFonts w:ascii="Franklin Gothic Demi Cond" w:eastAsia="Times New Roman" w:hAnsi="Franklin Gothic Demi Cond" w:cs="Times New Roman"/>
      <w:color w:val="FFFFFF"/>
      <w:kern w:val="28"/>
      <w:sz w:val="18"/>
      <w:szCs w:val="18"/>
      <w:lang w:eastAsia="fr-FR"/>
      <w14:ligatures w14:val="standard"/>
      <w14:cntxtAlts/>
    </w:rPr>
  </w:style>
  <w:style w:type="paragraph" w:styleId="Paragraphedeliste">
    <w:name w:val="List Paragraph"/>
    <w:basedOn w:val="Normal"/>
    <w:uiPriority w:val="34"/>
    <w:qFormat/>
    <w:rsid w:val="0051146D"/>
    <w:pPr>
      <w:spacing w:after="200" w:line="276" w:lineRule="auto"/>
      <w:ind w:left="720"/>
      <w:contextualSpacing/>
    </w:pPr>
  </w:style>
  <w:style w:type="character" w:styleId="Appelnotedebasdep">
    <w:name w:val="footnote reference"/>
    <w:basedOn w:val="Policepardfaut"/>
    <w:uiPriority w:val="99"/>
    <w:semiHidden/>
    <w:unhideWhenUsed/>
    <w:rsid w:val="0051146D"/>
    <w:rPr>
      <w:vertAlign w:val="superscript"/>
    </w:rPr>
  </w:style>
  <w:style w:type="paragraph" w:styleId="Lgende">
    <w:name w:val="caption"/>
    <w:basedOn w:val="Normal"/>
    <w:next w:val="Normal"/>
    <w:uiPriority w:val="35"/>
    <w:unhideWhenUsed/>
    <w:qFormat/>
    <w:rsid w:val="00F24FF4"/>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rsid w:val="001319E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319ED"/>
    <w:rPr>
      <w:sz w:val="20"/>
      <w:szCs w:val="20"/>
    </w:rPr>
  </w:style>
  <w:style w:type="paragraph" w:styleId="Textedebulles">
    <w:name w:val="Balloon Text"/>
    <w:basedOn w:val="Normal"/>
    <w:link w:val="TextedebullesCar"/>
    <w:uiPriority w:val="99"/>
    <w:semiHidden/>
    <w:unhideWhenUsed/>
    <w:rsid w:val="0022285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22859"/>
    <w:rPr>
      <w:rFonts w:ascii="Segoe UI" w:hAnsi="Segoe UI" w:cs="Segoe UI"/>
      <w:sz w:val="18"/>
      <w:szCs w:val="18"/>
    </w:rPr>
  </w:style>
  <w:style w:type="character" w:styleId="Marquedecommentaire">
    <w:name w:val="annotation reference"/>
    <w:basedOn w:val="Policepardfaut"/>
    <w:uiPriority w:val="99"/>
    <w:semiHidden/>
    <w:unhideWhenUsed/>
    <w:rsid w:val="00601550"/>
    <w:rPr>
      <w:sz w:val="16"/>
      <w:szCs w:val="16"/>
    </w:rPr>
  </w:style>
  <w:style w:type="paragraph" w:styleId="Commentaire">
    <w:name w:val="annotation text"/>
    <w:basedOn w:val="Normal"/>
    <w:link w:val="CommentaireCar"/>
    <w:uiPriority w:val="99"/>
    <w:semiHidden/>
    <w:unhideWhenUsed/>
    <w:rsid w:val="00601550"/>
    <w:pPr>
      <w:spacing w:line="240" w:lineRule="auto"/>
    </w:pPr>
    <w:rPr>
      <w:sz w:val="20"/>
      <w:szCs w:val="20"/>
    </w:rPr>
  </w:style>
  <w:style w:type="character" w:customStyle="1" w:styleId="CommentaireCar">
    <w:name w:val="Commentaire Car"/>
    <w:basedOn w:val="Policepardfaut"/>
    <w:link w:val="Commentaire"/>
    <w:uiPriority w:val="99"/>
    <w:semiHidden/>
    <w:rsid w:val="00601550"/>
    <w:rPr>
      <w:sz w:val="20"/>
      <w:szCs w:val="20"/>
    </w:rPr>
  </w:style>
  <w:style w:type="paragraph" w:styleId="Objetducommentaire">
    <w:name w:val="annotation subject"/>
    <w:basedOn w:val="Commentaire"/>
    <w:next w:val="Commentaire"/>
    <w:link w:val="ObjetducommentaireCar"/>
    <w:uiPriority w:val="99"/>
    <w:semiHidden/>
    <w:unhideWhenUsed/>
    <w:rsid w:val="00601550"/>
    <w:rPr>
      <w:b/>
      <w:bCs/>
    </w:rPr>
  </w:style>
  <w:style w:type="character" w:customStyle="1" w:styleId="ObjetducommentaireCar">
    <w:name w:val="Objet du commentaire Car"/>
    <w:basedOn w:val="CommentaireCar"/>
    <w:link w:val="Objetducommentaire"/>
    <w:uiPriority w:val="99"/>
    <w:semiHidden/>
    <w:rsid w:val="00601550"/>
    <w:rPr>
      <w:b/>
      <w:bCs/>
      <w:sz w:val="20"/>
      <w:szCs w:val="20"/>
    </w:rPr>
  </w:style>
  <w:style w:type="character" w:customStyle="1" w:styleId="Titre9Car">
    <w:name w:val="Titre 9 Car"/>
    <w:basedOn w:val="Policepardfaut"/>
    <w:link w:val="Titre9"/>
    <w:uiPriority w:val="9"/>
    <w:rsid w:val="00A870B9"/>
    <w:rPr>
      <w:rFonts w:asciiTheme="majorHAnsi" w:eastAsiaTheme="majorEastAsia" w:hAnsiTheme="majorHAnsi" w:cstheme="majorBidi"/>
      <w:i/>
      <w:iCs/>
      <w:color w:val="272727" w:themeColor="text1" w:themeTint="D8"/>
      <w:sz w:val="21"/>
      <w:szCs w:val="21"/>
    </w:rPr>
  </w:style>
  <w:style w:type="character" w:customStyle="1" w:styleId="Titre3Car">
    <w:name w:val="Titre 3 Car"/>
    <w:basedOn w:val="Policepardfaut"/>
    <w:link w:val="Titre3"/>
    <w:uiPriority w:val="9"/>
    <w:semiHidden/>
    <w:rsid w:val="005E64D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09352">
      <w:bodyDiv w:val="1"/>
      <w:marLeft w:val="0"/>
      <w:marRight w:val="0"/>
      <w:marTop w:val="0"/>
      <w:marBottom w:val="0"/>
      <w:divBdr>
        <w:top w:val="none" w:sz="0" w:space="0" w:color="auto"/>
        <w:left w:val="none" w:sz="0" w:space="0" w:color="auto"/>
        <w:bottom w:val="none" w:sz="0" w:space="0" w:color="auto"/>
        <w:right w:val="none" w:sz="0" w:space="0" w:color="auto"/>
      </w:divBdr>
    </w:div>
    <w:div w:id="84349195">
      <w:bodyDiv w:val="1"/>
      <w:marLeft w:val="0"/>
      <w:marRight w:val="0"/>
      <w:marTop w:val="0"/>
      <w:marBottom w:val="0"/>
      <w:divBdr>
        <w:top w:val="none" w:sz="0" w:space="0" w:color="auto"/>
        <w:left w:val="none" w:sz="0" w:space="0" w:color="auto"/>
        <w:bottom w:val="none" w:sz="0" w:space="0" w:color="auto"/>
        <w:right w:val="none" w:sz="0" w:space="0" w:color="auto"/>
      </w:divBdr>
    </w:div>
    <w:div w:id="139615340">
      <w:bodyDiv w:val="1"/>
      <w:marLeft w:val="0"/>
      <w:marRight w:val="0"/>
      <w:marTop w:val="0"/>
      <w:marBottom w:val="0"/>
      <w:divBdr>
        <w:top w:val="none" w:sz="0" w:space="0" w:color="auto"/>
        <w:left w:val="none" w:sz="0" w:space="0" w:color="auto"/>
        <w:bottom w:val="none" w:sz="0" w:space="0" w:color="auto"/>
        <w:right w:val="none" w:sz="0" w:space="0" w:color="auto"/>
      </w:divBdr>
    </w:div>
    <w:div w:id="158468442">
      <w:bodyDiv w:val="1"/>
      <w:marLeft w:val="0"/>
      <w:marRight w:val="0"/>
      <w:marTop w:val="0"/>
      <w:marBottom w:val="0"/>
      <w:divBdr>
        <w:top w:val="none" w:sz="0" w:space="0" w:color="auto"/>
        <w:left w:val="none" w:sz="0" w:space="0" w:color="auto"/>
        <w:bottom w:val="none" w:sz="0" w:space="0" w:color="auto"/>
        <w:right w:val="none" w:sz="0" w:space="0" w:color="auto"/>
      </w:divBdr>
    </w:div>
    <w:div w:id="194346413">
      <w:bodyDiv w:val="1"/>
      <w:marLeft w:val="0"/>
      <w:marRight w:val="0"/>
      <w:marTop w:val="0"/>
      <w:marBottom w:val="0"/>
      <w:divBdr>
        <w:top w:val="none" w:sz="0" w:space="0" w:color="auto"/>
        <w:left w:val="none" w:sz="0" w:space="0" w:color="auto"/>
        <w:bottom w:val="none" w:sz="0" w:space="0" w:color="auto"/>
        <w:right w:val="none" w:sz="0" w:space="0" w:color="auto"/>
      </w:divBdr>
    </w:div>
    <w:div w:id="216750216">
      <w:bodyDiv w:val="1"/>
      <w:marLeft w:val="0"/>
      <w:marRight w:val="0"/>
      <w:marTop w:val="0"/>
      <w:marBottom w:val="0"/>
      <w:divBdr>
        <w:top w:val="none" w:sz="0" w:space="0" w:color="auto"/>
        <w:left w:val="none" w:sz="0" w:space="0" w:color="auto"/>
        <w:bottom w:val="none" w:sz="0" w:space="0" w:color="auto"/>
        <w:right w:val="none" w:sz="0" w:space="0" w:color="auto"/>
      </w:divBdr>
    </w:div>
    <w:div w:id="405230084">
      <w:bodyDiv w:val="1"/>
      <w:marLeft w:val="0"/>
      <w:marRight w:val="0"/>
      <w:marTop w:val="0"/>
      <w:marBottom w:val="0"/>
      <w:divBdr>
        <w:top w:val="none" w:sz="0" w:space="0" w:color="auto"/>
        <w:left w:val="none" w:sz="0" w:space="0" w:color="auto"/>
        <w:bottom w:val="none" w:sz="0" w:space="0" w:color="auto"/>
        <w:right w:val="none" w:sz="0" w:space="0" w:color="auto"/>
      </w:divBdr>
    </w:div>
    <w:div w:id="487288207">
      <w:bodyDiv w:val="1"/>
      <w:marLeft w:val="0"/>
      <w:marRight w:val="0"/>
      <w:marTop w:val="0"/>
      <w:marBottom w:val="0"/>
      <w:divBdr>
        <w:top w:val="none" w:sz="0" w:space="0" w:color="auto"/>
        <w:left w:val="none" w:sz="0" w:space="0" w:color="auto"/>
        <w:bottom w:val="none" w:sz="0" w:space="0" w:color="auto"/>
        <w:right w:val="none" w:sz="0" w:space="0" w:color="auto"/>
      </w:divBdr>
    </w:div>
    <w:div w:id="530383268">
      <w:bodyDiv w:val="1"/>
      <w:marLeft w:val="0"/>
      <w:marRight w:val="0"/>
      <w:marTop w:val="0"/>
      <w:marBottom w:val="0"/>
      <w:divBdr>
        <w:top w:val="none" w:sz="0" w:space="0" w:color="auto"/>
        <w:left w:val="none" w:sz="0" w:space="0" w:color="auto"/>
        <w:bottom w:val="none" w:sz="0" w:space="0" w:color="auto"/>
        <w:right w:val="none" w:sz="0" w:space="0" w:color="auto"/>
      </w:divBdr>
    </w:div>
    <w:div w:id="553589874">
      <w:bodyDiv w:val="1"/>
      <w:marLeft w:val="0"/>
      <w:marRight w:val="0"/>
      <w:marTop w:val="0"/>
      <w:marBottom w:val="0"/>
      <w:divBdr>
        <w:top w:val="none" w:sz="0" w:space="0" w:color="auto"/>
        <w:left w:val="none" w:sz="0" w:space="0" w:color="auto"/>
        <w:bottom w:val="none" w:sz="0" w:space="0" w:color="auto"/>
        <w:right w:val="none" w:sz="0" w:space="0" w:color="auto"/>
      </w:divBdr>
    </w:div>
    <w:div w:id="639766030">
      <w:bodyDiv w:val="1"/>
      <w:marLeft w:val="0"/>
      <w:marRight w:val="0"/>
      <w:marTop w:val="0"/>
      <w:marBottom w:val="0"/>
      <w:divBdr>
        <w:top w:val="none" w:sz="0" w:space="0" w:color="auto"/>
        <w:left w:val="none" w:sz="0" w:space="0" w:color="auto"/>
        <w:bottom w:val="none" w:sz="0" w:space="0" w:color="auto"/>
        <w:right w:val="none" w:sz="0" w:space="0" w:color="auto"/>
      </w:divBdr>
    </w:div>
    <w:div w:id="653264622">
      <w:bodyDiv w:val="1"/>
      <w:marLeft w:val="0"/>
      <w:marRight w:val="0"/>
      <w:marTop w:val="0"/>
      <w:marBottom w:val="0"/>
      <w:divBdr>
        <w:top w:val="none" w:sz="0" w:space="0" w:color="auto"/>
        <w:left w:val="none" w:sz="0" w:space="0" w:color="auto"/>
        <w:bottom w:val="none" w:sz="0" w:space="0" w:color="auto"/>
        <w:right w:val="none" w:sz="0" w:space="0" w:color="auto"/>
      </w:divBdr>
    </w:div>
    <w:div w:id="735708383">
      <w:bodyDiv w:val="1"/>
      <w:marLeft w:val="0"/>
      <w:marRight w:val="0"/>
      <w:marTop w:val="0"/>
      <w:marBottom w:val="0"/>
      <w:divBdr>
        <w:top w:val="none" w:sz="0" w:space="0" w:color="auto"/>
        <w:left w:val="none" w:sz="0" w:space="0" w:color="auto"/>
        <w:bottom w:val="none" w:sz="0" w:space="0" w:color="auto"/>
        <w:right w:val="none" w:sz="0" w:space="0" w:color="auto"/>
      </w:divBdr>
    </w:div>
    <w:div w:id="1089304683">
      <w:bodyDiv w:val="1"/>
      <w:marLeft w:val="0"/>
      <w:marRight w:val="0"/>
      <w:marTop w:val="0"/>
      <w:marBottom w:val="0"/>
      <w:divBdr>
        <w:top w:val="none" w:sz="0" w:space="0" w:color="auto"/>
        <w:left w:val="none" w:sz="0" w:space="0" w:color="auto"/>
        <w:bottom w:val="none" w:sz="0" w:space="0" w:color="auto"/>
        <w:right w:val="none" w:sz="0" w:space="0" w:color="auto"/>
      </w:divBdr>
    </w:div>
    <w:div w:id="1525287756">
      <w:bodyDiv w:val="1"/>
      <w:marLeft w:val="0"/>
      <w:marRight w:val="0"/>
      <w:marTop w:val="0"/>
      <w:marBottom w:val="0"/>
      <w:divBdr>
        <w:top w:val="none" w:sz="0" w:space="0" w:color="auto"/>
        <w:left w:val="none" w:sz="0" w:space="0" w:color="auto"/>
        <w:bottom w:val="none" w:sz="0" w:space="0" w:color="auto"/>
        <w:right w:val="none" w:sz="0" w:space="0" w:color="auto"/>
      </w:divBdr>
    </w:div>
    <w:div w:id="177512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nsd.sn" TargetMode="External"/><Relationship Id="rId5" Type="http://schemas.openxmlformats.org/officeDocument/2006/relationships/webSettings" Target="webSettings.xml"/><Relationship Id="rId10" Type="http://schemas.openxmlformats.org/officeDocument/2006/relationships/hyperlink" Target="http://www.ansd.s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statsenegal@ansd.s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statsenegal@ansd.s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23DD6-A54B-442E-9EB2-49F4107E6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1580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Ramlatou DIALLO</dc:creator>
  <cp:keywords/>
  <dc:description/>
  <cp:lastModifiedBy>Compte Microsoft</cp:lastModifiedBy>
  <cp:revision>2</cp:revision>
  <cp:lastPrinted>2021-01-05T10:35:00Z</cp:lastPrinted>
  <dcterms:created xsi:type="dcterms:W3CDTF">2023-01-20T12:55:00Z</dcterms:created>
  <dcterms:modified xsi:type="dcterms:W3CDTF">2023-01-20T12:55:00Z</dcterms:modified>
</cp:coreProperties>
</file>