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2B3" w:rsidRPr="002722B3" w:rsidRDefault="00B85EEE">
      <w:pPr>
        <w:rPr>
          <w:rFonts w:ascii="Tahoma" w:hAnsi="Tahoma" w:cs="Tahoma"/>
          <w:b/>
          <w:bCs/>
          <w:i/>
          <w:iCs/>
          <w:sz w:val="24"/>
          <w:szCs w:val="24"/>
        </w:rPr>
      </w:pPr>
      <w:r w:rsidRPr="002722B3">
        <w:rPr>
          <w:rFonts w:ascii="Tahoma" w:hAnsi="Tahoma" w:cs="Tahoma"/>
          <w:noProof/>
          <w:sz w:val="24"/>
          <w:szCs w:val="24"/>
          <w:lang w:eastAsia="fr-FR"/>
        </w:rPr>
        <w:drawing>
          <wp:anchor distT="0" distB="0" distL="114300" distR="114300" simplePos="0" relativeHeight="251658240" behindDoc="0" locked="0" layoutInCell="1" allowOverlap="1" wp14:anchorId="7603C80D" wp14:editId="0A1E99F4">
            <wp:simplePos x="0" y="0"/>
            <wp:positionH relativeFrom="column">
              <wp:posOffset>1836420</wp:posOffset>
            </wp:positionH>
            <wp:positionV relativeFrom="paragraph">
              <wp:posOffset>0</wp:posOffset>
            </wp:positionV>
            <wp:extent cx="1228725" cy="981075"/>
            <wp:effectExtent l="0" t="0" r="9525" b="952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28725" cy="981075"/>
                    </a:xfrm>
                    <a:prstGeom prst="rect">
                      <a:avLst/>
                    </a:prstGeom>
                    <a:noFill/>
                    <a:ln>
                      <a:noFill/>
                    </a:ln>
                  </pic:spPr>
                </pic:pic>
              </a:graphicData>
            </a:graphic>
          </wp:anchor>
        </w:drawing>
      </w:r>
      <w:r w:rsidR="002722B3" w:rsidRPr="002722B3">
        <w:rPr>
          <w:rFonts w:ascii="Tahoma" w:hAnsi="Tahoma" w:cs="Tahoma"/>
          <w:b/>
          <w:bCs/>
          <w:i/>
          <w:iCs/>
          <w:sz w:val="24"/>
          <w:szCs w:val="24"/>
        </w:rPr>
        <w:br w:type="textWrapping" w:clear="all"/>
      </w:r>
    </w:p>
    <w:p w:rsidR="002722B3" w:rsidRDefault="002722B3" w:rsidP="004103C9">
      <w:pPr>
        <w:jc w:val="center"/>
        <w:rPr>
          <w:rFonts w:ascii="Tahoma" w:hAnsi="Tahoma" w:cs="Tahoma"/>
          <w:b/>
          <w:sz w:val="24"/>
          <w:szCs w:val="24"/>
        </w:rPr>
      </w:pPr>
      <w:r w:rsidRPr="002722B3">
        <w:rPr>
          <w:rFonts w:ascii="Tahoma" w:hAnsi="Tahoma" w:cs="Tahoma"/>
          <w:b/>
          <w:sz w:val="24"/>
          <w:szCs w:val="24"/>
        </w:rPr>
        <w:t xml:space="preserve">INDICE </w:t>
      </w:r>
      <w:r w:rsidR="00B85EEE">
        <w:rPr>
          <w:rFonts w:ascii="Tahoma" w:hAnsi="Tahoma" w:cs="Tahoma"/>
          <w:b/>
          <w:sz w:val="24"/>
          <w:szCs w:val="24"/>
        </w:rPr>
        <w:t xml:space="preserve">DES PRIX </w:t>
      </w:r>
      <w:r w:rsidRPr="002722B3">
        <w:rPr>
          <w:rFonts w:ascii="Tahoma" w:hAnsi="Tahoma" w:cs="Tahoma"/>
          <w:b/>
          <w:sz w:val="24"/>
          <w:szCs w:val="24"/>
        </w:rPr>
        <w:t>DES BATIMENTS ET TRAVAUX PUBLICS (IBTP)</w:t>
      </w:r>
    </w:p>
    <w:p w:rsidR="00B85EEE" w:rsidRDefault="00B85EEE" w:rsidP="004103C9">
      <w:pPr>
        <w:jc w:val="center"/>
        <w:rPr>
          <w:rFonts w:ascii="Tahoma" w:hAnsi="Tahoma" w:cs="Tahoma"/>
          <w:b/>
          <w:sz w:val="24"/>
          <w:szCs w:val="24"/>
        </w:rPr>
      </w:pPr>
      <w:r>
        <w:rPr>
          <w:rFonts w:ascii="Tahoma" w:hAnsi="Tahoma" w:cs="Tahoma"/>
          <w:b/>
          <w:sz w:val="24"/>
          <w:szCs w:val="24"/>
        </w:rPr>
        <w:t>Aperçu méthodologique</w:t>
      </w:r>
    </w:p>
    <w:p w:rsidR="00B85EEE" w:rsidRPr="002722B3" w:rsidRDefault="00B85EEE" w:rsidP="004103C9">
      <w:pPr>
        <w:jc w:val="center"/>
        <w:rPr>
          <w:rFonts w:ascii="Tahoma" w:hAnsi="Tahoma" w:cs="Tahoma"/>
          <w:b/>
          <w:color w:val="000000"/>
          <w:sz w:val="24"/>
          <w:szCs w:val="24"/>
        </w:rPr>
      </w:pPr>
    </w:p>
    <w:p w:rsidR="00663008" w:rsidRPr="002722B3" w:rsidRDefault="00EF324B">
      <w:pPr>
        <w:rPr>
          <w:rFonts w:ascii="Tahoma" w:hAnsi="Tahoma" w:cs="Tahoma"/>
          <w:b/>
          <w:color w:val="000000"/>
          <w:sz w:val="24"/>
          <w:szCs w:val="24"/>
        </w:rPr>
      </w:pPr>
      <w:r w:rsidRPr="002722B3">
        <w:rPr>
          <w:rFonts w:ascii="Tahoma" w:hAnsi="Tahoma" w:cs="Tahoma"/>
          <w:b/>
          <w:color w:val="000000"/>
          <w:sz w:val="24"/>
          <w:szCs w:val="24"/>
        </w:rPr>
        <w:t>Définition</w:t>
      </w:r>
    </w:p>
    <w:p w:rsidR="00EF324B" w:rsidRPr="002722B3" w:rsidRDefault="00EF324B" w:rsidP="00EF324B">
      <w:pPr>
        <w:pStyle w:val="Paragraphedeliste"/>
        <w:spacing w:line="360" w:lineRule="auto"/>
        <w:ind w:left="0"/>
        <w:jc w:val="both"/>
        <w:rPr>
          <w:rFonts w:ascii="Tahoma" w:hAnsi="Tahoma" w:cs="Tahoma"/>
          <w:color w:val="000000"/>
          <w:sz w:val="24"/>
          <w:szCs w:val="24"/>
        </w:rPr>
      </w:pPr>
      <w:r w:rsidRPr="002722B3">
        <w:rPr>
          <w:rFonts w:ascii="Tahoma" w:hAnsi="Tahoma" w:cs="Tahoma"/>
          <w:b/>
          <w:color w:val="000000"/>
          <w:sz w:val="24"/>
          <w:szCs w:val="24"/>
        </w:rPr>
        <w:t>L’</w:t>
      </w:r>
      <w:r w:rsidR="002722B3">
        <w:rPr>
          <w:rFonts w:ascii="Tahoma" w:hAnsi="Tahoma" w:cs="Tahoma"/>
          <w:b/>
          <w:color w:val="000000"/>
          <w:sz w:val="24"/>
          <w:szCs w:val="24"/>
        </w:rPr>
        <w:t>Indice</w:t>
      </w:r>
      <w:r w:rsidRPr="002722B3">
        <w:rPr>
          <w:rFonts w:ascii="Tahoma" w:hAnsi="Tahoma" w:cs="Tahoma"/>
          <w:b/>
          <w:color w:val="000000"/>
          <w:sz w:val="24"/>
          <w:szCs w:val="24"/>
        </w:rPr>
        <w:t xml:space="preserve"> général </w:t>
      </w:r>
      <w:r w:rsidR="00B85EEE">
        <w:rPr>
          <w:rFonts w:ascii="Tahoma" w:hAnsi="Tahoma" w:cs="Tahoma"/>
          <w:b/>
          <w:color w:val="000000"/>
          <w:sz w:val="24"/>
          <w:szCs w:val="24"/>
        </w:rPr>
        <w:t>des prix des</w:t>
      </w:r>
      <w:r w:rsidR="00B85EEE" w:rsidRPr="002722B3">
        <w:rPr>
          <w:rFonts w:ascii="Tahoma" w:hAnsi="Tahoma" w:cs="Tahoma"/>
          <w:b/>
          <w:color w:val="000000"/>
          <w:sz w:val="24"/>
          <w:szCs w:val="24"/>
        </w:rPr>
        <w:t xml:space="preserve"> </w:t>
      </w:r>
      <w:r w:rsidRPr="002722B3">
        <w:rPr>
          <w:rFonts w:ascii="Tahoma" w:hAnsi="Tahoma" w:cs="Tahoma"/>
          <w:b/>
          <w:color w:val="000000"/>
          <w:sz w:val="24"/>
          <w:szCs w:val="24"/>
        </w:rPr>
        <w:t>Bâtiment et des Travaux Publics</w:t>
      </w:r>
      <w:r w:rsidRPr="002722B3">
        <w:rPr>
          <w:rFonts w:ascii="Tahoma" w:hAnsi="Tahoma" w:cs="Tahoma"/>
          <w:color w:val="000000"/>
          <w:sz w:val="24"/>
          <w:szCs w:val="24"/>
        </w:rPr>
        <w:t xml:space="preserve"> est un indicateur qui sert à mesurer la variation</w:t>
      </w:r>
      <w:r w:rsidR="00B85EEE">
        <w:rPr>
          <w:rFonts w:ascii="Tahoma" w:hAnsi="Tahoma" w:cs="Tahoma"/>
          <w:color w:val="000000"/>
          <w:sz w:val="24"/>
          <w:szCs w:val="24"/>
        </w:rPr>
        <w:t>,</w:t>
      </w:r>
      <w:r w:rsidRPr="002722B3">
        <w:rPr>
          <w:rFonts w:ascii="Tahoma" w:hAnsi="Tahoma" w:cs="Tahoma"/>
          <w:color w:val="000000"/>
          <w:sz w:val="24"/>
          <w:szCs w:val="24"/>
        </w:rPr>
        <w:t xml:space="preserve"> d'une période à une autre</w:t>
      </w:r>
      <w:r w:rsidR="00B85EEE">
        <w:rPr>
          <w:rFonts w:ascii="Tahoma" w:hAnsi="Tahoma" w:cs="Tahoma"/>
          <w:color w:val="000000"/>
          <w:sz w:val="24"/>
          <w:szCs w:val="24"/>
        </w:rPr>
        <w:t>,</w:t>
      </w:r>
      <w:r w:rsidRPr="002722B3">
        <w:rPr>
          <w:rFonts w:ascii="Tahoma" w:hAnsi="Tahoma" w:cs="Tahoma"/>
          <w:color w:val="000000"/>
          <w:sz w:val="24"/>
          <w:szCs w:val="24"/>
        </w:rPr>
        <w:t xml:space="preserve"> du coût de la construction des bâtiments et des </w:t>
      </w:r>
      <w:r w:rsidR="00B85EEE">
        <w:rPr>
          <w:rFonts w:ascii="Tahoma" w:hAnsi="Tahoma" w:cs="Tahoma"/>
          <w:color w:val="000000"/>
          <w:sz w:val="24"/>
          <w:szCs w:val="24"/>
        </w:rPr>
        <w:t>travaux de génie-civil</w:t>
      </w:r>
      <w:r w:rsidRPr="002722B3">
        <w:rPr>
          <w:rFonts w:ascii="Tahoma" w:hAnsi="Tahoma" w:cs="Tahoma"/>
          <w:color w:val="000000"/>
          <w:sz w:val="24"/>
          <w:szCs w:val="24"/>
        </w:rPr>
        <w:t xml:space="preserve">. Il est composé de l'Index général du Bâtiment, de l'Index général des Travaux Publics et de l'Index général des Travaux Spécialisés. Ces index sont des indices composites appréhendés à partir de cinq (5) postes de dépenses: les matériaux, les matériels, </w:t>
      </w:r>
      <w:r w:rsidR="009A6A09">
        <w:rPr>
          <w:rFonts w:ascii="Tahoma" w:hAnsi="Tahoma" w:cs="Tahoma"/>
          <w:color w:val="000000"/>
          <w:sz w:val="24"/>
          <w:szCs w:val="24"/>
        </w:rPr>
        <w:t>la main d’œuvre</w:t>
      </w:r>
      <w:r w:rsidR="009A6A09" w:rsidRPr="002722B3">
        <w:rPr>
          <w:rFonts w:ascii="Tahoma" w:hAnsi="Tahoma" w:cs="Tahoma"/>
          <w:color w:val="000000"/>
          <w:sz w:val="24"/>
          <w:szCs w:val="24"/>
        </w:rPr>
        <w:t xml:space="preserve"> </w:t>
      </w:r>
      <w:r w:rsidR="009A6A09">
        <w:rPr>
          <w:rFonts w:ascii="Tahoma" w:hAnsi="Tahoma" w:cs="Tahoma"/>
          <w:color w:val="000000"/>
          <w:sz w:val="24"/>
          <w:szCs w:val="24"/>
        </w:rPr>
        <w:t>(</w:t>
      </w:r>
      <w:r w:rsidRPr="002722B3">
        <w:rPr>
          <w:rFonts w:ascii="Tahoma" w:hAnsi="Tahoma" w:cs="Tahoma"/>
          <w:color w:val="000000"/>
          <w:sz w:val="24"/>
          <w:szCs w:val="24"/>
        </w:rPr>
        <w:t xml:space="preserve">salaires et </w:t>
      </w:r>
      <w:r w:rsidR="009A6A09">
        <w:rPr>
          <w:rFonts w:ascii="Tahoma" w:hAnsi="Tahoma" w:cs="Tahoma"/>
          <w:color w:val="000000"/>
          <w:sz w:val="24"/>
          <w:szCs w:val="24"/>
        </w:rPr>
        <w:t xml:space="preserve">autres </w:t>
      </w:r>
      <w:r w:rsidRPr="002722B3">
        <w:rPr>
          <w:rFonts w:ascii="Tahoma" w:hAnsi="Tahoma" w:cs="Tahoma"/>
          <w:color w:val="000000"/>
          <w:sz w:val="24"/>
          <w:szCs w:val="24"/>
        </w:rPr>
        <w:t>charges</w:t>
      </w:r>
      <w:r w:rsidR="009A6A09">
        <w:rPr>
          <w:rFonts w:ascii="Tahoma" w:hAnsi="Tahoma" w:cs="Tahoma"/>
          <w:color w:val="000000"/>
          <w:sz w:val="24"/>
          <w:szCs w:val="24"/>
        </w:rPr>
        <w:t xml:space="preserve"> de personnel)</w:t>
      </w:r>
      <w:r w:rsidRPr="002722B3">
        <w:rPr>
          <w:rFonts w:ascii="Tahoma" w:hAnsi="Tahoma" w:cs="Tahoma"/>
          <w:color w:val="000000"/>
          <w:sz w:val="24"/>
          <w:szCs w:val="24"/>
        </w:rPr>
        <w:t xml:space="preserve">, les moyens de gestion </w:t>
      </w:r>
      <w:r w:rsidR="009A6A09">
        <w:rPr>
          <w:rFonts w:ascii="Tahoma" w:hAnsi="Tahoma" w:cs="Tahoma"/>
          <w:color w:val="000000"/>
          <w:sz w:val="24"/>
          <w:szCs w:val="24"/>
        </w:rPr>
        <w:t>ainsi que</w:t>
      </w:r>
      <w:r w:rsidR="009A6A09" w:rsidRPr="002722B3">
        <w:rPr>
          <w:rFonts w:ascii="Tahoma" w:hAnsi="Tahoma" w:cs="Tahoma"/>
          <w:color w:val="000000"/>
          <w:sz w:val="24"/>
          <w:szCs w:val="24"/>
        </w:rPr>
        <w:t xml:space="preserve"> </w:t>
      </w:r>
      <w:r w:rsidRPr="002722B3">
        <w:rPr>
          <w:rFonts w:ascii="Tahoma" w:hAnsi="Tahoma" w:cs="Tahoma"/>
          <w:color w:val="000000"/>
          <w:sz w:val="24"/>
          <w:szCs w:val="24"/>
        </w:rPr>
        <w:t>l'énergie</w:t>
      </w:r>
      <w:r w:rsidR="009A6A09">
        <w:rPr>
          <w:rFonts w:ascii="Tahoma" w:hAnsi="Tahoma" w:cs="Tahoma"/>
          <w:color w:val="000000"/>
          <w:sz w:val="24"/>
          <w:szCs w:val="24"/>
        </w:rPr>
        <w:t xml:space="preserve"> et les transports</w:t>
      </w:r>
      <w:r w:rsidRPr="002722B3">
        <w:rPr>
          <w:rFonts w:ascii="Tahoma" w:hAnsi="Tahoma" w:cs="Tahoma"/>
          <w:color w:val="000000"/>
          <w:sz w:val="24"/>
          <w:szCs w:val="24"/>
        </w:rPr>
        <w:t>. Chaque poste est appréhendé à partir d'indices élémentaires pondérés.</w:t>
      </w:r>
    </w:p>
    <w:p w:rsidR="00EF324B" w:rsidRPr="002722B3" w:rsidRDefault="00EF324B" w:rsidP="00EF324B">
      <w:pPr>
        <w:pStyle w:val="Paragraphedeliste"/>
        <w:spacing w:line="360" w:lineRule="auto"/>
        <w:ind w:left="0"/>
        <w:jc w:val="both"/>
        <w:rPr>
          <w:rFonts w:ascii="Tahoma" w:hAnsi="Tahoma" w:cs="Tahoma"/>
          <w:b/>
          <w:color w:val="000000"/>
          <w:sz w:val="24"/>
          <w:szCs w:val="24"/>
        </w:rPr>
      </w:pPr>
      <w:r w:rsidRPr="002722B3">
        <w:rPr>
          <w:rFonts w:ascii="Tahoma" w:hAnsi="Tahoma" w:cs="Tahoma"/>
          <w:b/>
          <w:color w:val="000000"/>
          <w:sz w:val="24"/>
          <w:szCs w:val="24"/>
        </w:rPr>
        <w:t>Méthodologie</w:t>
      </w:r>
    </w:p>
    <w:p w:rsidR="00EF324B" w:rsidRPr="002722B3" w:rsidRDefault="00EF324B" w:rsidP="00EF324B">
      <w:pPr>
        <w:spacing w:before="120" w:after="0" w:line="360" w:lineRule="auto"/>
        <w:jc w:val="both"/>
        <w:rPr>
          <w:rFonts w:ascii="Tahoma" w:hAnsi="Tahoma" w:cs="Tahoma"/>
          <w:sz w:val="24"/>
          <w:szCs w:val="24"/>
        </w:rPr>
      </w:pPr>
      <w:r w:rsidRPr="002722B3">
        <w:rPr>
          <w:rFonts w:ascii="Tahoma" w:hAnsi="Tahoma" w:cs="Tahoma"/>
          <w:sz w:val="24"/>
          <w:szCs w:val="24"/>
        </w:rPr>
        <w:t xml:space="preserve">La méthode choisie </w:t>
      </w:r>
      <w:r w:rsidRPr="002722B3">
        <w:rPr>
          <w:rFonts w:ascii="Tahoma" w:hAnsi="Tahoma" w:cs="Tahoma"/>
          <w:sz w:val="24"/>
          <w:szCs w:val="24"/>
          <w:shd w:val="clear" w:color="auto" w:fill="FFFFFF"/>
        </w:rPr>
        <w:t xml:space="preserve">mesure les variations des prix des intrants dans le processus de construction en traitant séparément le coût de chaque facteur. Cette méthode entraine généralement la compilation d'un indice pondéré des coûts des matériaux, </w:t>
      </w:r>
      <w:r w:rsidR="009A6A09">
        <w:rPr>
          <w:rFonts w:ascii="Tahoma" w:hAnsi="Tahoma" w:cs="Tahoma"/>
          <w:sz w:val="24"/>
          <w:szCs w:val="24"/>
          <w:shd w:val="clear" w:color="auto" w:fill="FFFFFF"/>
        </w:rPr>
        <w:t xml:space="preserve">des matériels, </w:t>
      </w:r>
      <w:r w:rsidRPr="002722B3">
        <w:rPr>
          <w:rFonts w:ascii="Tahoma" w:hAnsi="Tahoma" w:cs="Tahoma"/>
          <w:sz w:val="24"/>
          <w:szCs w:val="24"/>
          <w:shd w:val="clear" w:color="auto" w:fill="FFFFFF"/>
        </w:rPr>
        <w:t xml:space="preserve">du travail, de l'énergie, des locations et des frais de gestion. </w:t>
      </w:r>
      <w:r w:rsidR="002722B3">
        <w:rPr>
          <w:rFonts w:ascii="Tahoma" w:hAnsi="Tahoma" w:cs="Tahoma"/>
          <w:sz w:val="24"/>
          <w:szCs w:val="24"/>
          <w:shd w:val="clear" w:color="auto" w:fill="FFFFFF"/>
        </w:rPr>
        <w:t>Elle</w:t>
      </w:r>
      <w:r w:rsidRPr="002722B3">
        <w:rPr>
          <w:rFonts w:ascii="Tahoma" w:hAnsi="Tahoma" w:cs="Tahoma"/>
          <w:sz w:val="24"/>
          <w:szCs w:val="24"/>
        </w:rPr>
        <w:t xml:space="preserve"> est mieux adaptée au contexte socioéconomique du Sénégal, du fait que les constructions se réalisent beaucoup plus tard que prévu en général. </w:t>
      </w:r>
    </w:p>
    <w:p w:rsidR="00EF324B" w:rsidRPr="002722B3" w:rsidRDefault="00EF324B" w:rsidP="00EF324B">
      <w:pPr>
        <w:spacing w:before="120" w:after="0" w:line="360" w:lineRule="auto"/>
        <w:jc w:val="both"/>
        <w:rPr>
          <w:rFonts w:ascii="Tahoma" w:hAnsi="Tahoma" w:cs="Tahoma"/>
          <w:b/>
          <w:sz w:val="24"/>
          <w:szCs w:val="24"/>
        </w:rPr>
      </w:pPr>
      <w:r w:rsidRPr="002722B3">
        <w:rPr>
          <w:rFonts w:ascii="Tahoma" w:hAnsi="Tahoma" w:cs="Tahoma"/>
          <w:b/>
          <w:sz w:val="24"/>
          <w:szCs w:val="24"/>
        </w:rPr>
        <w:t>Calcul</w:t>
      </w:r>
    </w:p>
    <w:p w:rsidR="00EF324B" w:rsidRPr="002722B3" w:rsidRDefault="00EF324B" w:rsidP="00EF324B">
      <w:pPr>
        <w:spacing w:after="0" w:line="360" w:lineRule="auto"/>
        <w:jc w:val="both"/>
        <w:rPr>
          <w:rFonts w:ascii="Tahoma" w:hAnsi="Tahoma" w:cs="Tahoma"/>
          <w:sz w:val="24"/>
          <w:szCs w:val="24"/>
        </w:rPr>
      </w:pPr>
      <w:r w:rsidRPr="002722B3">
        <w:rPr>
          <w:rFonts w:ascii="Tahoma" w:hAnsi="Tahoma" w:cs="Tahoma"/>
          <w:color w:val="000000"/>
          <w:sz w:val="24"/>
          <w:szCs w:val="24"/>
        </w:rPr>
        <w:t xml:space="preserve">Les </w:t>
      </w:r>
      <w:r w:rsidR="002722B3">
        <w:rPr>
          <w:rFonts w:ascii="Tahoma" w:hAnsi="Tahoma" w:cs="Tahoma"/>
          <w:color w:val="000000"/>
          <w:sz w:val="24"/>
          <w:szCs w:val="24"/>
        </w:rPr>
        <w:t>indices</w:t>
      </w:r>
      <w:r w:rsidRPr="002722B3">
        <w:rPr>
          <w:rFonts w:ascii="Tahoma" w:hAnsi="Tahoma" w:cs="Tahoma"/>
          <w:color w:val="000000"/>
          <w:sz w:val="24"/>
          <w:szCs w:val="24"/>
        </w:rPr>
        <w:t xml:space="preserve"> des niveaux agrégés sont calculés à partir des </w:t>
      </w:r>
      <w:r w:rsidR="002722B3">
        <w:rPr>
          <w:rFonts w:ascii="Tahoma" w:hAnsi="Tahoma" w:cs="Tahoma"/>
          <w:color w:val="000000"/>
          <w:sz w:val="24"/>
          <w:szCs w:val="24"/>
        </w:rPr>
        <w:t>indices</w:t>
      </w:r>
      <w:r w:rsidRPr="002722B3">
        <w:rPr>
          <w:rFonts w:ascii="Tahoma" w:hAnsi="Tahoma" w:cs="Tahoma"/>
          <w:color w:val="000000"/>
          <w:sz w:val="24"/>
          <w:szCs w:val="24"/>
        </w:rPr>
        <w:t xml:space="preserve"> détaillés en utilisant un jeu de pondération. Les indices sont fondés sur des relevés de prix de produits </w:t>
      </w:r>
      <w:r w:rsidR="00690EA9">
        <w:rPr>
          <w:rFonts w:ascii="Tahoma" w:hAnsi="Tahoma" w:cs="Tahoma"/>
          <w:color w:val="000000"/>
          <w:sz w:val="24"/>
          <w:szCs w:val="24"/>
        </w:rPr>
        <w:t xml:space="preserve">et du coût de la main d’œuvre. Ils </w:t>
      </w:r>
      <w:r w:rsidRPr="002722B3">
        <w:rPr>
          <w:rFonts w:ascii="Tahoma" w:hAnsi="Tahoma" w:cs="Tahoma"/>
          <w:color w:val="000000"/>
          <w:sz w:val="24"/>
          <w:szCs w:val="24"/>
        </w:rPr>
        <w:t xml:space="preserve">sont répartis en </w:t>
      </w:r>
      <w:r w:rsidR="002722B3">
        <w:rPr>
          <w:rFonts w:ascii="Tahoma" w:hAnsi="Tahoma" w:cs="Tahoma"/>
          <w:color w:val="000000"/>
          <w:sz w:val="24"/>
          <w:szCs w:val="24"/>
        </w:rPr>
        <w:t>cinq</w:t>
      </w:r>
      <w:r w:rsidRPr="002722B3">
        <w:rPr>
          <w:rFonts w:ascii="Tahoma" w:hAnsi="Tahoma" w:cs="Tahoma"/>
          <w:color w:val="000000"/>
          <w:sz w:val="24"/>
          <w:szCs w:val="24"/>
        </w:rPr>
        <w:t xml:space="preserve"> grands ensembles : travail, </w:t>
      </w:r>
      <w:r w:rsidR="00690EA9">
        <w:rPr>
          <w:rFonts w:ascii="Tahoma" w:hAnsi="Tahoma" w:cs="Tahoma"/>
          <w:color w:val="000000"/>
          <w:sz w:val="24"/>
          <w:szCs w:val="24"/>
        </w:rPr>
        <w:t>m</w:t>
      </w:r>
      <w:r w:rsidRPr="002722B3">
        <w:rPr>
          <w:rFonts w:ascii="Tahoma" w:hAnsi="Tahoma" w:cs="Tahoma"/>
          <w:color w:val="000000"/>
          <w:sz w:val="24"/>
          <w:szCs w:val="24"/>
        </w:rPr>
        <w:t xml:space="preserve">atériaux de construction, </w:t>
      </w:r>
      <w:r w:rsidR="00690EA9">
        <w:rPr>
          <w:rFonts w:ascii="Tahoma" w:hAnsi="Tahoma" w:cs="Tahoma"/>
          <w:color w:val="000000"/>
          <w:sz w:val="24"/>
          <w:szCs w:val="24"/>
        </w:rPr>
        <w:t>m</w:t>
      </w:r>
      <w:r w:rsidRPr="002722B3">
        <w:rPr>
          <w:rFonts w:ascii="Tahoma" w:hAnsi="Tahoma" w:cs="Tahoma"/>
          <w:color w:val="000000"/>
          <w:sz w:val="24"/>
          <w:szCs w:val="24"/>
        </w:rPr>
        <w:t xml:space="preserve">atériel, </w:t>
      </w:r>
      <w:r w:rsidR="00690EA9">
        <w:rPr>
          <w:rFonts w:ascii="Tahoma" w:hAnsi="Tahoma" w:cs="Tahoma"/>
          <w:color w:val="000000"/>
          <w:sz w:val="24"/>
          <w:szCs w:val="24"/>
        </w:rPr>
        <w:t>é</w:t>
      </w:r>
      <w:r w:rsidR="002722B3">
        <w:rPr>
          <w:rFonts w:ascii="Tahoma" w:hAnsi="Tahoma" w:cs="Tahoma"/>
          <w:color w:val="000000"/>
          <w:sz w:val="24"/>
          <w:szCs w:val="24"/>
        </w:rPr>
        <w:t xml:space="preserve">nergie et </w:t>
      </w:r>
      <w:r w:rsidR="00690EA9">
        <w:rPr>
          <w:rFonts w:ascii="Tahoma" w:hAnsi="Tahoma" w:cs="Tahoma"/>
          <w:color w:val="000000"/>
          <w:sz w:val="24"/>
          <w:szCs w:val="24"/>
        </w:rPr>
        <w:t>f</w:t>
      </w:r>
      <w:r w:rsidRPr="002722B3">
        <w:rPr>
          <w:rFonts w:ascii="Tahoma" w:hAnsi="Tahoma" w:cs="Tahoma"/>
          <w:color w:val="000000"/>
          <w:sz w:val="24"/>
          <w:szCs w:val="24"/>
        </w:rPr>
        <w:t xml:space="preserve">rais de </w:t>
      </w:r>
      <w:r w:rsidR="00690EA9">
        <w:rPr>
          <w:rFonts w:ascii="Tahoma" w:hAnsi="Tahoma" w:cs="Tahoma"/>
          <w:color w:val="000000"/>
          <w:sz w:val="24"/>
          <w:szCs w:val="24"/>
        </w:rPr>
        <w:t>g</w:t>
      </w:r>
      <w:r w:rsidRPr="002722B3">
        <w:rPr>
          <w:rFonts w:ascii="Tahoma" w:hAnsi="Tahoma" w:cs="Tahoma"/>
          <w:color w:val="000000"/>
          <w:sz w:val="24"/>
          <w:szCs w:val="24"/>
        </w:rPr>
        <w:t>estion.</w:t>
      </w:r>
    </w:p>
    <w:p w:rsidR="00EF324B" w:rsidRPr="002722B3" w:rsidRDefault="00EF324B" w:rsidP="00EF324B">
      <w:pPr>
        <w:autoSpaceDE w:val="0"/>
        <w:autoSpaceDN w:val="0"/>
        <w:adjustRightInd w:val="0"/>
        <w:spacing w:line="360" w:lineRule="auto"/>
        <w:jc w:val="both"/>
        <w:rPr>
          <w:rFonts w:ascii="Tahoma" w:hAnsi="Tahoma" w:cs="Tahoma"/>
          <w:color w:val="000000"/>
          <w:sz w:val="24"/>
          <w:szCs w:val="24"/>
        </w:rPr>
      </w:pPr>
      <w:r w:rsidRPr="002722B3">
        <w:rPr>
          <w:rFonts w:ascii="Tahoma" w:hAnsi="Tahoma" w:cs="Tahoma"/>
          <w:color w:val="000000"/>
          <w:sz w:val="24"/>
          <w:szCs w:val="24"/>
        </w:rPr>
        <w:lastRenderedPageBreak/>
        <w:t>Avant de procéder au calcul de l’indice général du bâtiment, les prix de base des variétés sont calculés. Ensuite, les indices élémentaires</w:t>
      </w:r>
      <w:r w:rsidR="00690EA9">
        <w:rPr>
          <w:rFonts w:ascii="Tahoma" w:hAnsi="Tahoma" w:cs="Tahoma"/>
          <w:color w:val="000000"/>
          <w:sz w:val="24"/>
          <w:szCs w:val="24"/>
        </w:rPr>
        <w:t>,</w:t>
      </w:r>
      <w:r w:rsidRPr="002722B3">
        <w:rPr>
          <w:rFonts w:ascii="Tahoma" w:hAnsi="Tahoma" w:cs="Tahoma"/>
          <w:color w:val="000000"/>
          <w:sz w:val="24"/>
          <w:szCs w:val="24"/>
        </w:rPr>
        <w:t xml:space="preserve"> représent</w:t>
      </w:r>
      <w:r w:rsidR="00690EA9">
        <w:rPr>
          <w:rFonts w:ascii="Tahoma" w:hAnsi="Tahoma" w:cs="Tahoma"/>
          <w:color w:val="000000"/>
          <w:sz w:val="24"/>
          <w:szCs w:val="24"/>
        </w:rPr>
        <w:t>a</w:t>
      </w:r>
      <w:r w:rsidRPr="002722B3">
        <w:rPr>
          <w:rFonts w:ascii="Tahoma" w:hAnsi="Tahoma" w:cs="Tahoma"/>
          <w:color w:val="000000"/>
          <w:sz w:val="24"/>
          <w:szCs w:val="24"/>
        </w:rPr>
        <w:t>nt le rapport du prix moyen de la variété de la période en cours au prix de base de cette variété.</w:t>
      </w:r>
    </w:p>
    <w:p w:rsidR="00EF324B" w:rsidRPr="002722B3" w:rsidRDefault="00BC3CDE" w:rsidP="00EF324B">
      <w:pPr>
        <w:numPr>
          <w:ilvl w:val="0"/>
          <w:numId w:val="1"/>
        </w:numPr>
        <w:autoSpaceDE w:val="0"/>
        <w:autoSpaceDN w:val="0"/>
        <w:adjustRightInd w:val="0"/>
        <w:spacing w:after="200" w:line="312" w:lineRule="auto"/>
        <w:jc w:val="both"/>
        <w:rPr>
          <w:rFonts w:ascii="Tahoma" w:hAnsi="Tahoma" w:cs="Tahoma"/>
          <w:color w:val="000000"/>
          <w:sz w:val="24"/>
          <w:szCs w:val="24"/>
        </w:rPr>
      </w:pPr>
      <w:r>
        <w:rPr>
          <w:rFonts w:ascii="Tahoma" w:hAnsi="Tahoma" w:cs="Tahoma"/>
          <w:color w:val="000000"/>
          <w:sz w:val="24"/>
          <w:szCs w:val="24"/>
        </w:rPr>
        <w:t>D</w:t>
      </w:r>
      <w:r w:rsidR="00EF324B" w:rsidRPr="002722B3">
        <w:rPr>
          <w:rFonts w:ascii="Tahoma" w:hAnsi="Tahoma" w:cs="Tahoma"/>
          <w:color w:val="000000"/>
          <w:sz w:val="24"/>
          <w:szCs w:val="24"/>
        </w:rPr>
        <w:t xml:space="preserve">ans le cas général, </w:t>
      </w:r>
    </w:p>
    <w:p w:rsidR="00EF324B" w:rsidRPr="002722B3" w:rsidRDefault="002722B3" w:rsidP="00EF324B">
      <w:pPr>
        <w:pStyle w:val="texte"/>
        <w:ind w:left="720" w:right="284"/>
        <w:rPr>
          <w:rFonts w:ascii="Tahoma" w:hAnsi="Tahoma" w:cs="Tahoma"/>
          <w:sz w:val="24"/>
          <w:szCs w:val="24"/>
          <w:lang w:val="fr-FR"/>
        </w:rPr>
      </w:pPr>
      <w:r w:rsidRPr="002722B3">
        <w:rPr>
          <w:rFonts w:ascii="Tahoma" w:hAnsi="Tahoma" w:cs="Tahoma"/>
          <w:position w:val="-38"/>
          <w:sz w:val="24"/>
          <w:szCs w:val="24"/>
        </w:rPr>
        <w:object w:dxaOrig="2820" w:dyaOrig="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36pt" o:ole="" fillcolor="window">
            <v:imagedata r:id="rId6" o:title=""/>
          </v:shape>
          <o:OLEObject Type="Embed" ProgID="Equation.3" ShapeID="_x0000_i1025" DrawAspect="Content" ObjectID="_1797184180" r:id="rId7"/>
        </w:object>
      </w:r>
      <w:r>
        <w:rPr>
          <w:rFonts w:ascii="Tahoma" w:hAnsi="Tahoma" w:cs="Tahoma"/>
          <w:sz w:val="24"/>
          <w:szCs w:val="24"/>
        </w:rPr>
        <w:t xml:space="preserve"> </w:t>
      </w:r>
      <w:r w:rsidR="00855F43">
        <w:rPr>
          <w:rFonts w:ascii="Tahoma" w:hAnsi="Tahoma" w:cs="Tahoma"/>
          <w:sz w:val="24"/>
          <w:szCs w:val="24"/>
          <w:lang w:val="fr-FR"/>
        </w:rPr>
        <w:t>Où</w:t>
      </w:r>
      <w:r w:rsidR="00EF324B" w:rsidRPr="002722B3">
        <w:rPr>
          <w:rFonts w:ascii="Tahoma" w:hAnsi="Tahoma" w:cs="Tahoma"/>
          <w:sz w:val="24"/>
          <w:szCs w:val="24"/>
          <w:lang w:val="fr-FR"/>
        </w:rPr>
        <w:t xml:space="preserve"> </w:t>
      </w:r>
      <w:proofErr w:type="spellStart"/>
      <w:r w:rsidR="00EF324B" w:rsidRPr="002722B3">
        <w:rPr>
          <w:rFonts w:ascii="Tahoma" w:hAnsi="Tahoma" w:cs="Tahoma"/>
          <w:sz w:val="24"/>
          <w:szCs w:val="24"/>
          <w:lang w:val="fr-FR"/>
        </w:rPr>
        <w:t>w</w:t>
      </w:r>
      <w:bookmarkStart w:id="0" w:name="_GoBack"/>
      <w:bookmarkEnd w:id="0"/>
      <w:r w:rsidR="00EF324B" w:rsidRPr="002722B3">
        <w:rPr>
          <w:rFonts w:ascii="Tahoma" w:hAnsi="Tahoma" w:cs="Tahoma"/>
          <w:sz w:val="24"/>
          <w:szCs w:val="24"/>
          <w:vertAlign w:val="subscript"/>
          <w:lang w:val="fr-FR"/>
        </w:rPr>
        <w:t>ji</w:t>
      </w:r>
      <w:proofErr w:type="spellEnd"/>
      <w:r w:rsidR="00EF324B" w:rsidRPr="002722B3">
        <w:rPr>
          <w:rFonts w:ascii="Tahoma" w:hAnsi="Tahoma" w:cs="Tahoma"/>
          <w:sz w:val="24"/>
          <w:szCs w:val="24"/>
          <w:lang w:val="fr-FR"/>
        </w:rPr>
        <w:t xml:space="preserve"> est la pondérat</w:t>
      </w:r>
      <w:r>
        <w:rPr>
          <w:rFonts w:ascii="Tahoma" w:hAnsi="Tahoma" w:cs="Tahoma"/>
          <w:sz w:val="24"/>
          <w:szCs w:val="24"/>
          <w:lang w:val="fr-FR"/>
        </w:rPr>
        <w:t xml:space="preserve">ion de la série i de la variété </w:t>
      </w:r>
      <w:r w:rsidR="00EF324B" w:rsidRPr="002722B3">
        <w:rPr>
          <w:rFonts w:ascii="Tahoma" w:hAnsi="Tahoma" w:cs="Tahoma"/>
          <w:sz w:val="24"/>
          <w:szCs w:val="24"/>
          <w:lang w:val="fr-FR"/>
        </w:rPr>
        <w:t>j.</w:t>
      </w:r>
    </w:p>
    <w:p w:rsidR="00EF324B" w:rsidRPr="002722B3" w:rsidRDefault="00EF324B" w:rsidP="00EF324B">
      <w:pPr>
        <w:pStyle w:val="texte"/>
        <w:ind w:left="0" w:right="284"/>
        <w:rPr>
          <w:rFonts w:ascii="Tahoma" w:hAnsi="Tahoma" w:cs="Tahoma"/>
          <w:sz w:val="24"/>
          <w:szCs w:val="24"/>
          <w:lang w:val="fr-FR"/>
        </w:rPr>
      </w:pPr>
    </w:p>
    <w:p w:rsidR="00EF324B" w:rsidRPr="002722B3" w:rsidRDefault="00BC3CDE" w:rsidP="00EF324B">
      <w:pPr>
        <w:pStyle w:val="Paragraphedeliste"/>
        <w:numPr>
          <w:ilvl w:val="0"/>
          <w:numId w:val="1"/>
        </w:numPr>
        <w:autoSpaceDE w:val="0"/>
        <w:autoSpaceDN w:val="0"/>
        <w:adjustRightInd w:val="0"/>
        <w:spacing w:line="312" w:lineRule="auto"/>
        <w:jc w:val="both"/>
        <w:rPr>
          <w:rFonts w:ascii="Tahoma" w:hAnsi="Tahoma" w:cs="Tahoma"/>
          <w:color w:val="000000"/>
          <w:sz w:val="24"/>
          <w:szCs w:val="24"/>
        </w:rPr>
      </w:pPr>
      <w:r>
        <w:rPr>
          <w:rFonts w:ascii="Tahoma" w:hAnsi="Tahoma" w:cs="Tahoma"/>
          <w:color w:val="000000"/>
          <w:sz w:val="24"/>
          <w:szCs w:val="24"/>
        </w:rPr>
        <w:t>D</w:t>
      </w:r>
      <w:r w:rsidR="00EF324B" w:rsidRPr="002722B3">
        <w:rPr>
          <w:rFonts w:ascii="Tahoma" w:hAnsi="Tahoma" w:cs="Tahoma"/>
          <w:color w:val="000000"/>
          <w:sz w:val="24"/>
          <w:szCs w:val="24"/>
        </w:rPr>
        <w:t xml:space="preserve">ans le cas où les séries sont équipondérées, </w:t>
      </w:r>
    </w:p>
    <w:p w:rsidR="00EF324B" w:rsidRPr="002722B3" w:rsidRDefault="00EF324B" w:rsidP="00EF324B">
      <w:pPr>
        <w:autoSpaceDE w:val="0"/>
        <w:autoSpaceDN w:val="0"/>
        <w:adjustRightInd w:val="0"/>
        <w:spacing w:line="312" w:lineRule="auto"/>
        <w:rPr>
          <w:rFonts w:ascii="Tahoma" w:hAnsi="Tahoma" w:cs="Tahoma"/>
          <w:color w:val="000000"/>
          <w:sz w:val="24"/>
          <w:szCs w:val="24"/>
        </w:rPr>
      </w:pPr>
      <w:r w:rsidRPr="002722B3">
        <w:rPr>
          <w:rFonts w:ascii="Tahoma" w:hAnsi="Tahoma" w:cs="Tahoma"/>
          <w:position w:val="-46"/>
          <w:sz w:val="24"/>
          <w:szCs w:val="24"/>
        </w:rPr>
        <w:object w:dxaOrig="2640" w:dyaOrig="1040">
          <v:shape id="_x0000_i1026" type="#_x0000_t75" style="width:131pt;height:51.5pt" o:ole="" fillcolor="window">
            <v:imagedata r:id="rId8" o:title=""/>
          </v:shape>
          <o:OLEObject Type="Embed" ProgID="Equation.3" ShapeID="_x0000_i1026" DrawAspect="Content" ObjectID="_1797184181" r:id="rId9"/>
        </w:object>
      </w:r>
      <w:r w:rsidRPr="002722B3">
        <w:rPr>
          <w:rFonts w:ascii="Tahoma" w:hAnsi="Tahoma" w:cs="Tahoma"/>
          <w:color w:val="000000"/>
          <w:sz w:val="24"/>
          <w:szCs w:val="24"/>
        </w:rPr>
        <w:t>Où n est le nombre de séries observées de la variété i.</w:t>
      </w:r>
    </w:p>
    <w:p w:rsidR="00EF324B" w:rsidRPr="002722B3" w:rsidRDefault="00EF324B" w:rsidP="00EF324B">
      <w:pPr>
        <w:pStyle w:val="texte"/>
        <w:spacing w:line="360" w:lineRule="auto"/>
        <w:ind w:left="0" w:right="284"/>
        <w:rPr>
          <w:rFonts w:ascii="Tahoma" w:hAnsi="Tahoma" w:cs="Tahoma"/>
          <w:b/>
          <w:sz w:val="24"/>
          <w:szCs w:val="24"/>
          <w:lang w:val="fr-FR"/>
        </w:rPr>
      </w:pPr>
      <w:r w:rsidRPr="002722B3">
        <w:rPr>
          <w:rFonts w:ascii="Tahoma" w:hAnsi="Tahoma" w:cs="Tahoma"/>
          <w:sz w:val="24"/>
          <w:szCs w:val="24"/>
          <w:lang w:val="fr-FR"/>
        </w:rPr>
        <w:t xml:space="preserve">Après le calcul des indices élémentaires, les indices de regroupement qui sont des indices de type Laspeyres vont être calculés. </w:t>
      </w:r>
    </w:p>
    <w:p w:rsidR="00EF324B" w:rsidRPr="002722B3" w:rsidRDefault="00EF324B" w:rsidP="002722B3">
      <w:pPr>
        <w:pStyle w:val="texte"/>
        <w:spacing w:line="312" w:lineRule="auto"/>
        <w:ind w:left="1418" w:right="284"/>
        <w:rPr>
          <w:rFonts w:ascii="Tahoma" w:hAnsi="Tahoma" w:cs="Tahoma"/>
          <w:sz w:val="24"/>
          <w:szCs w:val="24"/>
        </w:rPr>
      </w:pPr>
      <w:r w:rsidRPr="002722B3">
        <w:rPr>
          <w:rFonts w:ascii="Tahoma" w:hAnsi="Tahoma" w:cs="Tahoma"/>
          <w:position w:val="-32"/>
          <w:sz w:val="24"/>
          <w:szCs w:val="24"/>
        </w:rPr>
        <w:object w:dxaOrig="2260" w:dyaOrig="700">
          <v:shape id="_x0000_i1027" type="#_x0000_t75" style="width:113pt;height:35pt" o:ole="" fillcolor="window">
            <v:imagedata r:id="rId10" o:title=""/>
          </v:shape>
          <o:OLEObject Type="Embed" ProgID="Equation.3" ShapeID="_x0000_i1027" DrawAspect="Content" ObjectID="_1797184182" r:id="rId11"/>
        </w:object>
      </w:r>
    </w:p>
    <w:p w:rsidR="00EF324B" w:rsidRPr="002722B3" w:rsidRDefault="00EF324B" w:rsidP="00EF324B">
      <w:pPr>
        <w:pStyle w:val="texte"/>
        <w:spacing w:line="360" w:lineRule="auto"/>
        <w:ind w:left="0" w:right="284"/>
        <w:rPr>
          <w:rFonts w:ascii="Tahoma" w:hAnsi="Tahoma" w:cs="Tahoma"/>
          <w:sz w:val="24"/>
          <w:szCs w:val="24"/>
          <w:lang w:val="fr-FR"/>
        </w:rPr>
      </w:pPr>
      <w:r w:rsidRPr="002722B3">
        <w:rPr>
          <w:rFonts w:ascii="Tahoma" w:hAnsi="Tahoma" w:cs="Tahoma"/>
          <w:sz w:val="24"/>
          <w:szCs w:val="24"/>
          <w:lang w:val="fr-FR"/>
        </w:rPr>
        <w:t xml:space="preserve">Où </w:t>
      </w:r>
      <w:r w:rsidRPr="002722B3">
        <w:rPr>
          <w:rFonts w:ascii="Tahoma" w:hAnsi="Tahoma" w:cs="Tahoma"/>
          <w:position w:val="-14"/>
          <w:sz w:val="24"/>
          <w:szCs w:val="24"/>
        </w:rPr>
        <w:object w:dxaOrig="360" w:dyaOrig="380">
          <v:shape id="_x0000_i1028" type="#_x0000_t75" style="width:18pt;height:19pt" o:ole="" fillcolor="window">
            <v:imagedata r:id="rId12" o:title=""/>
          </v:shape>
          <o:OLEObject Type="Embed" ProgID="Equation.3" ShapeID="_x0000_i1028" DrawAspect="Content" ObjectID="_1797184183" r:id="rId13"/>
        </w:object>
      </w:r>
      <w:r w:rsidRPr="002722B3">
        <w:rPr>
          <w:rFonts w:ascii="Tahoma" w:hAnsi="Tahoma" w:cs="Tahoma"/>
          <w:sz w:val="24"/>
          <w:szCs w:val="24"/>
          <w:lang w:val="fr-FR"/>
        </w:rPr>
        <w:t xml:space="preserve"> est la part de la dépense consacrée à la famille de matériau j dans la dépense globale d’achat des matériaux de construction à la période de référence des pondérations.</w:t>
      </w:r>
    </w:p>
    <w:p w:rsidR="00EF324B" w:rsidRPr="002722B3" w:rsidRDefault="00EF324B" w:rsidP="00EF324B">
      <w:pPr>
        <w:pStyle w:val="texte"/>
        <w:spacing w:line="360" w:lineRule="auto"/>
        <w:ind w:left="0" w:right="284"/>
        <w:rPr>
          <w:rFonts w:ascii="Tahoma" w:hAnsi="Tahoma" w:cs="Tahoma"/>
          <w:sz w:val="24"/>
          <w:szCs w:val="24"/>
          <w:lang w:val="fr-FR"/>
        </w:rPr>
      </w:pPr>
      <w:r w:rsidRPr="002722B3">
        <w:rPr>
          <w:rFonts w:ascii="Tahoma" w:hAnsi="Tahoma" w:cs="Tahoma"/>
          <w:sz w:val="24"/>
          <w:szCs w:val="24"/>
          <w:lang w:val="fr-FR"/>
        </w:rPr>
        <w:t xml:space="preserve"> L’indice général est une moyenne pon</w:t>
      </w:r>
      <w:r w:rsidR="002722B3">
        <w:rPr>
          <w:rFonts w:ascii="Tahoma" w:hAnsi="Tahoma" w:cs="Tahoma"/>
          <w:sz w:val="24"/>
          <w:szCs w:val="24"/>
          <w:lang w:val="fr-FR"/>
        </w:rPr>
        <w:t>dérée de l’indice des bâtiments, du génie civil et des travaux spécialisés</w:t>
      </w:r>
    </w:p>
    <w:p w:rsidR="00EF324B" w:rsidRPr="002722B3" w:rsidRDefault="00EF324B" w:rsidP="00EF324B">
      <w:pPr>
        <w:pStyle w:val="texte"/>
        <w:spacing w:line="312" w:lineRule="auto"/>
        <w:ind w:left="0" w:right="284"/>
        <w:rPr>
          <w:rFonts w:ascii="Tahoma" w:hAnsi="Tahoma" w:cs="Tahoma"/>
          <w:sz w:val="24"/>
          <w:szCs w:val="24"/>
          <w:lang w:val="fr-FR"/>
        </w:rPr>
      </w:pPr>
    </w:p>
    <w:p w:rsidR="00CC4B0D" w:rsidRPr="002722B3" w:rsidRDefault="00CC4B0D" w:rsidP="00CC4B0D">
      <w:pPr>
        <w:autoSpaceDE w:val="0"/>
        <w:autoSpaceDN w:val="0"/>
        <w:adjustRightInd w:val="0"/>
        <w:spacing w:line="312" w:lineRule="auto"/>
        <w:jc w:val="center"/>
        <w:rPr>
          <w:rFonts w:ascii="Tahoma" w:hAnsi="Tahoma" w:cs="Tahoma"/>
          <w:b/>
          <w:color w:val="000000"/>
          <w:sz w:val="24"/>
          <w:szCs w:val="24"/>
        </w:rPr>
      </w:pPr>
      <w:r w:rsidRPr="002722B3">
        <w:rPr>
          <w:rFonts w:ascii="Tahoma" w:hAnsi="Tahoma" w:cs="Tahoma"/>
          <w:b/>
          <w:color w:val="000000"/>
          <w:sz w:val="24"/>
          <w:szCs w:val="24"/>
        </w:rPr>
        <w:object w:dxaOrig="2840" w:dyaOrig="400">
          <v:shape id="_x0000_i1029" type="#_x0000_t75" style="width:141.5pt;height:19.5pt" o:ole="">
            <v:imagedata r:id="rId14" o:title=""/>
          </v:shape>
          <o:OLEObject Type="Embed" ProgID="Equation.3" ShapeID="_x0000_i1029" DrawAspect="Content" ObjectID="_1797184184" r:id="rId15"/>
        </w:object>
      </w:r>
    </w:p>
    <w:p w:rsidR="00CC4B0D" w:rsidRPr="002722B3" w:rsidRDefault="00CC4B0D" w:rsidP="002722B3">
      <w:pPr>
        <w:autoSpaceDE w:val="0"/>
        <w:autoSpaceDN w:val="0"/>
        <w:adjustRightInd w:val="0"/>
        <w:spacing w:line="312" w:lineRule="auto"/>
        <w:jc w:val="center"/>
        <w:rPr>
          <w:rFonts w:ascii="Tahoma" w:hAnsi="Tahoma" w:cs="Tahoma"/>
          <w:b/>
          <w:sz w:val="24"/>
          <w:szCs w:val="24"/>
        </w:rPr>
      </w:pPr>
      <w:r w:rsidRPr="002722B3">
        <w:rPr>
          <w:rFonts w:ascii="Tahoma" w:hAnsi="Tahoma" w:cs="Tahoma"/>
          <w:b/>
          <w:sz w:val="24"/>
          <w:szCs w:val="24"/>
        </w:rPr>
        <w:t>Avec</w:t>
      </w:r>
      <w:r w:rsidR="00BC3CDE">
        <w:rPr>
          <w:rFonts w:ascii="Tahoma" w:hAnsi="Tahoma" w:cs="Tahoma"/>
          <w:b/>
          <w:sz w:val="24"/>
          <w:szCs w:val="24"/>
        </w:rPr>
        <w:t xml:space="preserve"> </w:t>
      </w:r>
      <w:r w:rsidRPr="002722B3">
        <w:rPr>
          <w:rFonts w:ascii="Tahoma" w:hAnsi="Tahoma" w:cs="Tahoma"/>
          <w:b/>
          <w:position w:val="-14"/>
          <w:sz w:val="24"/>
          <w:szCs w:val="24"/>
          <w:bdr w:val="single" w:sz="4" w:space="0" w:color="auto"/>
        </w:rPr>
        <w:object w:dxaOrig="1680" w:dyaOrig="400">
          <v:shape id="_x0000_i1030" type="#_x0000_t75" style="width:104pt;height:20.5pt" o:ole="">
            <v:imagedata r:id="rId16" o:title=""/>
          </v:shape>
          <o:OLEObject Type="Embed" ProgID="Equation.3" ShapeID="_x0000_i1030" DrawAspect="Content" ObjectID="_1797184185" r:id="rId17"/>
        </w:object>
      </w:r>
    </w:p>
    <w:p w:rsidR="00EF324B" w:rsidRPr="002722B3" w:rsidRDefault="00CC4B0D" w:rsidP="00CC4B0D">
      <w:pPr>
        <w:pStyle w:val="Paragraphedeliste"/>
        <w:spacing w:line="360" w:lineRule="auto"/>
        <w:ind w:left="0"/>
        <w:jc w:val="both"/>
        <w:rPr>
          <w:rFonts w:ascii="Tahoma" w:hAnsi="Tahoma" w:cs="Tahoma"/>
          <w:b/>
          <w:color w:val="000000"/>
          <w:sz w:val="24"/>
          <w:szCs w:val="24"/>
        </w:rPr>
      </w:pPr>
      <w:r w:rsidRPr="002722B3">
        <w:rPr>
          <w:rFonts w:ascii="Tahoma" w:hAnsi="Tahoma" w:cs="Tahoma"/>
          <w:b/>
          <w:color w:val="000000"/>
          <w:sz w:val="24"/>
          <w:szCs w:val="24"/>
        </w:rPr>
        <w:t>Utilisations</w:t>
      </w:r>
    </w:p>
    <w:p w:rsidR="002722B3" w:rsidRPr="002722B3" w:rsidRDefault="002722B3" w:rsidP="002722B3">
      <w:pPr>
        <w:autoSpaceDE w:val="0"/>
        <w:autoSpaceDN w:val="0"/>
        <w:adjustRightInd w:val="0"/>
        <w:spacing w:line="312" w:lineRule="auto"/>
        <w:jc w:val="both"/>
        <w:rPr>
          <w:rFonts w:ascii="Tahoma" w:hAnsi="Tahoma" w:cs="Tahoma"/>
          <w:color w:val="000000"/>
          <w:sz w:val="24"/>
          <w:szCs w:val="24"/>
        </w:rPr>
      </w:pPr>
      <w:r w:rsidRPr="002722B3">
        <w:rPr>
          <w:rFonts w:ascii="Tahoma" w:hAnsi="Tahoma" w:cs="Tahoma"/>
          <w:color w:val="000000"/>
          <w:sz w:val="24"/>
          <w:szCs w:val="24"/>
        </w:rPr>
        <w:t xml:space="preserve">L’indice </w:t>
      </w:r>
      <w:r w:rsidR="00BC3CDE">
        <w:rPr>
          <w:rFonts w:ascii="Tahoma" w:hAnsi="Tahoma" w:cs="Tahoma"/>
          <w:color w:val="000000"/>
          <w:sz w:val="24"/>
          <w:szCs w:val="24"/>
        </w:rPr>
        <w:t xml:space="preserve">des prix des </w:t>
      </w:r>
      <w:r w:rsidRPr="002722B3">
        <w:rPr>
          <w:rFonts w:ascii="Tahoma" w:hAnsi="Tahoma" w:cs="Tahoma"/>
          <w:color w:val="000000"/>
          <w:sz w:val="24"/>
          <w:szCs w:val="24"/>
        </w:rPr>
        <w:t xml:space="preserve">BTP est destiné à des usagers divers et variés. Il peut être utilisé par des chercheurs dans le domaine des BTP, </w:t>
      </w:r>
      <w:r w:rsidR="00BC3CDE">
        <w:rPr>
          <w:rFonts w:ascii="Tahoma" w:hAnsi="Tahoma" w:cs="Tahoma"/>
          <w:color w:val="000000"/>
          <w:sz w:val="24"/>
          <w:szCs w:val="24"/>
        </w:rPr>
        <w:t>l’Administration</w:t>
      </w:r>
      <w:r w:rsidR="00BC3CDE" w:rsidRPr="002722B3">
        <w:rPr>
          <w:rFonts w:ascii="Tahoma" w:hAnsi="Tahoma" w:cs="Tahoma"/>
          <w:color w:val="000000"/>
          <w:sz w:val="24"/>
          <w:szCs w:val="24"/>
        </w:rPr>
        <w:t xml:space="preserve"> </w:t>
      </w:r>
      <w:r>
        <w:rPr>
          <w:rFonts w:ascii="Tahoma" w:hAnsi="Tahoma" w:cs="Tahoma"/>
          <w:color w:val="000000"/>
          <w:sz w:val="24"/>
          <w:szCs w:val="24"/>
        </w:rPr>
        <w:t>et</w:t>
      </w:r>
      <w:r w:rsidRPr="002722B3">
        <w:rPr>
          <w:rFonts w:ascii="Tahoma" w:hAnsi="Tahoma" w:cs="Tahoma"/>
          <w:color w:val="000000"/>
          <w:sz w:val="24"/>
          <w:szCs w:val="24"/>
        </w:rPr>
        <w:t xml:space="preserve"> les entreprises </w:t>
      </w:r>
      <w:r w:rsidR="00BC3CDE">
        <w:rPr>
          <w:rFonts w:ascii="Tahoma" w:hAnsi="Tahoma" w:cs="Tahoma"/>
          <w:color w:val="000000"/>
          <w:sz w:val="24"/>
          <w:szCs w:val="24"/>
        </w:rPr>
        <w:t xml:space="preserve">de </w:t>
      </w:r>
      <w:r w:rsidRPr="002722B3">
        <w:rPr>
          <w:rFonts w:ascii="Tahoma" w:hAnsi="Tahoma" w:cs="Tahoma"/>
          <w:color w:val="000000"/>
          <w:sz w:val="24"/>
          <w:szCs w:val="24"/>
        </w:rPr>
        <w:t xml:space="preserve">BTP. </w:t>
      </w:r>
      <w:r w:rsidR="00BC3CDE">
        <w:rPr>
          <w:rFonts w:ascii="Tahoma" w:hAnsi="Tahoma" w:cs="Tahoma"/>
          <w:color w:val="000000"/>
          <w:sz w:val="24"/>
          <w:szCs w:val="24"/>
        </w:rPr>
        <w:t>Pour ces deux derniers</w:t>
      </w:r>
      <w:r w:rsidRPr="002722B3">
        <w:rPr>
          <w:rFonts w:ascii="Tahoma" w:hAnsi="Tahoma" w:cs="Tahoma"/>
          <w:color w:val="000000"/>
          <w:sz w:val="24"/>
          <w:szCs w:val="24"/>
        </w:rPr>
        <w:t xml:space="preserve">, il est noté que beaucoup de marchés publics de construction connaissent des décalages entre la signature des contrats et le début effectif des travaux. Ces décalages sont très souvent dus au retard de mise en place des fonds de financement des travaux. </w:t>
      </w:r>
      <w:r w:rsidR="00586020">
        <w:rPr>
          <w:rFonts w:ascii="Tahoma" w:hAnsi="Tahoma" w:cs="Tahoma"/>
          <w:color w:val="000000"/>
          <w:sz w:val="24"/>
          <w:szCs w:val="24"/>
        </w:rPr>
        <w:t>En outre</w:t>
      </w:r>
      <w:r w:rsidRPr="002722B3">
        <w:rPr>
          <w:rFonts w:ascii="Tahoma" w:hAnsi="Tahoma" w:cs="Tahoma"/>
          <w:color w:val="000000"/>
          <w:sz w:val="24"/>
          <w:szCs w:val="24"/>
        </w:rPr>
        <w:t xml:space="preserve">, </w:t>
      </w:r>
      <w:r w:rsidR="00586020">
        <w:rPr>
          <w:rFonts w:ascii="Tahoma" w:hAnsi="Tahoma" w:cs="Tahoma"/>
          <w:color w:val="000000"/>
          <w:sz w:val="24"/>
          <w:szCs w:val="24"/>
        </w:rPr>
        <w:t>certains</w:t>
      </w:r>
      <w:r w:rsidR="00586020" w:rsidRPr="002722B3">
        <w:rPr>
          <w:rFonts w:ascii="Tahoma" w:hAnsi="Tahoma" w:cs="Tahoma"/>
          <w:color w:val="000000"/>
          <w:sz w:val="24"/>
          <w:szCs w:val="24"/>
        </w:rPr>
        <w:t xml:space="preserve"> </w:t>
      </w:r>
      <w:r w:rsidRPr="002722B3">
        <w:rPr>
          <w:rFonts w:ascii="Tahoma" w:hAnsi="Tahoma" w:cs="Tahoma"/>
          <w:color w:val="000000"/>
          <w:sz w:val="24"/>
          <w:szCs w:val="24"/>
        </w:rPr>
        <w:t xml:space="preserve">travaux prennent beaucoup plus de temps que prévu pour s’exécuter. Les entreprises ayant gagné des marchés de construction sont </w:t>
      </w:r>
      <w:r w:rsidR="00586020">
        <w:rPr>
          <w:rFonts w:ascii="Tahoma" w:hAnsi="Tahoma" w:cs="Tahoma"/>
          <w:color w:val="000000"/>
          <w:sz w:val="24"/>
          <w:szCs w:val="24"/>
        </w:rPr>
        <w:t>régulièrement tenues</w:t>
      </w:r>
      <w:r w:rsidR="00586020" w:rsidRPr="002722B3">
        <w:rPr>
          <w:rFonts w:ascii="Tahoma" w:hAnsi="Tahoma" w:cs="Tahoma"/>
          <w:color w:val="000000"/>
          <w:sz w:val="24"/>
          <w:szCs w:val="24"/>
        </w:rPr>
        <w:t xml:space="preserve"> </w:t>
      </w:r>
      <w:r w:rsidRPr="002722B3">
        <w:rPr>
          <w:rFonts w:ascii="Tahoma" w:hAnsi="Tahoma" w:cs="Tahoma"/>
          <w:color w:val="000000"/>
          <w:sz w:val="24"/>
          <w:szCs w:val="24"/>
        </w:rPr>
        <w:t xml:space="preserve">de négocier des avenants pour parachever </w:t>
      </w:r>
      <w:r w:rsidRPr="002722B3">
        <w:rPr>
          <w:rFonts w:ascii="Tahoma" w:hAnsi="Tahoma" w:cs="Tahoma"/>
          <w:color w:val="000000"/>
          <w:sz w:val="24"/>
          <w:szCs w:val="24"/>
        </w:rPr>
        <w:lastRenderedPageBreak/>
        <w:t xml:space="preserve">ces travaux de construction dont les délais d’exécution ne correspondent pas aux délais inscrits dans le contrat. </w:t>
      </w:r>
      <w:r w:rsidR="00586020">
        <w:rPr>
          <w:rFonts w:ascii="Tahoma" w:hAnsi="Tahoma" w:cs="Tahoma"/>
          <w:color w:val="000000"/>
          <w:sz w:val="24"/>
          <w:szCs w:val="24"/>
        </w:rPr>
        <w:t>A cet égard, l</w:t>
      </w:r>
      <w:r w:rsidRPr="002722B3">
        <w:rPr>
          <w:rFonts w:ascii="Tahoma" w:hAnsi="Tahoma" w:cs="Tahoma"/>
          <w:color w:val="000000"/>
          <w:sz w:val="24"/>
          <w:szCs w:val="24"/>
        </w:rPr>
        <w:t>a disponibilité d’un indicateur fiable pour négocier ces avenants s’avère nécessaire afin d’assurer une bonne transparence dans ce processus.</w:t>
      </w:r>
    </w:p>
    <w:p w:rsidR="00CC4B0D" w:rsidRPr="002722B3" w:rsidRDefault="00CC4B0D" w:rsidP="00CC4B0D">
      <w:pPr>
        <w:pStyle w:val="Paragraphedeliste"/>
        <w:spacing w:line="360" w:lineRule="auto"/>
        <w:ind w:left="0"/>
        <w:jc w:val="both"/>
        <w:rPr>
          <w:rFonts w:ascii="Tahoma" w:hAnsi="Tahoma" w:cs="Tahoma"/>
          <w:b/>
          <w:color w:val="000000"/>
          <w:sz w:val="24"/>
          <w:szCs w:val="24"/>
        </w:rPr>
      </w:pPr>
      <w:r w:rsidRPr="002722B3">
        <w:rPr>
          <w:rFonts w:ascii="Tahoma" w:hAnsi="Tahoma" w:cs="Tahoma"/>
          <w:b/>
          <w:color w:val="000000"/>
          <w:sz w:val="24"/>
          <w:szCs w:val="24"/>
        </w:rPr>
        <w:t>Diffusion</w:t>
      </w:r>
    </w:p>
    <w:p w:rsidR="002722B3" w:rsidRPr="002722B3" w:rsidRDefault="002722B3" w:rsidP="00CC4B0D">
      <w:pPr>
        <w:pStyle w:val="Paragraphedeliste"/>
        <w:spacing w:line="360" w:lineRule="auto"/>
        <w:ind w:left="0"/>
        <w:jc w:val="both"/>
        <w:rPr>
          <w:rFonts w:ascii="Tahoma" w:hAnsi="Tahoma" w:cs="Tahoma"/>
          <w:color w:val="000000"/>
          <w:sz w:val="24"/>
          <w:szCs w:val="24"/>
        </w:rPr>
      </w:pPr>
      <w:r w:rsidRPr="002722B3">
        <w:rPr>
          <w:rFonts w:ascii="Tahoma" w:hAnsi="Tahoma" w:cs="Tahoma"/>
          <w:color w:val="000000"/>
          <w:sz w:val="24"/>
          <w:szCs w:val="24"/>
        </w:rPr>
        <w:t xml:space="preserve">Les indices BTP, accompagnés d’une note sur son évolution sont publiés chaque trimestre sur le Site de l’ANSD : </w:t>
      </w:r>
      <w:hyperlink r:id="rId18" w:history="1">
        <w:r w:rsidRPr="002722B3">
          <w:rPr>
            <w:rStyle w:val="Lienhypertexte"/>
            <w:rFonts w:ascii="Tahoma" w:hAnsi="Tahoma" w:cs="Tahoma"/>
            <w:sz w:val="24"/>
            <w:szCs w:val="24"/>
          </w:rPr>
          <w:t>https://www.ansd.sn/</w:t>
        </w:r>
      </w:hyperlink>
      <w:r w:rsidRPr="002722B3">
        <w:rPr>
          <w:rFonts w:ascii="Tahoma" w:hAnsi="Tahoma" w:cs="Tahoma"/>
          <w:color w:val="000000"/>
          <w:sz w:val="24"/>
          <w:szCs w:val="24"/>
        </w:rPr>
        <w:t>.</w:t>
      </w:r>
    </w:p>
    <w:p w:rsidR="002722B3" w:rsidRPr="002722B3" w:rsidRDefault="002722B3" w:rsidP="00CC4B0D">
      <w:pPr>
        <w:pStyle w:val="Paragraphedeliste"/>
        <w:spacing w:line="360" w:lineRule="auto"/>
        <w:ind w:left="0"/>
        <w:jc w:val="both"/>
        <w:rPr>
          <w:rFonts w:ascii="Tahoma" w:hAnsi="Tahoma" w:cs="Tahoma"/>
          <w:color w:val="000000"/>
          <w:sz w:val="24"/>
          <w:szCs w:val="24"/>
        </w:rPr>
      </w:pPr>
      <w:r w:rsidRPr="002722B3">
        <w:rPr>
          <w:rFonts w:ascii="Tahoma" w:hAnsi="Tahoma" w:cs="Tahoma"/>
          <w:color w:val="000000"/>
          <w:sz w:val="24"/>
          <w:szCs w:val="24"/>
        </w:rPr>
        <w:t>Les valeurs des indices sont définitives dès la première publication. Ils ne font pas l’objet de révision</w:t>
      </w:r>
      <w:r w:rsidR="00586020">
        <w:rPr>
          <w:rFonts w:ascii="Tahoma" w:hAnsi="Tahoma" w:cs="Tahoma"/>
          <w:color w:val="000000"/>
          <w:sz w:val="24"/>
          <w:szCs w:val="24"/>
        </w:rPr>
        <w:t>, sauf en cas de refonte de la méthodologie</w:t>
      </w:r>
      <w:r w:rsidRPr="002722B3">
        <w:rPr>
          <w:rFonts w:ascii="Tahoma" w:hAnsi="Tahoma" w:cs="Tahoma"/>
          <w:color w:val="000000"/>
          <w:sz w:val="24"/>
          <w:szCs w:val="24"/>
        </w:rPr>
        <w:t>.</w:t>
      </w:r>
    </w:p>
    <w:sectPr w:rsidR="002722B3" w:rsidRPr="002722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Omega">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0E056C"/>
    <w:multiLevelType w:val="hybridMultilevel"/>
    <w:tmpl w:val="86D4D3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061"/>
    <w:rsid w:val="000E4061"/>
    <w:rsid w:val="002722B3"/>
    <w:rsid w:val="00356DB5"/>
    <w:rsid w:val="004103C9"/>
    <w:rsid w:val="004D64B7"/>
    <w:rsid w:val="00525FB8"/>
    <w:rsid w:val="00556464"/>
    <w:rsid w:val="00586020"/>
    <w:rsid w:val="00661EDE"/>
    <w:rsid w:val="0067408A"/>
    <w:rsid w:val="00690EA9"/>
    <w:rsid w:val="007F5443"/>
    <w:rsid w:val="00855F43"/>
    <w:rsid w:val="009A6A09"/>
    <w:rsid w:val="00A2293D"/>
    <w:rsid w:val="00AD2282"/>
    <w:rsid w:val="00B22E85"/>
    <w:rsid w:val="00B85EEE"/>
    <w:rsid w:val="00BC3CDE"/>
    <w:rsid w:val="00CC4B0D"/>
    <w:rsid w:val="00EF324B"/>
    <w:rsid w:val="00FD370C"/>
    <w:rsid w:val="00FD627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7EA66F-9DFA-4DC7-B161-11F0C64F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F324B"/>
    <w:pPr>
      <w:ind w:left="720"/>
      <w:contextualSpacing/>
    </w:pPr>
  </w:style>
  <w:style w:type="paragraph" w:customStyle="1" w:styleId="texte">
    <w:name w:val="texte"/>
    <w:basedOn w:val="Normal"/>
    <w:rsid w:val="00EF324B"/>
    <w:pPr>
      <w:spacing w:after="0" w:line="240" w:lineRule="auto"/>
      <w:ind w:left="567" w:right="283"/>
      <w:jc w:val="both"/>
    </w:pPr>
    <w:rPr>
      <w:rFonts w:ascii="CG Omega" w:eastAsia="Times New Roman" w:hAnsi="CG Omega" w:cs="Times New Roman"/>
      <w:color w:val="000000"/>
      <w:sz w:val="20"/>
      <w:szCs w:val="20"/>
      <w:lang w:val="en-US" w:eastAsia="fr-FR" w:bidi="en-US"/>
    </w:rPr>
  </w:style>
  <w:style w:type="character" w:styleId="Lienhypertexte">
    <w:name w:val="Hyperlink"/>
    <w:basedOn w:val="Policepardfaut"/>
    <w:uiPriority w:val="99"/>
    <w:unhideWhenUsed/>
    <w:rsid w:val="002722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hyperlink" Target="https://www.ansd.sn/" TargetMode="Externa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5" Type="http://schemas.openxmlformats.org/officeDocument/2006/relationships/image" Target="media/image1.png"/><Relationship Id="rId15" Type="http://schemas.openxmlformats.org/officeDocument/2006/relationships/oleObject" Target="embeddings/oleObject5.bin"/><Relationship Id="rId10" Type="http://schemas.openxmlformats.org/officeDocument/2006/relationships/image" Target="media/image4.w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589</Words>
  <Characters>3244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THIAM</dc:creator>
  <cp:keywords/>
  <dc:description/>
  <cp:lastModifiedBy>malick</cp:lastModifiedBy>
  <cp:revision>2</cp:revision>
  <dcterms:created xsi:type="dcterms:W3CDTF">2024-12-31T21:03:00Z</dcterms:created>
  <dcterms:modified xsi:type="dcterms:W3CDTF">2024-12-31T21:03:00Z</dcterms:modified>
</cp:coreProperties>
</file>