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pPr w:leftFromText="141" w:rightFromText="141" w:vertAnchor="page" w:horzAnchor="margin" w:tblpXSpec="center" w:tblpY="653"/>
        <w:tblW w:w="3940" w:type="dxa"/>
        <w:tblBorders>
          <w:insideH w:val="single" w:sz="4" w:space="0" w:color="auto"/>
          <w:insideV w:val="single" w:sz="4" w:space="0" w:color="auto"/>
        </w:tblBorders>
        <w:tblLayout w:type="fixed"/>
        <w:tblCellMar>
          <w:left w:w="70" w:type="dxa"/>
          <w:right w:w="70" w:type="dxa"/>
        </w:tblCellMar>
        <w:tblLook w:val="0000"/>
      </w:tblPr>
      <w:tblGrid>
        <w:gridCol w:w="3940"/>
      </w:tblGrid>
      <w:tr w:rsidR="00857CDA" w:rsidRPr="00794933" w:rsidTr="00857CDA">
        <w:trPr>
          <w:trHeight w:val="2520"/>
        </w:trPr>
        <w:tc>
          <w:tcPr>
            <w:tcW w:w="3940" w:type="dxa"/>
            <w:tcBorders>
              <w:top w:val="nil"/>
              <w:bottom w:val="nil"/>
              <w:right w:val="nil"/>
            </w:tcBorders>
          </w:tcPr>
          <w:p w:rsidR="00857CDA" w:rsidRPr="00794933" w:rsidRDefault="00857CDA" w:rsidP="00857CDA">
            <w:pPr>
              <w:rPr>
                <w:b/>
                <w:bCs/>
                <w:sz w:val="26"/>
                <w:szCs w:val="26"/>
              </w:rPr>
            </w:pPr>
            <w:r w:rsidRPr="00794933">
              <w:rPr>
                <w:b/>
                <w:bCs/>
                <w:sz w:val="22"/>
                <w:szCs w:val="22"/>
              </w:rPr>
              <w:t xml:space="preserve">     </w:t>
            </w:r>
            <w:r w:rsidRPr="00794933">
              <w:rPr>
                <w:b/>
                <w:bCs/>
                <w:sz w:val="26"/>
                <w:szCs w:val="26"/>
              </w:rPr>
              <w:t>République du Sénégal</w:t>
            </w:r>
          </w:p>
          <w:p w:rsidR="00857CDA" w:rsidRPr="00794933" w:rsidRDefault="00857CDA" w:rsidP="00857CDA">
            <w:pPr>
              <w:rPr>
                <w:b/>
                <w:bCs/>
                <w:sz w:val="16"/>
                <w:szCs w:val="16"/>
              </w:rPr>
            </w:pPr>
            <w:r w:rsidRPr="00794933">
              <w:rPr>
                <w:b/>
                <w:sz w:val="16"/>
                <w:szCs w:val="16"/>
              </w:rPr>
              <w:t xml:space="preserve">          Un Peuple – Un But – Une Foi</w:t>
            </w:r>
          </w:p>
          <w:p w:rsidR="00857CDA" w:rsidRPr="00794933" w:rsidRDefault="00962B5F" w:rsidP="00857CDA">
            <w:pPr>
              <w:rPr>
                <w:b/>
                <w:sz w:val="22"/>
                <w:szCs w:val="22"/>
              </w:rPr>
            </w:pPr>
            <w:r>
              <w:rPr>
                <w:b/>
                <w:sz w:val="22"/>
                <w:szCs w:val="22"/>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8.6pt;margin-top:11.8pt;width:86.25pt;height:83.8pt;z-index:251658240" wrapcoords="-159 0 -159 21450 21600 21450 21600 0 -159 0">
                  <v:imagedata r:id="rId7" o:title=""/>
                </v:shape>
                <o:OLEObject Type="Embed" ProgID="MSPhotoEd.3" ShapeID="_x0000_s1027" DrawAspect="Content" ObjectID="_1467193155" r:id="rId8"/>
              </w:pict>
            </w:r>
            <w:r w:rsidR="00857CDA" w:rsidRPr="00794933">
              <w:rPr>
                <w:b/>
                <w:sz w:val="22"/>
                <w:szCs w:val="22"/>
              </w:rPr>
              <w:t xml:space="preserve">               ------------</w:t>
            </w:r>
          </w:p>
          <w:p w:rsidR="00857CDA" w:rsidRPr="00794933" w:rsidRDefault="00857CDA" w:rsidP="00857CDA">
            <w:pPr>
              <w:rPr>
                <w:b/>
                <w:sz w:val="22"/>
                <w:szCs w:val="22"/>
              </w:rPr>
            </w:pPr>
            <w:r w:rsidRPr="00794933">
              <w:rPr>
                <w:b/>
                <w:bCs/>
                <w:sz w:val="22"/>
                <w:szCs w:val="22"/>
              </w:rPr>
              <w:t xml:space="preserve">         </w:t>
            </w:r>
          </w:p>
          <w:p w:rsidR="00857CDA" w:rsidRPr="00794933" w:rsidRDefault="00857CDA" w:rsidP="00857CDA">
            <w:pPr>
              <w:jc w:val="center"/>
              <w:rPr>
                <w:b/>
                <w:sz w:val="22"/>
                <w:szCs w:val="22"/>
              </w:rPr>
            </w:pPr>
          </w:p>
          <w:p w:rsidR="00857CDA" w:rsidRPr="00794933" w:rsidRDefault="00857CDA" w:rsidP="00857CDA">
            <w:pPr>
              <w:jc w:val="center"/>
              <w:rPr>
                <w:b/>
                <w:sz w:val="22"/>
                <w:szCs w:val="22"/>
              </w:rPr>
            </w:pPr>
          </w:p>
          <w:p w:rsidR="00857CDA" w:rsidRPr="00794933" w:rsidRDefault="00857CDA" w:rsidP="00857CDA">
            <w:pPr>
              <w:jc w:val="center"/>
              <w:rPr>
                <w:b/>
                <w:sz w:val="22"/>
                <w:szCs w:val="22"/>
              </w:rPr>
            </w:pPr>
          </w:p>
          <w:p w:rsidR="00857CDA" w:rsidRPr="00794933" w:rsidRDefault="00857CDA" w:rsidP="00857CDA">
            <w:pPr>
              <w:spacing w:after="120"/>
              <w:ind w:right="1"/>
              <w:rPr>
                <w:b/>
                <w:sz w:val="22"/>
                <w:szCs w:val="22"/>
              </w:rPr>
            </w:pPr>
          </w:p>
          <w:p w:rsidR="00857CDA" w:rsidRPr="00794933" w:rsidRDefault="00857CDA" w:rsidP="00857CDA">
            <w:pPr>
              <w:spacing w:after="120"/>
              <w:ind w:right="1"/>
              <w:rPr>
                <w:b/>
                <w:sz w:val="22"/>
                <w:szCs w:val="22"/>
              </w:rPr>
            </w:pPr>
          </w:p>
        </w:tc>
      </w:tr>
    </w:tbl>
    <w:p w:rsidR="00857CDA" w:rsidRPr="00794933" w:rsidRDefault="00857CDA" w:rsidP="00857CDA">
      <w:pPr>
        <w:rPr>
          <w:rFonts w:ascii="Arial" w:hAnsi="Arial" w:cs="Arial"/>
          <w:b/>
          <w:bCs/>
          <w:sz w:val="22"/>
          <w:szCs w:val="22"/>
        </w:rPr>
      </w:pPr>
    </w:p>
    <w:p w:rsidR="00857CDA" w:rsidRPr="00794933" w:rsidRDefault="00857CDA" w:rsidP="00857CDA">
      <w:pPr>
        <w:rPr>
          <w:rFonts w:ascii="Arial" w:hAnsi="Arial" w:cs="Arial"/>
          <w:b/>
          <w:bCs/>
          <w:sz w:val="22"/>
          <w:szCs w:val="22"/>
        </w:rPr>
      </w:pPr>
    </w:p>
    <w:p w:rsidR="00857CDA" w:rsidRDefault="00857CDA" w:rsidP="00857CDA">
      <w:pPr>
        <w:rPr>
          <w:rFonts w:ascii="Arial" w:hAnsi="Arial" w:cs="Arial"/>
          <w:b/>
          <w:bCs/>
        </w:rPr>
      </w:pPr>
    </w:p>
    <w:p w:rsidR="00857CDA" w:rsidRDefault="00857CDA" w:rsidP="00857CDA">
      <w:pPr>
        <w:rPr>
          <w:rFonts w:ascii="Arial" w:hAnsi="Arial" w:cs="Arial"/>
          <w:b/>
          <w:bCs/>
        </w:rPr>
      </w:pPr>
    </w:p>
    <w:p w:rsidR="00857CDA" w:rsidRDefault="00857CDA" w:rsidP="00857CDA">
      <w:pPr>
        <w:rPr>
          <w:rFonts w:ascii="Arial" w:hAnsi="Arial" w:cs="Arial"/>
          <w:b/>
          <w:bCs/>
        </w:rPr>
      </w:pPr>
    </w:p>
    <w:p w:rsidR="00857CDA" w:rsidRDefault="00857CDA" w:rsidP="00857CDA">
      <w:pPr>
        <w:rPr>
          <w:rFonts w:ascii="Arial" w:hAnsi="Arial" w:cs="Arial"/>
          <w:b/>
          <w:bCs/>
        </w:rPr>
      </w:pPr>
    </w:p>
    <w:p w:rsidR="00857CDA" w:rsidRDefault="00857CDA" w:rsidP="00857CDA">
      <w:pPr>
        <w:rPr>
          <w:rFonts w:ascii="Arial" w:hAnsi="Arial" w:cs="Arial"/>
          <w:b/>
          <w:bCs/>
        </w:rPr>
      </w:pPr>
    </w:p>
    <w:p w:rsidR="00857CDA" w:rsidRPr="00857CDA" w:rsidRDefault="00857CDA" w:rsidP="00857CDA">
      <w:pPr>
        <w:pBdr>
          <w:top w:val="thickThinSmallGap" w:sz="24" w:space="1" w:color="auto" w:shadow="1"/>
          <w:left w:val="thickThinSmallGap" w:sz="24" w:space="31" w:color="auto" w:shadow="1"/>
          <w:bottom w:val="thickThinSmallGap" w:sz="24" w:space="1" w:color="auto" w:shadow="1"/>
          <w:right w:val="thickThinSmallGap" w:sz="24" w:space="4" w:color="auto" w:shadow="1"/>
        </w:pBdr>
        <w:ind w:left="567" w:right="425"/>
        <w:jc w:val="center"/>
        <w:rPr>
          <w:b/>
          <w:sz w:val="32"/>
          <w:szCs w:val="32"/>
        </w:rPr>
      </w:pPr>
      <w:r w:rsidRPr="00857CDA">
        <w:rPr>
          <w:b/>
          <w:sz w:val="32"/>
          <w:szCs w:val="32"/>
        </w:rPr>
        <w:t xml:space="preserve">Note méthodologique </w:t>
      </w:r>
      <w:r w:rsidR="00C46805">
        <w:rPr>
          <w:b/>
          <w:sz w:val="32"/>
          <w:szCs w:val="32"/>
        </w:rPr>
        <w:t>du Bulletin mensuel des statistiques économiques</w:t>
      </w:r>
    </w:p>
    <w:p w:rsidR="00857CDA" w:rsidRDefault="00857CDA" w:rsidP="00857CDA">
      <w:pPr>
        <w:rPr>
          <w:rFonts w:ascii="Arial" w:hAnsi="Arial" w:cs="Arial"/>
          <w:b/>
          <w:bCs/>
        </w:rPr>
      </w:pPr>
    </w:p>
    <w:p w:rsidR="00C46805" w:rsidRPr="00DA0C48" w:rsidRDefault="00C46805" w:rsidP="00C46805">
      <w:pPr>
        <w:pStyle w:val="Titre"/>
        <w:rPr>
          <w:i/>
          <w:iCs/>
        </w:rPr>
      </w:pPr>
      <w:r w:rsidRPr="00DA0C48">
        <w:rPr>
          <w:i/>
          <w:iCs/>
        </w:rPr>
        <w:t>AVERTISSEMENT</w:t>
      </w:r>
    </w:p>
    <w:p w:rsidR="00C46805" w:rsidRPr="00DA0C48" w:rsidRDefault="00C46805" w:rsidP="00C46805">
      <w:pPr>
        <w:jc w:val="both"/>
        <w:rPr>
          <w:i/>
          <w:iCs/>
        </w:rPr>
      </w:pPr>
    </w:p>
    <w:p w:rsidR="00C46805" w:rsidRPr="00DA0C48" w:rsidRDefault="00C46805" w:rsidP="00C46805">
      <w:pPr>
        <w:spacing w:line="312" w:lineRule="auto"/>
        <w:jc w:val="both"/>
        <w:rPr>
          <w:i/>
        </w:rPr>
      </w:pPr>
    </w:p>
    <w:p w:rsidR="00C46805" w:rsidRPr="00DA0C48" w:rsidRDefault="00C46805" w:rsidP="00C46805">
      <w:pPr>
        <w:spacing w:line="360" w:lineRule="auto"/>
        <w:jc w:val="both"/>
        <w:rPr>
          <w:i/>
        </w:rPr>
      </w:pPr>
      <w:r w:rsidRPr="00DA0C48">
        <w:rPr>
          <w:i/>
        </w:rPr>
        <w:t>Le présent Bulletin</w:t>
      </w:r>
      <w:r w:rsidRPr="00DA0C48">
        <w:rPr>
          <w:rStyle w:val="Appelnotedebasdep"/>
          <w:i/>
        </w:rPr>
        <w:footnoteReference w:id="2"/>
      </w:r>
      <w:r w:rsidRPr="00DA0C48">
        <w:rPr>
          <w:i/>
        </w:rPr>
        <w:t xml:space="preserve"> résume les statistiques du mois </w:t>
      </w:r>
      <w:r>
        <w:rPr>
          <w:i/>
        </w:rPr>
        <w:t>de mars</w:t>
      </w:r>
      <w:r w:rsidRPr="00DA0C48">
        <w:rPr>
          <w:i/>
        </w:rPr>
        <w:t xml:space="preserve"> 201</w:t>
      </w:r>
      <w:r>
        <w:rPr>
          <w:i/>
        </w:rPr>
        <w:t>4</w:t>
      </w:r>
      <w:r w:rsidRPr="00DA0C48">
        <w:rPr>
          <w:i/>
        </w:rPr>
        <w:t xml:space="preserve"> réparties en quatre grandes parties, à savoir le secteur primaire, le secteur secondaire, le secteur tertiaire et les autres statistiques.</w:t>
      </w:r>
    </w:p>
    <w:p w:rsidR="00C46805" w:rsidRDefault="00C46805" w:rsidP="00C46805">
      <w:pPr>
        <w:spacing w:line="360" w:lineRule="auto"/>
        <w:jc w:val="both"/>
        <w:rPr>
          <w:i/>
        </w:rPr>
      </w:pPr>
      <w:r w:rsidRPr="00DA0C48">
        <w:rPr>
          <w:i/>
        </w:rPr>
        <w:t xml:space="preserve">Le secteur primaire présente les données sur l’agriculture, les prix des produits agricoles, les cours de matières premières, l’horticulture (campagne annuelle </w:t>
      </w:r>
      <w:r>
        <w:rPr>
          <w:i/>
        </w:rPr>
        <w:t>2014</w:t>
      </w:r>
      <w:r w:rsidRPr="00DA0C48">
        <w:rPr>
          <w:i/>
        </w:rPr>
        <w:t xml:space="preserve">, importations et exportations de produits), l’élevage, les mines et la météorologie. Le secteur secondaire a trait aux industries, à la consommation d’électricité, au prix à l’importation, au prix de vente au consommateur des produits pétroliers et aux entreprises nouvellement immatriculées au Numéro d’Identification Nationale des Entreprises et Associations. Quant au secteur tertiaire, il traite des transports maritimes, aériens et ferroviaires et du tourisme. Enfin, la partie intitulée « Autres statistiques » résume les données sur l’Indice Harmonisé des Prix à la Consommation, le commerce extérieur spécial et les statistiques financières. </w:t>
      </w:r>
    </w:p>
    <w:p w:rsidR="00E94A28" w:rsidRPr="008F3B44" w:rsidRDefault="00C46805" w:rsidP="00C46805">
      <w:pPr>
        <w:jc w:val="both"/>
        <w:rPr>
          <w:rFonts w:ascii="Arial" w:hAnsi="Arial" w:cs="Arial"/>
          <w:b/>
          <w:sz w:val="22"/>
          <w:szCs w:val="22"/>
        </w:rPr>
      </w:pPr>
      <w:r>
        <w:rPr>
          <w:i/>
        </w:rPr>
        <w:t>Les tirets du six qui sont dans les colonnes variations indiquent des divisions par zéro ou des niveaux de variations égales à -100%.</w:t>
      </w:r>
    </w:p>
    <w:sectPr w:rsidR="00E94A28" w:rsidRPr="008F3B44" w:rsidSect="00E94A28">
      <w:pgSz w:w="11906" w:h="16838"/>
      <w:pgMar w:top="1417" w:right="1417" w:bottom="709"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81CA8" w:rsidRDefault="00281CA8" w:rsidP="00E03D38">
      <w:r>
        <w:separator/>
      </w:r>
    </w:p>
  </w:endnote>
  <w:endnote w:type="continuationSeparator" w:id="1">
    <w:p w:rsidR="00281CA8" w:rsidRDefault="00281CA8" w:rsidP="00E03D3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Albertus">
    <w:altName w:val="Candara"/>
    <w:charset w:val="00"/>
    <w:family w:val="swiss"/>
    <w:pitch w:val="variable"/>
    <w:sig w:usb0="00000001"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81CA8" w:rsidRDefault="00281CA8" w:rsidP="00E03D38">
      <w:r>
        <w:separator/>
      </w:r>
    </w:p>
  </w:footnote>
  <w:footnote w:type="continuationSeparator" w:id="1">
    <w:p w:rsidR="00281CA8" w:rsidRDefault="00281CA8" w:rsidP="00E03D38">
      <w:r>
        <w:continuationSeparator/>
      </w:r>
    </w:p>
  </w:footnote>
  <w:footnote w:id="2">
    <w:p w:rsidR="00C46805" w:rsidRPr="00B029DB" w:rsidRDefault="00C46805" w:rsidP="00C46805">
      <w:pPr>
        <w:pStyle w:val="Notedebasdepage"/>
        <w:jc w:val="both"/>
      </w:pPr>
      <w:r w:rsidRPr="00B029DB">
        <w:rPr>
          <w:rStyle w:val="Appelnotedebasdep"/>
        </w:rPr>
        <w:footnoteRef/>
      </w:r>
      <w:r w:rsidRPr="00B029DB">
        <w:t xml:space="preserve"> Le Bulletin mensuel des statistiques est publié au plus tard quarante cinq jours après la fin du mois concerné.</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356FD0"/>
    <w:multiLevelType w:val="hybridMultilevel"/>
    <w:tmpl w:val="672C7882"/>
    <w:lvl w:ilvl="0" w:tplc="A4FE176E">
      <w:start w:val="1"/>
      <w:numFmt w:val="decimal"/>
      <w:lvlText w:val="%1."/>
      <w:lvlJc w:val="left"/>
      <w:pPr>
        <w:tabs>
          <w:tab w:val="num" w:pos="720"/>
        </w:tabs>
        <w:ind w:left="720" w:hanging="360"/>
      </w:pPr>
      <w:rPr>
        <w:rFonts w:hint="default"/>
        <w:b w:val="0"/>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08"/>
  <w:hyphenationZone w:val="425"/>
  <w:characterSpacingControl w:val="doNotCompress"/>
  <w:footnotePr>
    <w:footnote w:id="0"/>
    <w:footnote w:id="1"/>
  </w:footnotePr>
  <w:endnotePr>
    <w:endnote w:id="0"/>
    <w:endnote w:id="1"/>
  </w:endnotePr>
  <w:compat/>
  <w:rsids>
    <w:rsidRoot w:val="00857CDA"/>
    <w:rsid w:val="000712D6"/>
    <w:rsid w:val="00144BF7"/>
    <w:rsid w:val="00281CA8"/>
    <w:rsid w:val="002838F2"/>
    <w:rsid w:val="002A0EAC"/>
    <w:rsid w:val="002D2118"/>
    <w:rsid w:val="002E49BD"/>
    <w:rsid w:val="00304D58"/>
    <w:rsid w:val="00382785"/>
    <w:rsid w:val="003866AC"/>
    <w:rsid w:val="003B6508"/>
    <w:rsid w:val="003B731C"/>
    <w:rsid w:val="003C1A1E"/>
    <w:rsid w:val="00523695"/>
    <w:rsid w:val="00600606"/>
    <w:rsid w:val="00657AA6"/>
    <w:rsid w:val="006D2F03"/>
    <w:rsid w:val="006F0A92"/>
    <w:rsid w:val="00807AAB"/>
    <w:rsid w:val="00857CDA"/>
    <w:rsid w:val="00866145"/>
    <w:rsid w:val="00891AEB"/>
    <w:rsid w:val="008B0414"/>
    <w:rsid w:val="008F7B66"/>
    <w:rsid w:val="009271C0"/>
    <w:rsid w:val="00947012"/>
    <w:rsid w:val="00962B5F"/>
    <w:rsid w:val="00A054AA"/>
    <w:rsid w:val="00B53BB3"/>
    <w:rsid w:val="00B8167D"/>
    <w:rsid w:val="00BB6A60"/>
    <w:rsid w:val="00C46805"/>
    <w:rsid w:val="00CD6DC9"/>
    <w:rsid w:val="00D36F64"/>
    <w:rsid w:val="00DE633D"/>
    <w:rsid w:val="00DF6566"/>
    <w:rsid w:val="00E03D38"/>
    <w:rsid w:val="00E55154"/>
    <w:rsid w:val="00E94A28"/>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ahoma" w:eastAsiaTheme="minorHAnsi" w:hAnsi="Tahoma" w:cs="Tahoma"/>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7CDA"/>
    <w:pPr>
      <w:spacing w:after="0" w:line="240" w:lineRule="auto"/>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rsid w:val="00857CDA"/>
    <w:rPr>
      <w:color w:val="0000FF"/>
      <w:u w:val="single"/>
    </w:rPr>
  </w:style>
  <w:style w:type="paragraph" w:styleId="Notedebasdepage">
    <w:name w:val="footnote text"/>
    <w:basedOn w:val="Normal"/>
    <w:link w:val="NotedebasdepageCar"/>
    <w:rsid w:val="00E03D38"/>
    <w:rPr>
      <w:sz w:val="20"/>
      <w:szCs w:val="20"/>
    </w:rPr>
  </w:style>
  <w:style w:type="character" w:customStyle="1" w:styleId="NotedebasdepageCar">
    <w:name w:val="Note de bas de page Car"/>
    <w:basedOn w:val="Policepardfaut"/>
    <w:link w:val="Notedebasdepage"/>
    <w:rsid w:val="00E03D38"/>
    <w:rPr>
      <w:rFonts w:ascii="Times New Roman" w:eastAsia="Times New Roman" w:hAnsi="Times New Roman" w:cs="Times New Roman"/>
      <w:lang w:eastAsia="fr-FR"/>
    </w:rPr>
  </w:style>
  <w:style w:type="character" w:styleId="Appelnotedebasdep">
    <w:name w:val="footnote reference"/>
    <w:basedOn w:val="Policepardfaut"/>
    <w:rsid w:val="00E03D38"/>
    <w:rPr>
      <w:vertAlign w:val="superscript"/>
    </w:rPr>
  </w:style>
  <w:style w:type="table" w:styleId="Grilledutableau">
    <w:name w:val="Table Grid"/>
    <w:basedOn w:val="TableauNormal"/>
    <w:rsid w:val="00E94A28"/>
    <w:pPr>
      <w:spacing w:after="0" w:line="240" w:lineRule="auto"/>
    </w:pPr>
    <w:rPr>
      <w:rFonts w:ascii="Times New Roman" w:eastAsia="Times New Roman" w:hAnsi="Times New Roman" w:cs="Times New Roman"/>
      <w:lang w:eastAsia="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debulles">
    <w:name w:val="Balloon Text"/>
    <w:basedOn w:val="Normal"/>
    <w:link w:val="TextedebullesCar"/>
    <w:uiPriority w:val="99"/>
    <w:semiHidden/>
    <w:unhideWhenUsed/>
    <w:rsid w:val="00E94A28"/>
    <w:rPr>
      <w:rFonts w:ascii="Tahoma" w:hAnsi="Tahoma" w:cs="Tahoma"/>
      <w:sz w:val="16"/>
      <w:szCs w:val="16"/>
    </w:rPr>
  </w:style>
  <w:style w:type="character" w:customStyle="1" w:styleId="TextedebullesCar">
    <w:name w:val="Texte de bulles Car"/>
    <w:basedOn w:val="Policepardfaut"/>
    <w:link w:val="Textedebulles"/>
    <w:uiPriority w:val="99"/>
    <w:semiHidden/>
    <w:rsid w:val="00E94A28"/>
    <w:rPr>
      <w:rFonts w:eastAsia="Times New Roman"/>
      <w:sz w:val="16"/>
      <w:szCs w:val="16"/>
      <w:lang w:eastAsia="fr-FR"/>
    </w:rPr>
  </w:style>
  <w:style w:type="paragraph" w:styleId="Titre">
    <w:name w:val="Title"/>
    <w:basedOn w:val="Normal"/>
    <w:link w:val="TitreCar"/>
    <w:qFormat/>
    <w:rsid w:val="00C46805"/>
    <w:pPr>
      <w:autoSpaceDE w:val="0"/>
      <w:autoSpaceDN w:val="0"/>
      <w:adjustRightInd w:val="0"/>
      <w:jc w:val="center"/>
    </w:pPr>
    <w:rPr>
      <w:rFonts w:ascii="Albertus" w:hAnsi="Albertus" w:cs="Albertus"/>
      <w:b/>
      <w:bCs/>
      <w:sz w:val="28"/>
      <w:szCs w:val="28"/>
    </w:rPr>
  </w:style>
  <w:style w:type="character" w:customStyle="1" w:styleId="TitreCar">
    <w:name w:val="Titre Car"/>
    <w:basedOn w:val="Policepardfaut"/>
    <w:link w:val="Titre"/>
    <w:rsid w:val="00C46805"/>
    <w:rPr>
      <w:rFonts w:ascii="Albertus" w:eastAsia="Times New Roman" w:hAnsi="Albertus" w:cs="Albertus"/>
      <w:b/>
      <w:bCs/>
      <w:sz w:val="28"/>
      <w:szCs w:val="28"/>
      <w:lang w:eastAsia="fr-FR"/>
    </w:rPr>
  </w:style>
</w:styles>
</file>

<file path=word/webSettings.xml><?xml version="1.0" encoding="utf-8"?>
<w:webSettings xmlns:r="http://schemas.openxmlformats.org/officeDocument/2006/relationships" xmlns:w="http://schemas.openxmlformats.org/wordprocessingml/2006/main">
  <w:divs>
    <w:div w:id="1630042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209</Words>
  <Characters>1150</Characters>
  <Application>Microsoft Office Word</Application>
  <DocSecurity>0</DocSecurity>
  <Lines>9</Lines>
  <Paragraphs>2</Paragraphs>
  <ScaleCrop>false</ScaleCrop>
  <Company/>
  <LinksUpToDate>false</LinksUpToDate>
  <CharactersWithSpaces>1357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emgueye</dc:creator>
  <cp:lastModifiedBy>emgueye</cp:lastModifiedBy>
  <cp:revision>2</cp:revision>
  <dcterms:created xsi:type="dcterms:W3CDTF">2014-07-18T12:52:00Z</dcterms:created>
  <dcterms:modified xsi:type="dcterms:W3CDTF">2014-07-18T12:52:00Z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Harvard Reference format 1 (author-date)</vt:lpwstr>
  </property>
</Properties>
</file>